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9605" w14:textId="77777777" w:rsidR="004F3FFA" w:rsidRPr="008F3500" w:rsidRDefault="00FB60BC" w:rsidP="004F3FFA">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7216" behindDoc="0" locked="0" layoutInCell="1" allowOverlap="1" wp14:anchorId="3DE1A0E1" wp14:editId="13E59B2D">
            <wp:simplePos x="0" y="0"/>
            <wp:positionH relativeFrom="column">
              <wp:posOffset>-423545</wp:posOffset>
            </wp:positionH>
            <wp:positionV relativeFrom="paragraph">
              <wp:posOffset>349885</wp:posOffset>
            </wp:positionV>
            <wp:extent cx="304800" cy="342900"/>
            <wp:effectExtent l="19050" t="0" r="0" b="0"/>
            <wp:wrapSquare wrapText="bothSides"/>
            <wp:docPr id="3" name="Slika 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ic:cNvPicPr>
                      <a:picLocks noChangeAspect="1" noChangeArrowheads="1"/>
                    </pic:cNvPicPr>
                  </pic:nvPicPr>
                  <pic:blipFill>
                    <a:blip r:embed="rId8" cstate="print"/>
                    <a:srcRect/>
                    <a:stretch>
                      <a:fillRect/>
                    </a:stretch>
                  </pic:blipFill>
                  <pic:spPr bwMode="auto">
                    <a:xfrm>
                      <a:off x="0" y="0"/>
                      <a:ext cx="304800" cy="342900"/>
                    </a:xfrm>
                    <a:prstGeom prst="rect">
                      <a:avLst/>
                    </a:prstGeom>
                    <a:noFill/>
                    <a:ln w="9525">
                      <a:noFill/>
                      <a:miter lim="800000"/>
                      <a:headEnd/>
                      <a:tailEnd/>
                    </a:ln>
                  </pic:spPr>
                </pic:pic>
              </a:graphicData>
            </a:graphic>
          </wp:anchor>
        </w:drawing>
      </w:r>
      <w:r w:rsidR="006D2CFB">
        <w:rPr>
          <w:noProof/>
          <w:szCs w:val="20"/>
          <w:lang w:eastAsia="sl-SI"/>
        </w:rPr>
        <mc:AlternateContent>
          <mc:Choice Requires="wps">
            <w:drawing>
              <wp:anchor distT="4294967295" distB="4294967295" distL="114300" distR="114300" simplePos="0" relativeHeight="251658240" behindDoc="1" locked="0" layoutInCell="0" allowOverlap="1" wp14:anchorId="6A7ED31B" wp14:editId="1E7590C5">
                <wp:simplePos x="0" y="0"/>
                <wp:positionH relativeFrom="column">
                  <wp:posOffset>-431800</wp:posOffset>
                </wp:positionH>
                <wp:positionV relativeFrom="page">
                  <wp:posOffset>3600449</wp:posOffset>
                </wp:positionV>
                <wp:extent cx="252095" cy="0"/>
                <wp:effectExtent l="0" t="0" r="1460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31D1DD"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g+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MQCg+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4F3FFA" w:rsidRPr="008F3500">
        <w:rPr>
          <w:rFonts w:ascii="Republika" w:hAnsi="Republika"/>
        </w:rPr>
        <w:t>REPUBLIKA SLOVENIJA</w:t>
      </w:r>
    </w:p>
    <w:p w14:paraId="6CB004D9" w14:textId="6618DC1B" w:rsidR="004F3FFA" w:rsidRPr="00946C49" w:rsidRDefault="004F3FFA" w:rsidP="004F3FFA">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gospodars</w:t>
      </w:r>
      <w:r w:rsidR="008829C8">
        <w:rPr>
          <w:rFonts w:ascii="Republika" w:hAnsi="Republika"/>
          <w:b/>
          <w:caps/>
        </w:rPr>
        <w:t>tvo, turizem in šport</w:t>
      </w:r>
    </w:p>
    <w:p w14:paraId="37B6DA2A" w14:textId="72E1E950" w:rsidR="004F3FFA" w:rsidRPr="008F3500" w:rsidRDefault="004F3FFA" w:rsidP="004F3FFA">
      <w:pPr>
        <w:pStyle w:val="Glava"/>
        <w:tabs>
          <w:tab w:val="clear" w:pos="4320"/>
          <w:tab w:val="clear" w:pos="8640"/>
          <w:tab w:val="left" w:pos="5112"/>
        </w:tabs>
        <w:spacing w:before="240" w:line="240" w:lineRule="exact"/>
        <w:rPr>
          <w:rFonts w:cs="Arial"/>
          <w:sz w:val="16"/>
        </w:rPr>
      </w:pPr>
      <w:r>
        <w:rPr>
          <w:rFonts w:cs="Arial"/>
          <w:sz w:val="16"/>
        </w:rPr>
        <w:t>Kotnikova ulica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01 400 33 11</w:t>
      </w:r>
    </w:p>
    <w:p w14:paraId="2BC12EDC" w14:textId="3E8602FB" w:rsidR="004F3FFA" w:rsidRPr="008F3500" w:rsidRDefault="004F3FFA" w:rsidP="004F3FFA">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9" w:history="1">
        <w:r w:rsidR="008829C8" w:rsidRPr="00FD67D5">
          <w:rPr>
            <w:rStyle w:val="Hiperpovezava"/>
            <w:rFonts w:cs="Arial"/>
            <w:sz w:val="16"/>
          </w:rPr>
          <w:t>gp.mgts@gov.si</w:t>
        </w:r>
      </w:hyperlink>
      <w:r>
        <w:rPr>
          <w:rFonts w:cs="Arial"/>
          <w:sz w:val="16"/>
        </w:rPr>
        <w:t xml:space="preserve"> </w:t>
      </w:r>
    </w:p>
    <w:p w14:paraId="2D2F7747" w14:textId="60BFAD0E" w:rsidR="004F3FFA" w:rsidRPr="008F3500" w:rsidRDefault="004F3FFA" w:rsidP="004F3FFA">
      <w:pPr>
        <w:pStyle w:val="Glava"/>
        <w:tabs>
          <w:tab w:val="clear" w:pos="4320"/>
          <w:tab w:val="clear" w:pos="8640"/>
          <w:tab w:val="left" w:pos="5112"/>
        </w:tabs>
        <w:spacing w:line="240" w:lineRule="exact"/>
        <w:rPr>
          <w:rFonts w:cs="Arial"/>
          <w:sz w:val="16"/>
        </w:rPr>
      </w:pPr>
      <w:r w:rsidRPr="008F3500">
        <w:rPr>
          <w:rFonts w:cs="Arial"/>
          <w:sz w:val="16"/>
        </w:rPr>
        <w:tab/>
      </w:r>
      <w:hyperlink r:id="rId10" w:history="1">
        <w:r w:rsidR="008829C8" w:rsidRPr="00FD67D5">
          <w:rPr>
            <w:rStyle w:val="Hiperpovezava"/>
            <w:rFonts w:cs="Arial"/>
            <w:sz w:val="16"/>
          </w:rPr>
          <w:t>www.mgts.gov.si</w:t>
        </w:r>
      </w:hyperlink>
      <w:r>
        <w:rPr>
          <w:rFonts w:cs="Arial"/>
          <w:sz w:val="16"/>
        </w:rPr>
        <w:t xml:space="preserve"> </w:t>
      </w:r>
    </w:p>
    <w:p w14:paraId="10FFB1F7" w14:textId="77777777" w:rsidR="00E21FF9" w:rsidRDefault="00E21FF9" w:rsidP="003E1C74">
      <w:pPr>
        <w:pStyle w:val="podpisi"/>
        <w:rPr>
          <w:lang w:val="sl-SI"/>
        </w:rPr>
      </w:pPr>
    </w:p>
    <w:p w14:paraId="3C5B1C09" w14:textId="77777777" w:rsidR="004F3FFA" w:rsidRDefault="004F3FFA" w:rsidP="003E1C74">
      <w:pPr>
        <w:pStyle w:val="podpisi"/>
        <w:rPr>
          <w:lang w:val="sl-SI"/>
        </w:rPr>
      </w:pPr>
    </w:p>
    <w:tbl>
      <w:tblPr>
        <w:tblpPr w:leftFromText="141" w:rightFromText="141" w:vertAnchor="text" w:tblpY="1"/>
        <w:tblOverlap w:val="never"/>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976"/>
        <w:gridCol w:w="8"/>
        <w:gridCol w:w="1568"/>
        <w:gridCol w:w="119"/>
        <w:gridCol w:w="13"/>
        <w:gridCol w:w="6"/>
        <w:gridCol w:w="1555"/>
        <w:gridCol w:w="713"/>
        <w:gridCol w:w="854"/>
        <w:gridCol w:w="247"/>
        <w:gridCol w:w="1315"/>
      </w:tblGrid>
      <w:tr w:rsidR="00D731F3" w:rsidRPr="008D1759" w14:paraId="136884B9" w14:textId="77777777" w:rsidTr="008829C8">
        <w:trPr>
          <w:gridAfter w:val="4"/>
          <w:wAfter w:w="3129" w:type="dxa"/>
        </w:trPr>
        <w:tc>
          <w:tcPr>
            <w:tcW w:w="6088" w:type="dxa"/>
            <w:gridSpan w:val="8"/>
          </w:tcPr>
          <w:p w14:paraId="0E4F4DCE" w14:textId="0F3CFCB1" w:rsidR="00D731F3" w:rsidRPr="008D1759" w:rsidRDefault="00D731F3" w:rsidP="008829C8">
            <w:pPr>
              <w:pStyle w:val="Neotevilenodstavek"/>
              <w:spacing w:after="0" w:line="276" w:lineRule="auto"/>
              <w:jc w:val="left"/>
              <w:rPr>
                <w:sz w:val="20"/>
                <w:szCs w:val="20"/>
              </w:rPr>
            </w:pPr>
            <w:r>
              <w:rPr>
                <w:sz w:val="20"/>
                <w:szCs w:val="20"/>
              </w:rPr>
              <w:t xml:space="preserve">Številka: </w:t>
            </w:r>
            <w:r w:rsidR="007A57D6" w:rsidRPr="00C648AB">
              <w:rPr>
                <w:color w:val="FF0000"/>
                <w:sz w:val="20"/>
                <w:szCs w:val="20"/>
              </w:rPr>
              <w:t>3</w:t>
            </w:r>
            <w:r w:rsidR="003339AE">
              <w:rPr>
                <w:color w:val="FF0000"/>
                <w:sz w:val="20"/>
                <w:szCs w:val="20"/>
              </w:rPr>
              <w:t>10-1/2024</w:t>
            </w:r>
            <w:r w:rsidR="00685312" w:rsidRPr="00685312">
              <w:rPr>
                <w:color w:val="FF0000"/>
                <w:sz w:val="20"/>
                <w:szCs w:val="20"/>
              </w:rPr>
              <w:t>/</w:t>
            </w:r>
          </w:p>
        </w:tc>
      </w:tr>
      <w:tr w:rsidR="00D731F3" w:rsidRPr="008D1759" w14:paraId="5A3F984F" w14:textId="77777777" w:rsidTr="008829C8">
        <w:trPr>
          <w:gridAfter w:val="4"/>
          <w:wAfter w:w="3129" w:type="dxa"/>
        </w:trPr>
        <w:tc>
          <w:tcPr>
            <w:tcW w:w="6088" w:type="dxa"/>
            <w:gridSpan w:val="8"/>
          </w:tcPr>
          <w:p w14:paraId="2BB8591E" w14:textId="0F5DA663" w:rsidR="00D731F3" w:rsidRPr="008D1759" w:rsidRDefault="002A12FA" w:rsidP="008829C8">
            <w:pPr>
              <w:pStyle w:val="Neotevilenodstavek"/>
              <w:spacing w:after="0" w:line="276" w:lineRule="auto"/>
              <w:jc w:val="left"/>
              <w:rPr>
                <w:sz w:val="20"/>
                <w:szCs w:val="20"/>
              </w:rPr>
            </w:pPr>
            <w:r>
              <w:rPr>
                <w:sz w:val="20"/>
                <w:szCs w:val="20"/>
              </w:rPr>
              <w:t xml:space="preserve">Datum: </w:t>
            </w:r>
            <w:r w:rsidR="009D5B2C">
              <w:rPr>
                <w:sz w:val="20"/>
                <w:szCs w:val="20"/>
              </w:rPr>
              <w:t xml:space="preserve">  </w:t>
            </w:r>
            <w:r w:rsidR="00C648AB" w:rsidRPr="00C648AB">
              <w:rPr>
                <w:color w:val="FF0000"/>
                <w:sz w:val="20"/>
                <w:szCs w:val="20"/>
              </w:rPr>
              <w:t>____</w:t>
            </w:r>
            <w:r w:rsidR="00E801BE" w:rsidRPr="00C648AB">
              <w:rPr>
                <w:color w:val="FF0000"/>
                <w:sz w:val="20"/>
                <w:szCs w:val="20"/>
              </w:rPr>
              <w:t>.</w:t>
            </w:r>
            <w:r w:rsidR="00137AA2">
              <w:rPr>
                <w:color w:val="FF0000"/>
                <w:sz w:val="20"/>
                <w:szCs w:val="20"/>
              </w:rPr>
              <w:t>4</w:t>
            </w:r>
            <w:r w:rsidR="00BA7522" w:rsidRPr="00C648AB">
              <w:rPr>
                <w:color w:val="FF0000"/>
                <w:sz w:val="20"/>
                <w:szCs w:val="20"/>
              </w:rPr>
              <w:t>.</w:t>
            </w:r>
            <w:r w:rsidR="000A6293" w:rsidRPr="00C648AB">
              <w:rPr>
                <w:color w:val="FF0000"/>
                <w:sz w:val="20"/>
                <w:szCs w:val="20"/>
              </w:rPr>
              <w:t>202</w:t>
            </w:r>
            <w:r w:rsidR="00A271A8">
              <w:rPr>
                <w:color w:val="FF0000"/>
                <w:sz w:val="20"/>
                <w:szCs w:val="20"/>
              </w:rPr>
              <w:t>5</w:t>
            </w:r>
          </w:p>
        </w:tc>
      </w:tr>
      <w:tr w:rsidR="00D731F3" w:rsidRPr="008D1759" w14:paraId="5F1DD9BC" w14:textId="77777777" w:rsidTr="008829C8">
        <w:trPr>
          <w:gridAfter w:val="4"/>
          <w:wAfter w:w="3129" w:type="dxa"/>
        </w:trPr>
        <w:tc>
          <w:tcPr>
            <w:tcW w:w="6088" w:type="dxa"/>
            <w:gridSpan w:val="8"/>
          </w:tcPr>
          <w:p w14:paraId="54C2E251" w14:textId="77777777" w:rsidR="00AA256D" w:rsidRPr="00223FBE" w:rsidRDefault="00AA256D" w:rsidP="008829C8">
            <w:pPr>
              <w:spacing w:line="276" w:lineRule="auto"/>
              <w:rPr>
                <w:rFonts w:cs="Arial"/>
                <w:sz w:val="16"/>
                <w:szCs w:val="16"/>
              </w:rPr>
            </w:pPr>
          </w:p>
          <w:p w14:paraId="5371328A" w14:textId="77777777" w:rsidR="00D731F3" w:rsidRPr="008D1759" w:rsidRDefault="00D731F3" w:rsidP="008829C8">
            <w:pPr>
              <w:spacing w:line="276" w:lineRule="auto"/>
              <w:rPr>
                <w:rFonts w:cs="Arial"/>
                <w:szCs w:val="20"/>
              </w:rPr>
            </w:pPr>
            <w:r w:rsidRPr="008D1759">
              <w:rPr>
                <w:rFonts w:cs="Arial"/>
                <w:szCs w:val="20"/>
              </w:rPr>
              <w:t>GENERALNI SEKRETARIAT VLADE REPUBLIKE SLOVENIJE</w:t>
            </w:r>
          </w:p>
          <w:p w14:paraId="38ACAE4D" w14:textId="77777777" w:rsidR="00D731F3" w:rsidRPr="008D1759" w:rsidRDefault="00434222" w:rsidP="008829C8">
            <w:pPr>
              <w:spacing w:line="276" w:lineRule="auto"/>
              <w:rPr>
                <w:rFonts w:cs="Arial"/>
                <w:szCs w:val="20"/>
              </w:rPr>
            </w:pPr>
            <w:hyperlink r:id="rId11" w:history="1">
              <w:r w:rsidR="00D731F3" w:rsidRPr="008D1759">
                <w:rPr>
                  <w:rStyle w:val="Hiperpovezava"/>
                  <w:szCs w:val="20"/>
                </w:rPr>
                <w:t>Gp.gs@gov.si</w:t>
              </w:r>
            </w:hyperlink>
          </w:p>
          <w:p w14:paraId="53A79577" w14:textId="77777777" w:rsidR="00D731F3" w:rsidRPr="008D1759" w:rsidRDefault="00D731F3" w:rsidP="008829C8">
            <w:pPr>
              <w:spacing w:line="276" w:lineRule="auto"/>
              <w:rPr>
                <w:rFonts w:cs="Arial"/>
                <w:szCs w:val="20"/>
              </w:rPr>
            </w:pPr>
          </w:p>
        </w:tc>
      </w:tr>
      <w:tr w:rsidR="00D731F3" w:rsidRPr="008D1759" w14:paraId="2FC390E7" w14:textId="77777777" w:rsidTr="008829C8">
        <w:tc>
          <w:tcPr>
            <w:tcW w:w="9217" w:type="dxa"/>
            <w:gridSpan w:val="12"/>
          </w:tcPr>
          <w:p w14:paraId="1736E388" w14:textId="4E806030" w:rsidR="00D731F3" w:rsidRPr="00A345DB" w:rsidRDefault="00D731F3" w:rsidP="00A345DB">
            <w:pPr>
              <w:pStyle w:val="Naslovpredpisa"/>
              <w:spacing w:before="60" w:after="0" w:line="276" w:lineRule="auto"/>
              <w:ind w:left="912" w:hanging="912"/>
              <w:jc w:val="both"/>
              <w:rPr>
                <w:color w:val="000000"/>
                <w:sz w:val="20"/>
                <w:szCs w:val="20"/>
              </w:rPr>
            </w:pPr>
            <w:r>
              <w:rPr>
                <w:sz w:val="20"/>
                <w:szCs w:val="20"/>
              </w:rPr>
              <w:t>ZADEVA:</w:t>
            </w:r>
            <w:r w:rsidR="00A345DB">
              <w:rPr>
                <w:color w:val="000000"/>
                <w:sz w:val="20"/>
                <w:szCs w:val="20"/>
              </w:rPr>
              <w:t xml:space="preserve"> Izvedba strateškega projekta </w:t>
            </w:r>
            <w:r w:rsidR="00A345DB" w:rsidRPr="00A345DB">
              <w:rPr>
                <w:color w:val="000000"/>
                <w:sz w:val="20"/>
                <w:szCs w:val="20"/>
              </w:rPr>
              <w:t>umeščanja industrijsko</w:t>
            </w:r>
            <w:r w:rsidR="003339AE">
              <w:rPr>
                <w:color w:val="000000"/>
                <w:sz w:val="20"/>
                <w:szCs w:val="20"/>
              </w:rPr>
              <w:t xml:space="preserve"> </w:t>
            </w:r>
            <w:r w:rsidR="00A345DB" w:rsidRPr="00A345DB">
              <w:rPr>
                <w:color w:val="000000"/>
                <w:sz w:val="20"/>
                <w:szCs w:val="20"/>
              </w:rPr>
              <w:t>- poslovnih con nacionalnega in regionalnega pomena (izvedba tematskega akcijskega programa)</w:t>
            </w:r>
            <w:r w:rsidR="00C648AB">
              <w:rPr>
                <w:color w:val="000000"/>
                <w:sz w:val="20"/>
                <w:szCs w:val="20"/>
              </w:rPr>
              <w:t xml:space="preserve"> </w:t>
            </w:r>
            <w:r w:rsidR="005324B0" w:rsidRPr="005324B0">
              <w:rPr>
                <w:color w:val="000000"/>
                <w:sz w:val="20"/>
                <w:szCs w:val="20"/>
              </w:rPr>
              <w:t>– predlog za obravnavo</w:t>
            </w:r>
          </w:p>
        </w:tc>
      </w:tr>
      <w:tr w:rsidR="00D731F3" w:rsidRPr="008D1759" w14:paraId="58AEF1FE" w14:textId="77777777" w:rsidTr="008829C8">
        <w:tc>
          <w:tcPr>
            <w:tcW w:w="9217" w:type="dxa"/>
            <w:gridSpan w:val="12"/>
            <w:shd w:val="clear" w:color="auto" w:fill="F2F2F2"/>
          </w:tcPr>
          <w:p w14:paraId="7C9AC61B" w14:textId="77777777" w:rsidR="00D731F3" w:rsidRPr="008D1759" w:rsidRDefault="00D731F3" w:rsidP="008829C8">
            <w:pPr>
              <w:pStyle w:val="Poglavje"/>
              <w:spacing w:before="60" w:after="0" w:line="240" w:lineRule="auto"/>
              <w:jc w:val="left"/>
              <w:rPr>
                <w:sz w:val="20"/>
                <w:szCs w:val="20"/>
              </w:rPr>
            </w:pPr>
            <w:r>
              <w:rPr>
                <w:sz w:val="20"/>
                <w:szCs w:val="20"/>
              </w:rPr>
              <w:t>1.</w:t>
            </w:r>
            <w:r w:rsidRPr="008D1759">
              <w:rPr>
                <w:sz w:val="20"/>
                <w:szCs w:val="20"/>
              </w:rPr>
              <w:t xml:space="preserve"> </w:t>
            </w:r>
            <w:r w:rsidR="00FB05AF">
              <w:rPr>
                <w:sz w:val="20"/>
                <w:szCs w:val="20"/>
              </w:rPr>
              <w:t xml:space="preserve">   </w:t>
            </w:r>
            <w:r w:rsidRPr="008D1759">
              <w:rPr>
                <w:sz w:val="20"/>
                <w:szCs w:val="20"/>
              </w:rPr>
              <w:t>Predlog sklepov vlade:</w:t>
            </w:r>
          </w:p>
        </w:tc>
      </w:tr>
      <w:tr w:rsidR="00D731F3" w:rsidRPr="008D1759" w14:paraId="32AF284E" w14:textId="77777777" w:rsidTr="008829C8">
        <w:tc>
          <w:tcPr>
            <w:tcW w:w="9217" w:type="dxa"/>
            <w:gridSpan w:val="12"/>
          </w:tcPr>
          <w:p w14:paraId="075DDE91" w14:textId="77777777" w:rsidR="00BB0E08" w:rsidRDefault="00BB0E08" w:rsidP="00BB0E08">
            <w:pPr>
              <w:jc w:val="both"/>
              <w:rPr>
                <w:iCs/>
                <w:color w:val="000000"/>
              </w:rPr>
            </w:pPr>
          </w:p>
          <w:p w14:paraId="14859FA1" w14:textId="5B21E41D" w:rsidR="00BB0E08" w:rsidRDefault="00BB0E08" w:rsidP="00BB0E08">
            <w:pPr>
              <w:jc w:val="both"/>
              <w:rPr>
                <w:iCs/>
                <w:color w:val="000000"/>
              </w:rPr>
            </w:pPr>
            <w:r w:rsidRPr="005324B0">
              <w:rPr>
                <w:iCs/>
                <w:color w:val="000000"/>
              </w:rPr>
              <w:t>Na podlagi šestega odstavka 21. člena Zakona o Vladi Republike Slovenije (Uradni list RS, št. 24/05 – uradno prečiščeno besedilo, 109/08, 38/10 – ZUKN, 8/12, 21/13, 47/13 – ZDU-1G, 65/14</w:t>
            </w:r>
            <w:r>
              <w:rPr>
                <w:iCs/>
                <w:color w:val="000000"/>
              </w:rPr>
              <w:t>,</w:t>
            </w:r>
            <w:r w:rsidRPr="005324B0">
              <w:rPr>
                <w:iCs/>
                <w:color w:val="000000"/>
              </w:rPr>
              <w:t xml:space="preserve"> 55/17</w:t>
            </w:r>
            <w:r>
              <w:rPr>
                <w:iCs/>
                <w:color w:val="000000"/>
              </w:rPr>
              <w:t xml:space="preserve"> in 163/22</w:t>
            </w:r>
            <w:r w:rsidRPr="005324B0">
              <w:rPr>
                <w:iCs/>
                <w:color w:val="000000"/>
              </w:rPr>
              <w:t>) je Vlada Republike Slovenije na …… seji dne …… sprejela sklep:</w:t>
            </w:r>
          </w:p>
          <w:p w14:paraId="65499936" w14:textId="77777777" w:rsidR="00BB0E08" w:rsidRDefault="00BB0E08" w:rsidP="00BB0E08">
            <w:pPr>
              <w:jc w:val="both"/>
              <w:rPr>
                <w:iCs/>
                <w:color w:val="000000"/>
              </w:rPr>
            </w:pPr>
          </w:p>
          <w:p w14:paraId="187DEFF7" w14:textId="77777777" w:rsidR="00AC618B" w:rsidRDefault="00AC618B" w:rsidP="008829C8">
            <w:pPr>
              <w:jc w:val="both"/>
              <w:rPr>
                <w:iCs/>
                <w:color w:val="000000"/>
              </w:rPr>
            </w:pPr>
          </w:p>
          <w:p w14:paraId="3B96E8EC" w14:textId="55E7F01D" w:rsidR="003F2E2E" w:rsidRPr="00A345DB" w:rsidRDefault="003F2E2E" w:rsidP="00177504">
            <w:pPr>
              <w:pStyle w:val="datumtevilka"/>
              <w:ind w:left="720"/>
              <w:jc w:val="both"/>
              <w:rPr>
                <w:rFonts w:cs="Arial"/>
              </w:rPr>
            </w:pPr>
            <w:r>
              <w:rPr>
                <w:rFonts w:cs="Arial"/>
              </w:rPr>
              <w:t xml:space="preserve">Vlada se je seznanila z </w:t>
            </w:r>
            <w:r w:rsidR="00DC408E">
              <w:rPr>
                <w:rFonts w:cs="Arial"/>
              </w:rPr>
              <w:t xml:space="preserve">Informacijo glede </w:t>
            </w:r>
            <w:r>
              <w:rPr>
                <w:rFonts w:cs="Arial"/>
              </w:rPr>
              <w:t>načrtovani</w:t>
            </w:r>
            <w:r w:rsidR="00DC408E">
              <w:rPr>
                <w:rFonts w:cs="Arial"/>
              </w:rPr>
              <w:t>h</w:t>
            </w:r>
            <w:r>
              <w:rPr>
                <w:rFonts w:cs="Arial"/>
              </w:rPr>
              <w:t xml:space="preserve"> aktivnost</w:t>
            </w:r>
            <w:r w:rsidR="00DC408E">
              <w:rPr>
                <w:rFonts w:cs="Arial"/>
              </w:rPr>
              <w:t>ih</w:t>
            </w:r>
            <w:r>
              <w:rPr>
                <w:rFonts w:cs="Arial"/>
              </w:rPr>
              <w:t xml:space="preserve"> Ministrstva za gospodarstvo, turizem in šport</w:t>
            </w:r>
            <w:r w:rsidR="00FD109A">
              <w:rPr>
                <w:rFonts w:cs="Arial"/>
              </w:rPr>
              <w:t>, Ministrstva za kohezijo in regionalni razvoj</w:t>
            </w:r>
            <w:r w:rsidR="003D4B82">
              <w:rPr>
                <w:rFonts w:cs="Arial"/>
              </w:rPr>
              <w:t xml:space="preserve"> </w:t>
            </w:r>
            <w:r>
              <w:rPr>
                <w:rFonts w:cs="Arial"/>
              </w:rPr>
              <w:t>ter Ministrstva za naravne vire in prostor</w:t>
            </w:r>
            <w:r w:rsidR="001F4AD9">
              <w:rPr>
                <w:rFonts w:cs="Arial"/>
              </w:rPr>
              <w:t xml:space="preserve"> </w:t>
            </w:r>
            <w:r>
              <w:rPr>
                <w:rFonts w:cs="Arial"/>
              </w:rPr>
              <w:t xml:space="preserve">pri izvedbi </w:t>
            </w:r>
            <w:r w:rsidR="00A345DB">
              <w:rPr>
                <w:rFonts w:cs="Arial"/>
              </w:rPr>
              <w:t>strateškega projekta umeščanja industrijsko</w:t>
            </w:r>
            <w:r w:rsidR="00CF2D9F">
              <w:rPr>
                <w:rFonts w:cs="Arial"/>
              </w:rPr>
              <w:t xml:space="preserve"> </w:t>
            </w:r>
            <w:r w:rsidR="00A345DB">
              <w:rPr>
                <w:rFonts w:cs="Arial"/>
              </w:rPr>
              <w:t xml:space="preserve">- poslovnih con </w:t>
            </w:r>
            <w:r>
              <w:rPr>
                <w:rFonts w:cs="Arial"/>
              </w:rPr>
              <w:t>nacionalnega in regionalnega pomena</w:t>
            </w:r>
            <w:r w:rsidR="00A345DB">
              <w:rPr>
                <w:rFonts w:cs="Arial"/>
              </w:rPr>
              <w:t xml:space="preserve"> </w:t>
            </w:r>
            <w:r w:rsidR="00BC1DE7">
              <w:rPr>
                <w:rFonts w:cs="Arial"/>
              </w:rPr>
              <w:t xml:space="preserve">preko </w:t>
            </w:r>
            <w:r w:rsidR="00A345DB">
              <w:rPr>
                <w:rFonts w:cs="Arial"/>
              </w:rPr>
              <w:t>izvedb</w:t>
            </w:r>
            <w:r w:rsidR="00BC1DE7">
              <w:rPr>
                <w:rFonts w:cs="Arial"/>
              </w:rPr>
              <w:t>e</w:t>
            </w:r>
            <w:r w:rsidR="00A345DB">
              <w:rPr>
                <w:rFonts w:cs="Arial"/>
              </w:rPr>
              <w:t xml:space="preserve"> tematskega akcijskega programa</w:t>
            </w:r>
            <w:r w:rsidR="00BC1DE7">
              <w:rPr>
                <w:rFonts w:cs="Arial"/>
              </w:rPr>
              <w:t xml:space="preserve"> in regionalnih prostorskih planov</w:t>
            </w:r>
          </w:p>
          <w:p w14:paraId="703F7BF1" w14:textId="77777777" w:rsidR="00F32E81" w:rsidRDefault="00F32E81" w:rsidP="008829C8">
            <w:pPr>
              <w:jc w:val="both"/>
              <w:rPr>
                <w:iCs/>
                <w:color w:val="000000"/>
              </w:rPr>
            </w:pPr>
          </w:p>
          <w:p w14:paraId="4E82B945" w14:textId="77777777" w:rsidR="00357A5C" w:rsidRDefault="00357A5C" w:rsidP="008829C8">
            <w:pPr>
              <w:jc w:val="both"/>
              <w:rPr>
                <w:iCs/>
                <w:color w:val="000000"/>
              </w:rPr>
            </w:pPr>
          </w:p>
          <w:p w14:paraId="080A7B7D" w14:textId="77777777" w:rsidR="00357A5C" w:rsidRPr="004643B0" w:rsidRDefault="00357A5C" w:rsidP="008829C8">
            <w:pPr>
              <w:jc w:val="both"/>
              <w:rPr>
                <w:iCs/>
                <w:color w:val="000000"/>
              </w:rPr>
            </w:pPr>
          </w:p>
          <w:p w14:paraId="153021B6" w14:textId="77777777" w:rsidR="009A50F3" w:rsidRDefault="009A50F3" w:rsidP="008829C8">
            <w:pPr>
              <w:tabs>
                <w:tab w:val="left" w:pos="1134"/>
              </w:tabs>
              <w:autoSpaceDE w:val="0"/>
              <w:autoSpaceDN w:val="0"/>
              <w:adjustRightInd w:val="0"/>
              <w:spacing w:line="276" w:lineRule="auto"/>
              <w:ind w:left="4248"/>
              <w:jc w:val="center"/>
              <w:rPr>
                <w:rFonts w:cs="Arial"/>
                <w:color w:val="000000"/>
              </w:rPr>
            </w:pPr>
            <w:r w:rsidRPr="009A50F3">
              <w:rPr>
                <w:rFonts w:cs="Arial"/>
                <w:color w:val="000000"/>
              </w:rPr>
              <w:t xml:space="preserve">Barbara Kolenko </w:t>
            </w:r>
            <w:proofErr w:type="spellStart"/>
            <w:r w:rsidRPr="009A50F3">
              <w:rPr>
                <w:rFonts w:cs="Arial"/>
                <w:color w:val="000000"/>
              </w:rPr>
              <w:t>Helbl</w:t>
            </w:r>
            <w:proofErr w:type="spellEnd"/>
          </w:p>
          <w:p w14:paraId="45DFAB4A" w14:textId="5A2D89C2" w:rsidR="004643B0" w:rsidRPr="00F844D8" w:rsidRDefault="006C4FF3" w:rsidP="00F844D8">
            <w:pPr>
              <w:tabs>
                <w:tab w:val="left" w:pos="1134"/>
              </w:tabs>
              <w:autoSpaceDE w:val="0"/>
              <w:autoSpaceDN w:val="0"/>
              <w:adjustRightInd w:val="0"/>
              <w:spacing w:line="276" w:lineRule="auto"/>
              <w:ind w:left="4248"/>
              <w:jc w:val="center"/>
              <w:rPr>
                <w:rFonts w:cs="Arial"/>
                <w:iCs/>
                <w:color w:val="000000"/>
              </w:rPr>
            </w:pPr>
            <w:r>
              <w:rPr>
                <w:rFonts w:cs="Arial"/>
                <w:color w:val="000000"/>
              </w:rPr>
              <w:t xml:space="preserve">     </w:t>
            </w:r>
            <w:r w:rsidR="009A50F3">
              <w:rPr>
                <w:rFonts w:cs="Arial"/>
                <w:color w:val="000000"/>
              </w:rPr>
              <w:t>GENERALNA SEKRETARKA</w:t>
            </w:r>
          </w:p>
          <w:p w14:paraId="30BB211B" w14:textId="77777777" w:rsidR="004643B0" w:rsidRPr="004643B0" w:rsidRDefault="004643B0" w:rsidP="008829C8">
            <w:pPr>
              <w:jc w:val="both"/>
              <w:rPr>
                <w:iCs/>
                <w:color w:val="000000"/>
              </w:rPr>
            </w:pPr>
            <w:r w:rsidRPr="004643B0">
              <w:rPr>
                <w:iCs/>
                <w:color w:val="000000"/>
              </w:rPr>
              <w:t xml:space="preserve">Prejemniki: </w:t>
            </w:r>
          </w:p>
          <w:p w14:paraId="15F1DFE1" w14:textId="77777777" w:rsidR="004643B0" w:rsidRDefault="004643B0" w:rsidP="00D00C78">
            <w:pPr>
              <w:numPr>
                <w:ilvl w:val="0"/>
                <w:numId w:val="13"/>
              </w:numPr>
              <w:jc w:val="both"/>
              <w:rPr>
                <w:iCs/>
                <w:color w:val="000000"/>
              </w:rPr>
            </w:pPr>
            <w:r w:rsidRPr="004643B0">
              <w:rPr>
                <w:iCs/>
                <w:color w:val="000000"/>
              </w:rPr>
              <w:t>Generalni sekretariat Vlade RS,</w:t>
            </w:r>
          </w:p>
          <w:p w14:paraId="261762B2" w14:textId="6F57735D" w:rsidR="003F2E2E" w:rsidRDefault="003F2E2E" w:rsidP="00D00C78">
            <w:pPr>
              <w:numPr>
                <w:ilvl w:val="0"/>
                <w:numId w:val="13"/>
              </w:numPr>
              <w:jc w:val="both"/>
              <w:rPr>
                <w:iCs/>
                <w:color w:val="000000"/>
              </w:rPr>
            </w:pPr>
            <w:r>
              <w:rPr>
                <w:iCs/>
                <w:color w:val="000000"/>
              </w:rPr>
              <w:t>Ministrstvo za naravne vire in prostor,</w:t>
            </w:r>
          </w:p>
          <w:p w14:paraId="2C348F06" w14:textId="08F1B6FE" w:rsidR="003F2E2E" w:rsidRDefault="003F2E2E" w:rsidP="00D00C78">
            <w:pPr>
              <w:numPr>
                <w:ilvl w:val="0"/>
                <w:numId w:val="13"/>
              </w:numPr>
              <w:jc w:val="both"/>
              <w:rPr>
                <w:iCs/>
                <w:color w:val="000000"/>
              </w:rPr>
            </w:pPr>
            <w:r>
              <w:rPr>
                <w:iCs/>
                <w:color w:val="000000"/>
              </w:rPr>
              <w:t>Ministrstvo za okolje, podnebje in energijo,</w:t>
            </w:r>
          </w:p>
          <w:p w14:paraId="7B2670C2" w14:textId="45C5E845" w:rsidR="004643B0" w:rsidRPr="004643B0" w:rsidRDefault="004643B0" w:rsidP="00D00C78">
            <w:pPr>
              <w:numPr>
                <w:ilvl w:val="0"/>
                <w:numId w:val="13"/>
              </w:numPr>
              <w:jc w:val="both"/>
              <w:rPr>
                <w:iCs/>
                <w:color w:val="000000"/>
              </w:rPr>
            </w:pPr>
            <w:r w:rsidRPr="004643B0">
              <w:rPr>
                <w:iCs/>
                <w:color w:val="000000"/>
              </w:rPr>
              <w:t>Ministrstvo za gospod</w:t>
            </w:r>
            <w:r w:rsidR="00EA553E">
              <w:rPr>
                <w:iCs/>
                <w:color w:val="000000"/>
              </w:rPr>
              <w:t>arstvo, turizem in šport,</w:t>
            </w:r>
          </w:p>
          <w:p w14:paraId="6FA9398F" w14:textId="77777777" w:rsidR="00CF7542" w:rsidRPr="00CF7542" w:rsidRDefault="004643B0" w:rsidP="00D00C78">
            <w:pPr>
              <w:numPr>
                <w:ilvl w:val="0"/>
                <w:numId w:val="13"/>
              </w:numPr>
              <w:jc w:val="both"/>
              <w:rPr>
                <w:iCs/>
                <w:color w:val="000000"/>
              </w:rPr>
            </w:pPr>
            <w:r w:rsidRPr="004643B0">
              <w:rPr>
                <w:iCs/>
                <w:color w:val="000000"/>
              </w:rPr>
              <w:t>Ministrstvo za finance,</w:t>
            </w:r>
            <w:r w:rsidR="00CF7542">
              <w:t xml:space="preserve"> </w:t>
            </w:r>
          </w:p>
          <w:p w14:paraId="0CC0C142" w14:textId="29648F89" w:rsidR="004643B0" w:rsidRDefault="00CF7542" w:rsidP="00D00C78">
            <w:pPr>
              <w:numPr>
                <w:ilvl w:val="0"/>
                <w:numId w:val="13"/>
              </w:numPr>
              <w:jc w:val="both"/>
              <w:rPr>
                <w:iCs/>
                <w:color w:val="000000"/>
              </w:rPr>
            </w:pPr>
            <w:r w:rsidRPr="00CF7542">
              <w:rPr>
                <w:iCs/>
                <w:color w:val="000000"/>
              </w:rPr>
              <w:t xml:space="preserve">Ministrstvo za </w:t>
            </w:r>
            <w:r w:rsidR="003F2E2E">
              <w:rPr>
                <w:iCs/>
                <w:color w:val="000000"/>
              </w:rPr>
              <w:t>infrastrukturo,</w:t>
            </w:r>
          </w:p>
          <w:p w14:paraId="55F2FBB8" w14:textId="187FEDFD" w:rsidR="003F2E2E" w:rsidRDefault="003F2E2E" w:rsidP="00D00C78">
            <w:pPr>
              <w:numPr>
                <w:ilvl w:val="0"/>
                <w:numId w:val="13"/>
              </w:numPr>
              <w:jc w:val="both"/>
              <w:rPr>
                <w:iCs/>
                <w:color w:val="000000"/>
              </w:rPr>
            </w:pPr>
            <w:r>
              <w:rPr>
                <w:iCs/>
                <w:color w:val="000000"/>
              </w:rPr>
              <w:t xml:space="preserve">Ministrstvo za kohezijo in regionalni razvoj, </w:t>
            </w:r>
          </w:p>
          <w:p w14:paraId="59C2C157" w14:textId="77777777" w:rsidR="009F1587" w:rsidRPr="004643B0" w:rsidRDefault="009F1587" w:rsidP="00D00C78">
            <w:pPr>
              <w:numPr>
                <w:ilvl w:val="0"/>
                <w:numId w:val="13"/>
              </w:numPr>
              <w:jc w:val="both"/>
              <w:rPr>
                <w:iCs/>
                <w:color w:val="000000"/>
              </w:rPr>
            </w:pPr>
            <w:r>
              <w:rPr>
                <w:iCs/>
                <w:color w:val="000000"/>
              </w:rPr>
              <w:t>Služba Vlade Republike Slovenije za zakonodajo</w:t>
            </w:r>
            <w:r w:rsidR="00E801BE">
              <w:rPr>
                <w:iCs/>
                <w:color w:val="000000"/>
              </w:rPr>
              <w:t>.</w:t>
            </w:r>
          </w:p>
          <w:p w14:paraId="1F800192" w14:textId="77777777" w:rsidR="005324B0" w:rsidRDefault="005324B0" w:rsidP="008829C8">
            <w:pPr>
              <w:autoSpaceDE w:val="0"/>
              <w:autoSpaceDN w:val="0"/>
              <w:adjustRightInd w:val="0"/>
              <w:spacing w:line="276" w:lineRule="auto"/>
              <w:jc w:val="both"/>
              <w:rPr>
                <w:iCs/>
                <w:szCs w:val="20"/>
              </w:rPr>
            </w:pPr>
          </w:p>
          <w:p w14:paraId="16D744BF" w14:textId="77777777" w:rsidR="005324B0" w:rsidRDefault="005324B0" w:rsidP="008829C8">
            <w:pPr>
              <w:autoSpaceDE w:val="0"/>
              <w:autoSpaceDN w:val="0"/>
              <w:adjustRightInd w:val="0"/>
              <w:spacing w:line="240" w:lineRule="auto"/>
              <w:jc w:val="both"/>
              <w:rPr>
                <w:rFonts w:cs="Arial"/>
                <w:color w:val="000000"/>
                <w:szCs w:val="20"/>
                <w:lang w:eastAsia="sl-SI"/>
              </w:rPr>
            </w:pPr>
            <w:r>
              <w:rPr>
                <w:rFonts w:cs="Arial"/>
                <w:color w:val="000000"/>
                <w:szCs w:val="20"/>
                <w:lang w:eastAsia="sl-SI"/>
              </w:rPr>
              <w:t>Priloga:</w:t>
            </w:r>
          </w:p>
          <w:p w14:paraId="5B7500DE" w14:textId="460DB297" w:rsidR="006E5F3F" w:rsidRPr="005324B0" w:rsidRDefault="00C648AB" w:rsidP="00D00C78">
            <w:pPr>
              <w:pStyle w:val="Odstavekseznama"/>
              <w:numPr>
                <w:ilvl w:val="0"/>
                <w:numId w:val="13"/>
              </w:numPr>
              <w:autoSpaceDE w:val="0"/>
              <w:autoSpaceDN w:val="0"/>
              <w:adjustRightInd w:val="0"/>
              <w:spacing w:line="240" w:lineRule="auto"/>
              <w:jc w:val="both"/>
              <w:rPr>
                <w:rFonts w:cs="Arial"/>
                <w:color w:val="000000"/>
                <w:szCs w:val="20"/>
                <w:lang w:eastAsia="sl-SI"/>
              </w:rPr>
            </w:pPr>
            <w:r>
              <w:rPr>
                <w:rFonts w:ascii="Arial" w:eastAsia="Times New Roman" w:hAnsi="Arial"/>
                <w:iCs/>
                <w:color w:val="000000"/>
                <w:sz w:val="20"/>
                <w:szCs w:val="24"/>
                <w:lang w:val="sl-SI" w:eastAsia="en-US"/>
              </w:rPr>
              <w:t xml:space="preserve">Obrazložitev gradiva </w:t>
            </w:r>
          </w:p>
        </w:tc>
      </w:tr>
      <w:tr w:rsidR="00D731F3" w:rsidRPr="008D1759" w14:paraId="0920F5B3" w14:textId="77777777" w:rsidTr="008829C8">
        <w:tc>
          <w:tcPr>
            <w:tcW w:w="9217" w:type="dxa"/>
            <w:gridSpan w:val="12"/>
            <w:shd w:val="clear" w:color="auto" w:fill="F2F2F2"/>
          </w:tcPr>
          <w:p w14:paraId="04AA0225" w14:textId="77777777" w:rsidR="00D731F3" w:rsidRPr="00D43F59" w:rsidRDefault="006D59AF" w:rsidP="008829C8">
            <w:pPr>
              <w:pStyle w:val="Neotevilenodstavek"/>
              <w:spacing w:after="0" w:line="276" w:lineRule="auto"/>
              <w:ind w:left="459" w:hanging="459"/>
              <w:rPr>
                <w:b/>
                <w:iCs/>
                <w:sz w:val="20"/>
                <w:szCs w:val="20"/>
              </w:rPr>
            </w:pPr>
            <w:r w:rsidRPr="006D59AF">
              <w:rPr>
                <w:b/>
                <w:sz w:val="20"/>
                <w:szCs w:val="20"/>
              </w:rPr>
              <w:t>2.   Predlog za obravnavo predloga zakona po nujnem ali skrajšanem postopku v državnem zboru z obrazložitvijo razlogov:</w:t>
            </w:r>
            <w:r>
              <w:rPr>
                <w:b/>
                <w:szCs w:val="20"/>
              </w:rPr>
              <w:t xml:space="preserve">  </w:t>
            </w:r>
          </w:p>
        </w:tc>
      </w:tr>
      <w:tr w:rsidR="00FB05AF" w:rsidRPr="008D1759" w14:paraId="20FEB317" w14:textId="77777777" w:rsidTr="008829C8">
        <w:tc>
          <w:tcPr>
            <w:tcW w:w="9217" w:type="dxa"/>
            <w:gridSpan w:val="12"/>
            <w:shd w:val="clear" w:color="auto" w:fill="FFFFFF"/>
          </w:tcPr>
          <w:p w14:paraId="507E869A" w14:textId="77777777" w:rsidR="00FB05AF" w:rsidRDefault="00FB05AF" w:rsidP="008829C8">
            <w:pPr>
              <w:pStyle w:val="Neotevilenodstavek"/>
              <w:spacing w:after="0" w:line="276" w:lineRule="auto"/>
              <w:ind w:left="459" w:hanging="459"/>
              <w:rPr>
                <w:b/>
                <w:sz w:val="20"/>
                <w:szCs w:val="20"/>
              </w:rPr>
            </w:pPr>
            <w:r>
              <w:rPr>
                <w:b/>
                <w:sz w:val="20"/>
                <w:szCs w:val="20"/>
              </w:rPr>
              <w:lastRenderedPageBreak/>
              <w:t>/</w:t>
            </w:r>
          </w:p>
        </w:tc>
      </w:tr>
      <w:tr w:rsidR="00D731F3" w:rsidRPr="008D1759" w14:paraId="5641E6AF" w14:textId="77777777" w:rsidTr="008829C8">
        <w:tc>
          <w:tcPr>
            <w:tcW w:w="9217" w:type="dxa"/>
            <w:gridSpan w:val="12"/>
            <w:shd w:val="clear" w:color="auto" w:fill="F2F2F2"/>
          </w:tcPr>
          <w:p w14:paraId="66293778" w14:textId="77777777" w:rsidR="00D731F3" w:rsidRPr="00D43F59" w:rsidRDefault="00D731F3" w:rsidP="008829C8">
            <w:pPr>
              <w:pStyle w:val="Neotevilenodstavek"/>
              <w:spacing w:after="0" w:line="276" w:lineRule="auto"/>
              <w:rPr>
                <w:b/>
                <w:iCs/>
                <w:sz w:val="20"/>
                <w:szCs w:val="20"/>
              </w:rPr>
            </w:pPr>
            <w:r w:rsidRPr="00D43F59">
              <w:rPr>
                <w:b/>
                <w:sz w:val="20"/>
                <w:szCs w:val="20"/>
              </w:rPr>
              <w:t>3.</w:t>
            </w:r>
            <w:r>
              <w:rPr>
                <w:b/>
                <w:sz w:val="20"/>
                <w:szCs w:val="20"/>
              </w:rPr>
              <w:t>a</w:t>
            </w:r>
            <w:r w:rsidRPr="00D43F59">
              <w:rPr>
                <w:b/>
                <w:sz w:val="20"/>
                <w:szCs w:val="20"/>
              </w:rPr>
              <w:t xml:space="preserve"> </w:t>
            </w:r>
            <w:r w:rsidR="00FB05AF">
              <w:rPr>
                <w:b/>
                <w:sz w:val="20"/>
                <w:szCs w:val="20"/>
              </w:rPr>
              <w:t xml:space="preserve">  </w:t>
            </w:r>
            <w:r w:rsidRPr="00D43F59">
              <w:rPr>
                <w:b/>
                <w:sz w:val="20"/>
                <w:szCs w:val="20"/>
              </w:rPr>
              <w:t>Osebe, odgovorne za strokovno pripravo in usklajenost gradiva:</w:t>
            </w:r>
          </w:p>
        </w:tc>
      </w:tr>
      <w:tr w:rsidR="00D731F3" w:rsidRPr="008D1759" w14:paraId="435311FD" w14:textId="77777777" w:rsidTr="008829C8">
        <w:tc>
          <w:tcPr>
            <w:tcW w:w="9217" w:type="dxa"/>
            <w:gridSpan w:val="12"/>
          </w:tcPr>
          <w:p w14:paraId="139769D5" w14:textId="5C75B2E5" w:rsidR="003F2E2E" w:rsidRDefault="003F2E2E" w:rsidP="00D00C78">
            <w:pPr>
              <w:pStyle w:val="Poglavje"/>
              <w:widowControl w:val="0"/>
              <w:numPr>
                <w:ilvl w:val="0"/>
                <w:numId w:val="12"/>
              </w:numPr>
              <w:spacing w:before="0" w:after="0" w:line="260" w:lineRule="exact"/>
              <w:jc w:val="left"/>
              <w:rPr>
                <w:b w:val="0"/>
                <w:sz w:val="20"/>
                <w:szCs w:val="20"/>
              </w:rPr>
            </w:pPr>
            <w:r>
              <w:rPr>
                <w:b w:val="0"/>
                <w:sz w:val="20"/>
                <w:szCs w:val="20"/>
              </w:rPr>
              <w:t xml:space="preserve">Matjaž Han, minister, </w:t>
            </w:r>
            <w:r w:rsidR="00507F8A">
              <w:rPr>
                <w:b w:val="0"/>
                <w:sz w:val="20"/>
                <w:szCs w:val="20"/>
              </w:rPr>
              <w:t>Ministrstvo za gospodarstvo, turizem in šport,</w:t>
            </w:r>
          </w:p>
          <w:p w14:paraId="32C3C056" w14:textId="39665691" w:rsidR="003F2E2E" w:rsidRPr="00656733" w:rsidRDefault="003F2E2E" w:rsidP="00D00C78">
            <w:pPr>
              <w:pStyle w:val="Poglavje"/>
              <w:widowControl w:val="0"/>
              <w:numPr>
                <w:ilvl w:val="0"/>
                <w:numId w:val="12"/>
              </w:numPr>
              <w:spacing w:before="0" w:after="0" w:line="260" w:lineRule="exact"/>
              <w:jc w:val="left"/>
              <w:rPr>
                <w:b w:val="0"/>
                <w:sz w:val="20"/>
                <w:szCs w:val="20"/>
              </w:rPr>
            </w:pPr>
            <w:r w:rsidRPr="00656733">
              <w:rPr>
                <w:b w:val="0"/>
                <w:sz w:val="20"/>
                <w:szCs w:val="20"/>
              </w:rPr>
              <w:t xml:space="preserve">Matevž Frangež, državni sekretar, </w:t>
            </w:r>
            <w:r w:rsidR="00507F8A">
              <w:rPr>
                <w:b w:val="0"/>
                <w:sz w:val="20"/>
                <w:szCs w:val="20"/>
              </w:rPr>
              <w:t xml:space="preserve"> Ministrstvo za gospodarstvo, turizem in šport,</w:t>
            </w:r>
          </w:p>
          <w:p w14:paraId="1AB66050" w14:textId="6F0D5810" w:rsidR="003F2E2E" w:rsidRPr="00656733" w:rsidRDefault="003F2E2E" w:rsidP="00D00C78">
            <w:pPr>
              <w:pStyle w:val="Poglavje"/>
              <w:widowControl w:val="0"/>
              <w:numPr>
                <w:ilvl w:val="0"/>
                <w:numId w:val="12"/>
              </w:numPr>
              <w:spacing w:before="0" w:after="0" w:line="260" w:lineRule="exact"/>
              <w:jc w:val="left"/>
              <w:rPr>
                <w:b w:val="0"/>
                <w:sz w:val="20"/>
                <w:szCs w:val="20"/>
              </w:rPr>
            </w:pPr>
            <w:r w:rsidRPr="00656733">
              <w:rPr>
                <w:b w:val="0"/>
                <w:sz w:val="20"/>
                <w:szCs w:val="20"/>
              </w:rPr>
              <w:t xml:space="preserve">Jernej Salecl, generalni direktor Direktorata za industrijo, podjetništvo in internacionalizacijo, </w:t>
            </w:r>
            <w:r w:rsidR="00507F8A">
              <w:rPr>
                <w:b w:val="0"/>
                <w:sz w:val="20"/>
                <w:szCs w:val="20"/>
              </w:rPr>
              <w:t xml:space="preserve"> Ministrstvo za gospodarstvo, turizem in šport,</w:t>
            </w:r>
          </w:p>
          <w:p w14:paraId="619991F6" w14:textId="68624A6D" w:rsidR="003F2E2E" w:rsidRPr="007D2922" w:rsidRDefault="003F2E2E" w:rsidP="00D00C78">
            <w:pPr>
              <w:pStyle w:val="Poglavje"/>
              <w:widowControl w:val="0"/>
              <w:numPr>
                <w:ilvl w:val="0"/>
                <w:numId w:val="12"/>
              </w:numPr>
              <w:spacing w:before="0" w:after="0" w:line="260" w:lineRule="exact"/>
              <w:jc w:val="left"/>
            </w:pPr>
            <w:r>
              <w:rPr>
                <w:b w:val="0"/>
                <w:sz w:val="20"/>
                <w:szCs w:val="20"/>
              </w:rPr>
              <w:t xml:space="preserve">mag. Matej Skočir, namestnik </w:t>
            </w:r>
            <w:r w:rsidRPr="00656733">
              <w:rPr>
                <w:b w:val="0"/>
                <w:sz w:val="20"/>
                <w:szCs w:val="20"/>
              </w:rPr>
              <w:t>generaln</w:t>
            </w:r>
            <w:r>
              <w:rPr>
                <w:b w:val="0"/>
                <w:sz w:val="20"/>
                <w:szCs w:val="20"/>
              </w:rPr>
              <w:t>ega</w:t>
            </w:r>
            <w:r w:rsidRPr="00656733">
              <w:rPr>
                <w:b w:val="0"/>
                <w:sz w:val="20"/>
                <w:szCs w:val="20"/>
              </w:rPr>
              <w:t xml:space="preserve"> direktor</w:t>
            </w:r>
            <w:r>
              <w:rPr>
                <w:b w:val="0"/>
                <w:sz w:val="20"/>
                <w:szCs w:val="20"/>
              </w:rPr>
              <w:t>ja</w:t>
            </w:r>
            <w:r w:rsidRPr="00656733">
              <w:rPr>
                <w:b w:val="0"/>
                <w:sz w:val="20"/>
                <w:szCs w:val="20"/>
              </w:rPr>
              <w:t xml:space="preserve"> Direktorata za industrijo, podjetništvo in internacionalizacijo,</w:t>
            </w:r>
            <w:r w:rsidR="00507F8A">
              <w:rPr>
                <w:b w:val="0"/>
                <w:sz w:val="20"/>
                <w:szCs w:val="20"/>
              </w:rPr>
              <w:t xml:space="preserve"> Ministrstvo za gospodarstvo, turizem in šport,</w:t>
            </w:r>
          </w:p>
          <w:p w14:paraId="5B816D59" w14:textId="4FDE3CFA" w:rsidR="003F2E2E" w:rsidRPr="007D2922" w:rsidRDefault="003F2E2E" w:rsidP="00D00C78">
            <w:pPr>
              <w:pStyle w:val="Poglavje"/>
              <w:widowControl w:val="0"/>
              <w:numPr>
                <w:ilvl w:val="0"/>
                <w:numId w:val="12"/>
              </w:numPr>
              <w:spacing w:before="0" w:after="0" w:line="260" w:lineRule="exact"/>
              <w:jc w:val="left"/>
              <w:rPr>
                <w:b w:val="0"/>
                <w:sz w:val="20"/>
                <w:szCs w:val="20"/>
              </w:rPr>
            </w:pPr>
            <w:r>
              <w:rPr>
                <w:b w:val="0"/>
                <w:sz w:val="20"/>
                <w:szCs w:val="20"/>
              </w:rPr>
              <w:t>Jože Novak, minister</w:t>
            </w:r>
            <w:r w:rsidR="006D250D">
              <w:rPr>
                <w:b w:val="0"/>
                <w:sz w:val="20"/>
                <w:szCs w:val="20"/>
              </w:rPr>
              <w:t>,</w:t>
            </w:r>
            <w:r w:rsidR="00507F8A">
              <w:rPr>
                <w:b w:val="0"/>
                <w:sz w:val="20"/>
                <w:szCs w:val="20"/>
              </w:rPr>
              <w:t xml:space="preserve"> Ministrstvo za naravne vire in prostor</w:t>
            </w:r>
          </w:p>
          <w:p w14:paraId="0F4CC727" w14:textId="261BA21B" w:rsidR="003F2E2E" w:rsidRPr="007D2922" w:rsidRDefault="003F2E2E" w:rsidP="00D00C78">
            <w:pPr>
              <w:pStyle w:val="Poglavje"/>
              <w:widowControl w:val="0"/>
              <w:numPr>
                <w:ilvl w:val="0"/>
                <w:numId w:val="12"/>
              </w:numPr>
              <w:spacing w:before="0" w:after="0" w:line="260" w:lineRule="exact"/>
              <w:jc w:val="left"/>
              <w:rPr>
                <w:b w:val="0"/>
                <w:sz w:val="20"/>
                <w:szCs w:val="20"/>
              </w:rPr>
            </w:pPr>
            <w:r>
              <w:rPr>
                <w:b w:val="0"/>
                <w:sz w:val="20"/>
                <w:szCs w:val="20"/>
              </w:rPr>
              <w:t>m</w:t>
            </w:r>
            <w:r w:rsidRPr="007D2922">
              <w:rPr>
                <w:b w:val="0"/>
                <w:sz w:val="20"/>
                <w:szCs w:val="20"/>
              </w:rPr>
              <w:t>ag. Miran Gajš</w:t>
            </w:r>
            <w:r>
              <w:rPr>
                <w:b w:val="0"/>
                <w:sz w:val="20"/>
                <w:szCs w:val="20"/>
              </w:rPr>
              <w:t>ek, d</w:t>
            </w:r>
            <w:r w:rsidRPr="007D2922">
              <w:rPr>
                <w:b w:val="0"/>
                <w:sz w:val="20"/>
                <w:szCs w:val="20"/>
              </w:rPr>
              <w:t>ržavni sekretar</w:t>
            </w:r>
            <w:r w:rsidR="006D250D">
              <w:rPr>
                <w:b w:val="0"/>
                <w:sz w:val="20"/>
                <w:szCs w:val="20"/>
              </w:rPr>
              <w:t>,</w:t>
            </w:r>
            <w:r w:rsidR="00507F8A">
              <w:rPr>
                <w:b w:val="0"/>
                <w:sz w:val="20"/>
                <w:szCs w:val="20"/>
              </w:rPr>
              <w:t xml:space="preserve">  Ministrstvo za naravne vire in prostor,</w:t>
            </w:r>
          </w:p>
          <w:p w14:paraId="0F80D227" w14:textId="62DDBF98" w:rsidR="003F2E2E" w:rsidRPr="007D2922" w:rsidRDefault="003F2E2E" w:rsidP="00D00C78">
            <w:pPr>
              <w:pStyle w:val="Poglavje"/>
              <w:widowControl w:val="0"/>
              <w:numPr>
                <w:ilvl w:val="0"/>
                <w:numId w:val="12"/>
              </w:numPr>
              <w:spacing w:before="0" w:after="0" w:line="260" w:lineRule="exact"/>
              <w:jc w:val="left"/>
              <w:rPr>
                <w:b w:val="0"/>
                <w:sz w:val="20"/>
                <w:szCs w:val="20"/>
              </w:rPr>
            </w:pPr>
            <w:r w:rsidRPr="007D2922">
              <w:rPr>
                <w:b w:val="0"/>
                <w:sz w:val="20"/>
                <w:szCs w:val="20"/>
              </w:rPr>
              <w:t>dr. Nataša Bratina, generalna direktorica Direktorata za prostor in graditev</w:t>
            </w:r>
            <w:r w:rsidR="006D250D">
              <w:rPr>
                <w:b w:val="0"/>
                <w:sz w:val="20"/>
                <w:szCs w:val="20"/>
              </w:rPr>
              <w:t>,</w:t>
            </w:r>
            <w:r w:rsidRPr="007D2922">
              <w:rPr>
                <w:b w:val="0"/>
                <w:sz w:val="20"/>
                <w:szCs w:val="20"/>
              </w:rPr>
              <w:t xml:space="preserve"> </w:t>
            </w:r>
            <w:r w:rsidR="00507F8A">
              <w:rPr>
                <w:b w:val="0"/>
                <w:sz w:val="20"/>
                <w:szCs w:val="20"/>
              </w:rPr>
              <w:t xml:space="preserve"> Ministrstvo za naravne vire in prostor,</w:t>
            </w:r>
          </w:p>
          <w:p w14:paraId="2F73B305" w14:textId="72BB958C" w:rsidR="00CF7542" w:rsidRDefault="003F2E2E" w:rsidP="00D00C78">
            <w:pPr>
              <w:pStyle w:val="Poglavje"/>
              <w:widowControl w:val="0"/>
              <w:numPr>
                <w:ilvl w:val="0"/>
                <w:numId w:val="12"/>
              </w:numPr>
              <w:spacing w:before="0" w:after="0" w:line="260" w:lineRule="exact"/>
              <w:jc w:val="left"/>
              <w:rPr>
                <w:b w:val="0"/>
                <w:sz w:val="20"/>
                <w:szCs w:val="20"/>
              </w:rPr>
            </w:pPr>
            <w:r w:rsidRPr="007D2922">
              <w:rPr>
                <w:b w:val="0"/>
                <w:sz w:val="20"/>
                <w:szCs w:val="20"/>
              </w:rPr>
              <w:t>mag. Damijan Uranker, namestnik</w:t>
            </w:r>
            <w:r>
              <w:rPr>
                <w:b w:val="0"/>
                <w:sz w:val="20"/>
                <w:szCs w:val="20"/>
              </w:rPr>
              <w:t xml:space="preserve"> </w:t>
            </w:r>
            <w:r w:rsidRPr="007D2922">
              <w:rPr>
                <w:b w:val="0"/>
                <w:sz w:val="20"/>
                <w:szCs w:val="20"/>
              </w:rPr>
              <w:t>generaln</w:t>
            </w:r>
            <w:r>
              <w:rPr>
                <w:b w:val="0"/>
                <w:sz w:val="20"/>
                <w:szCs w:val="20"/>
              </w:rPr>
              <w:t>e</w:t>
            </w:r>
            <w:r w:rsidRPr="007D2922">
              <w:rPr>
                <w:b w:val="0"/>
                <w:sz w:val="20"/>
                <w:szCs w:val="20"/>
              </w:rPr>
              <w:t xml:space="preserve"> direktoric</w:t>
            </w:r>
            <w:r>
              <w:rPr>
                <w:b w:val="0"/>
                <w:sz w:val="20"/>
                <w:szCs w:val="20"/>
              </w:rPr>
              <w:t>e</w:t>
            </w:r>
            <w:r w:rsidRPr="007D2922">
              <w:rPr>
                <w:b w:val="0"/>
                <w:sz w:val="20"/>
                <w:szCs w:val="20"/>
              </w:rPr>
              <w:t xml:space="preserve"> Direktorata za prostor in graditev</w:t>
            </w:r>
            <w:r w:rsidR="006D250D">
              <w:rPr>
                <w:b w:val="0"/>
                <w:sz w:val="20"/>
                <w:szCs w:val="20"/>
              </w:rPr>
              <w:t>,</w:t>
            </w:r>
            <w:r w:rsidR="00507F8A">
              <w:rPr>
                <w:b w:val="0"/>
                <w:sz w:val="20"/>
                <w:szCs w:val="20"/>
              </w:rPr>
              <w:t xml:space="preserve">  Ministrstvo za naravne vire in prostor,</w:t>
            </w:r>
          </w:p>
          <w:p w14:paraId="059483F5" w14:textId="7311F7C9" w:rsidR="006D250D" w:rsidRDefault="006D250D" w:rsidP="00D00C78">
            <w:pPr>
              <w:pStyle w:val="Poglavje"/>
              <w:widowControl w:val="0"/>
              <w:numPr>
                <w:ilvl w:val="0"/>
                <w:numId w:val="12"/>
              </w:numPr>
              <w:spacing w:before="0" w:after="0" w:line="260" w:lineRule="exact"/>
              <w:jc w:val="left"/>
              <w:rPr>
                <w:b w:val="0"/>
                <w:sz w:val="20"/>
                <w:szCs w:val="20"/>
              </w:rPr>
            </w:pPr>
            <w:r>
              <w:rPr>
                <w:b w:val="0"/>
                <w:sz w:val="20"/>
                <w:szCs w:val="20"/>
              </w:rPr>
              <w:t>Srečko Đurov, državni sekretar,</w:t>
            </w:r>
            <w:r w:rsidR="00507F8A">
              <w:rPr>
                <w:b w:val="0"/>
                <w:sz w:val="20"/>
                <w:szCs w:val="20"/>
              </w:rPr>
              <w:t xml:space="preserve"> Ministrstvo za kohezijo in regionalni razvoj,</w:t>
            </w:r>
          </w:p>
          <w:p w14:paraId="43E5008E" w14:textId="57599B0B" w:rsidR="006D250D" w:rsidRPr="003F2E2E" w:rsidRDefault="006D250D" w:rsidP="00D00C78">
            <w:pPr>
              <w:pStyle w:val="Poglavje"/>
              <w:widowControl w:val="0"/>
              <w:numPr>
                <w:ilvl w:val="0"/>
                <w:numId w:val="12"/>
              </w:numPr>
              <w:spacing w:before="0" w:after="0" w:line="260" w:lineRule="exact"/>
              <w:jc w:val="left"/>
              <w:rPr>
                <w:b w:val="0"/>
                <w:sz w:val="20"/>
                <w:szCs w:val="20"/>
              </w:rPr>
            </w:pPr>
            <w:r>
              <w:rPr>
                <w:b w:val="0"/>
                <w:sz w:val="20"/>
                <w:szCs w:val="20"/>
              </w:rPr>
              <w:t>Dr. Robert Drobnič, generalni direktor Direktorata za regionalni razvoj</w:t>
            </w:r>
            <w:r w:rsidR="00507F8A">
              <w:rPr>
                <w:b w:val="0"/>
                <w:sz w:val="20"/>
                <w:szCs w:val="20"/>
              </w:rPr>
              <w:t>, Ministrstvo za kohezijo in regionalni razvoj</w:t>
            </w:r>
            <w:r>
              <w:rPr>
                <w:b w:val="0"/>
                <w:sz w:val="20"/>
                <w:szCs w:val="20"/>
              </w:rPr>
              <w:t>.</w:t>
            </w:r>
          </w:p>
        </w:tc>
      </w:tr>
      <w:tr w:rsidR="00D731F3" w:rsidRPr="008D1759" w14:paraId="66710EFA" w14:textId="77777777" w:rsidTr="008829C8">
        <w:tc>
          <w:tcPr>
            <w:tcW w:w="9217" w:type="dxa"/>
            <w:gridSpan w:val="12"/>
            <w:shd w:val="clear" w:color="auto" w:fill="F2F2F2"/>
          </w:tcPr>
          <w:p w14:paraId="64E5FEE9" w14:textId="77777777" w:rsidR="00D731F3" w:rsidRPr="005F3DC6" w:rsidRDefault="00D731F3" w:rsidP="008829C8">
            <w:pPr>
              <w:pStyle w:val="Neotevilenodstavek"/>
              <w:spacing w:after="0" w:line="276" w:lineRule="auto"/>
              <w:rPr>
                <w:b/>
                <w:iCs/>
                <w:sz w:val="20"/>
                <w:szCs w:val="20"/>
              </w:rPr>
            </w:pPr>
            <w:r>
              <w:rPr>
                <w:b/>
                <w:iCs/>
                <w:sz w:val="20"/>
                <w:szCs w:val="20"/>
              </w:rPr>
              <w:t xml:space="preserve">3.b </w:t>
            </w:r>
            <w:r w:rsidR="00FB05AF">
              <w:rPr>
                <w:b/>
                <w:iCs/>
                <w:sz w:val="20"/>
                <w:szCs w:val="20"/>
              </w:rPr>
              <w:t xml:space="preserve"> </w:t>
            </w:r>
            <w:r w:rsidR="006D59AF">
              <w:rPr>
                <w:b/>
                <w:iCs/>
                <w:sz w:val="20"/>
                <w:szCs w:val="20"/>
              </w:rPr>
              <w:t xml:space="preserve"> </w:t>
            </w:r>
            <w:r>
              <w:rPr>
                <w:b/>
                <w:iCs/>
                <w:sz w:val="20"/>
                <w:szCs w:val="20"/>
              </w:rPr>
              <w:t xml:space="preserve">Zunanji strokovnjaki, ki so </w:t>
            </w:r>
            <w:r w:rsidRPr="005F3DC6">
              <w:rPr>
                <w:b/>
                <w:sz w:val="20"/>
                <w:szCs w:val="20"/>
              </w:rPr>
              <w:t>sodelovali pri pripravi dela ali celotnega gradiva</w:t>
            </w:r>
            <w:r>
              <w:rPr>
                <w:b/>
                <w:sz w:val="20"/>
                <w:szCs w:val="20"/>
              </w:rPr>
              <w:t>:</w:t>
            </w:r>
            <w:r w:rsidR="002A12FA">
              <w:rPr>
                <w:b/>
                <w:sz w:val="20"/>
                <w:szCs w:val="20"/>
              </w:rPr>
              <w:t xml:space="preserve"> </w:t>
            </w:r>
            <w:r w:rsidR="00B95E90">
              <w:rPr>
                <w:b/>
                <w:sz w:val="20"/>
                <w:szCs w:val="20"/>
              </w:rPr>
              <w:t>/</w:t>
            </w:r>
          </w:p>
        </w:tc>
      </w:tr>
      <w:tr w:rsidR="00D731F3" w:rsidRPr="008D1759" w14:paraId="505825AC" w14:textId="77777777" w:rsidTr="008829C8">
        <w:tc>
          <w:tcPr>
            <w:tcW w:w="9217" w:type="dxa"/>
            <w:gridSpan w:val="12"/>
            <w:shd w:val="clear" w:color="auto" w:fill="F2F2F2"/>
          </w:tcPr>
          <w:p w14:paraId="1A5880F6" w14:textId="77777777" w:rsidR="00D731F3" w:rsidRPr="00D43F59" w:rsidRDefault="00D731F3" w:rsidP="008829C8">
            <w:pPr>
              <w:pStyle w:val="Neotevilenodstavek"/>
              <w:spacing w:after="0" w:line="276" w:lineRule="auto"/>
              <w:rPr>
                <w:b/>
                <w:iCs/>
                <w:sz w:val="20"/>
                <w:szCs w:val="20"/>
              </w:rPr>
            </w:pPr>
            <w:r w:rsidRPr="00D43F59">
              <w:rPr>
                <w:b/>
                <w:sz w:val="20"/>
                <w:szCs w:val="20"/>
              </w:rPr>
              <w:t xml:space="preserve">4. </w:t>
            </w:r>
            <w:r w:rsidR="00FB05AF">
              <w:rPr>
                <w:b/>
                <w:sz w:val="20"/>
                <w:szCs w:val="20"/>
              </w:rPr>
              <w:t xml:space="preserve">    </w:t>
            </w:r>
            <w:r w:rsidRPr="00D43F59">
              <w:rPr>
                <w:b/>
                <w:sz w:val="20"/>
                <w:szCs w:val="20"/>
              </w:rPr>
              <w:t>Predstavniki vlad</w:t>
            </w:r>
            <w:r>
              <w:rPr>
                <w:b/>
                <w:sz w:val="20"/>
                <w:szCs w:val="20"/>
              </w:rPr>
              <w:t>e, ki bodo sodelovali pri delu d</w:t>
            </w:r>
            <w:r w:rsidRPr="00D43F59">
              <w:rPr>
                <w:b/>
                <w:sz w:val="20"/>
                <w:szCs w:val="20"/>
              </w:rPr>
              <w:t>ržavnega zbora:</w:t>
            </w:r>
            <w:r w:rsidR="002A12FA">
              <w:rPr>
                <w:b/>
                <w:sz w:val="20"/>
                <w:szCs w:val="20"/>
              </w:rPr>
              <w:t xml:space="preserve">  </w:t>
            </w:r>
            <w:r w:rsidR="00B95E90">
              <w:rPr>
                <w:b/>
                <w:sz w:val="20"/>
                <w:szCs w:val="20"/>
              </w:rPr>
              <w:t>/</w:t>
            </w:r>
          </w:p>
        </w:tc>
      </w:tr>
      <w:tr w:rsidR="00D731F3" w:rsidRPr="008D1759" w14:paraId="79083C12" w14:textId="77777777" w:rsidTr="008829C8">
        <w:tc>
          <w:tcPr>
            <w:tcW w:w="9217" w:type="dxa"/>
            <w:gridSpan w:val="12"/>
            <w:shd w:val="clear" w:color="auto" w:fill="F2F2F2"/>
          </w:tcPr>
          <w:p w14:paraId="60AA1C30" w14:textId="77777777" w:rsidR="00D731F3" w:rsidRPr="008D1759" w:rsidRDefault="00D731F3" w:rsidP="008829C8">
            <w:pPr>
              <w:pStyle w:val="Oddelek"/>
              <w:numPr>
                <w:ilvl w:val="0"/>
                <w:numId w:val="0"/>
              </w:numPr>
              <w:spacing w:before="60" w:after="0" w:line="276" w:lineRule="auto"/>
              <w:jc w:val="left"/>
              <w:rPr>
                <w:sz w:val="20"/>
                <w:szCs w:val="20"/>
              </w:rPr>
            </w:pPr>
            <w:r>
              <w:rPr>
                <w:sz w:val="20"/>
                <w:szCs w:val="20"/>
              </w:rPr>
              <w:t>5</w:t>
            </w:r>
            <w:r w:rsidRPr="008D1759">
              <w:rPr>
                <w:sz w:val="20"/>
                <w:szCs w:val="20"/>
              </w:rPr>
              <w:t xml:space="preserve">. </w:t>
            </w:r>
            <w:r w:rsidR="00FB05AF">
              <w:rPr>
                <w:sz w:val="20"/>
                <w:szCs w:val="20"/>
              </w:rPr>
              <w:t xml:space="preserve">    </w:t>
            </w:r>
            <w:r w:rsidRPr="008D1759">
              <w:rPr>
                <w:sz w:val="20"/>
                <w:szCs w:val="20"/>
              </w:rPr>
              <w:t>Kratek povzetek gradiva</w:t>
            </w:r>
            <w:r>
              <w:rPr>
                <w:sz w:val="20"/>
                <w:szCs w:val="20"/>
              </w:rPr>
              <w:t>:</w:t>
            </w:r>
          </w:p>
        </w:tc>
      </w:tr>
      <w:tr w:rsidR="00D731F3" w:rsidRPr="008D1759" w14:paraId="7769AC0F" w14:textId="77777777" w:rsidTr="008829C8">
        <w:tc>
          <w:tcPr>
            <w:tcW w:w="9217" w:type="dxa"/>
            <w:gridSpan w:val="12"/>
          </w:tcPr>
          <w:p w14:paraId="3336E3D4" w14:textId="3B8E098E" w:rsidR="00C648AB" w:rsidRPr="00105B08" w:rsidRDefault="00C648AB" w:rsidP="00C648AB">
            <w:pPr>
              <w:jc w:val="both"/>
              <w:rPr>
                <w:iCs/>
                <w:color w:val="000000"/>
              </w:rPr>
            </w:pPr>
            <w:r>
              <w:rPr>
                <w:rFonts w:cs="Arial"/>
              </w:rPr>
              <w:t>Ministrstvo za gospodarstvo, turizem in šport</w:t>
            </w:r>
            <w:r w:rsidR="00FD109A">
              <w:rPr>
                <w:rFonts w:cs="Arial"/>
              </w:rPr>
              <w:t>, Ministrstvo za kohezijo in regionalni razvoj</w:t>
            </w:r>
            <w:r w:rsidR="007F3939">
              <w:rPr>
                <w:rFonts w:cs="Arial"/>
              </w:rPr>
              <w:t xml:space="preserve"> </w:t>
            </w:r>
            <w:r>
              <w:rPr>
                <w:rFonts w:cs="Arial"/>
              </w:rPr>
              <w:t>ter Ministrstvo za naravne vire in prostor</w:t>
            </w:r>
            <w:r w:rsidR="001F4AD9">
              <w:rPr>
                <w:rFonts w:cs="Arial"/>
              </w:rPr>
              <w:t xml:space="preserve"> </w:t>
            </w:r>
            <w:r w:rsidRPr="00C648AB">
              <w:rPr>
                <w:rFonts w:cs="Arial"/>
              </w:rPr>
              <w:t>bo</w:t>
            </w:r>
            <w:r w:rsidR="00FD109A">
              <w:rPr>
                <w:rFonts w:cs="Arial"/>
              </w:rPr>
              <w:t>do</w:t>
            </w:r>
            <w:r w:rsidRPr="00C648AB">
              <w:rPr>
                <w:rFonts w:cs="Arial"/>
              </w:rPr>
              <w:t xml:space="preserve"> </w:t>
            </w:r>
            <w:r>
              <w:rPr>
                <w:rFonts w:cs="Arial"/>
              </w:rPr>
              <w:t>začel</w:t>
            </w:r>
            <w:r w:rsidR="00FD109A">
              <w:rPr>
                <w:rFonts w:cs="Arial"/>
              </w:rPr>
              <w:t>i</w:t>
            </w:r>
            <w:r w:rsidR="001F4AD9">
              <w:rPr>
                <w:rFonts w:cs="Arial"/>
              </w:rPr>
              <w:t xml:space="preserve"> s</w:t>
            </w:r>
            <w:r>
              <w:rPr>
                <w:rFonts w:cs="Arial"/>
              </w:rPr>
              <w:t xml:space="preserve"> postopk</w:t>
            </w:r>
            <w:r w:rsidR="001F4AD9">
              <w:rPr>
                <w:rFonts w:cs="Arial"/>
              </w:rPr>
              <w:t>om</w:t>
            </w:r>
            <w:r>
              <w:rPr>
                <w:rFonts w:cs="Arial"/>
              </w:rPr>
              <w:t xml:space="preserve"> umeščanja industrijsko</w:t>
            </w:r>
            <w:r w:rsidR="00AA3898">
              <w:rPr>
                <w:rFonts w:cs="Arial"/>
              </w:rPr>
              <w:t xml:space="preserve"> </w:t>
            </w:r>
            <w:r>
              <w:rPr>
                <w:rFonts w:cs="Arial"/>
              </w:rPr>
              <w:t>-</w:t>
            </w:r>
            <w:r w:rsidR="00AA3898">
              <w:rPr>
                <w:rFonts w:cs="Arial"/>
              </w:rPr>
              <w:t xml:space="preserve"> </w:t>
            </w:r>
            <w:r>
              <w:rPr>
                <w:rFonts w:cs="Arial"/>
              </w:rPr>
              <w:t xml:space="preserve">poslovnih con nacionalnega in regionalnega pomena </w:t>
            </w:r>
            <w:r w:rsidR="00BC1DE7">
              <w:rPr>
                <w:rFonts w:cs="Arial"/>
              </w:rPr>
              <w:t xml:space="preserve"> preko izvedbe tematskega akcijskega programa in regionalnih prostorskih planov </w:t>
            </w:r>
            <w:r>
              <w:rPr>
                <w:rFonts w:cs="Arial"/>
              </w:rPr>
              <w:t xml:space="preserve">katerega cilj je na strateški ravni umestiti </w:t>
            </w:r>
            <w:r w:rsidR="00BC1DE7">
              <w:rPr>
                <w:rFonts w:cs="Arial"/>
              </w:rPr>
              <w:t xml:space="preserve">v vsako razvojno regijo vsaj 1 cono </w:t>
            </w:r>
            <w:r w:rsidRPr="00786FBC">
              <w:rPr>
                <w:rFonts w:cs="Arial"/>
                <w:noProof/>
                <w:szCs w:val="20"/>
                <w:lang w:eastAsia="ar-SA"/>
              </w:rPr>
              <w:t>reg</w:t>
            </w:r>
            <w:r w:rsidR="00BC1DE7">
              <w:rPr>
                <w:rFonts w:cs="Arial"/>
                <w:noProof/>
                <w:szCs w:val="20"/>
                <w:lang w:eastAsia="ar-SA"/>
              </w:rPr>
              <w:t>ionalnega</w:t>
            </w:r>
            <w:r w:rsidRPr="00786FBC">
              <w:rPr>
                <w:rFonts w:cs="Arial"/>
                <w:noProof/>
                <w:szCs w:val="20"/>
                <w:lang w:eastAsia="ar-SA"/>
              </w:rPr>
              <w:t xml:space="preserve"> pomena in </w:t>
            </w:r>
            <w:r w:rsidR="00BC1DE7">
              <w:rPr>
                <w:rFonts w:cs="Arial"/>
                <w:noProof/>
                <w:szCs w:val="20"/>
                <w:lang w:eastAsia="ar-SA"/>
              </w:rPr>
              <w:t xml:space="preserve">od </w:t>
            </w:r>
            <w:r w:rsidRPr="00786FBC">
              <w:rPr>
                <w:rFonts w:cs="Arial"/>
                <w:noProof/>
                <w:szCs w:val="20"/>
                <w:lang w:eastAsia="ar-SA"/>
              </w:rPr>
              <w:t>3</w:t>
            </w:r>
            <w:r w:rsidR="00BC1DE7">
              <w:rPr>
                <w:rFonts w:cs="Arial"/>
                <w:noProof/>
                <w:szCs w:val="20"/>
                <w:lang w:eastAsia="ar-SA"/>
              </w:rPr>
              <w:t xml:space="preserve"> do 7 </w:t>
            </w:r>
            <w:r>
              <w:rPr>
                <w:rFonts w:cs="Arial"/>
                <w:noProof/>
                <w:szCs w:val="20"/>
                <w:lang w:eastAsia="ar-SA"/>
              </w:rPr>
              <w:t>industrijsko</w:t>
            </w:r>
            <w:r w:rsidRPr="00786FBC">
              <w:rPr>
                <w:rFonts w:cs="Arial"/>
                <w:noProof/>
                <w:szCs w:val="20"/>
                <w:lang w:eastAsia="ar-SA"/>
              </w:rPr>
              <w:t xml:space="preserve"> – poslovn</w:t>
            </w:r>
            <w:r w:rsidR="00BC1DE7">
              <w:rPr>
                <w:rFonts w:cs="Arial"/>
                <w:noProof/>
                <w:szCs w:val="20"/>
                <w:lang w:eastAsia="ar-SA"/>
              </w:rPr>
              <w:t>ih</w:t>
            </w:r>
            <w:r w:rsidRPr="00786FBC">
              <w:rPr>
                <w:rFonts w:cs="Arial"/>
                <w:noProof/>
                <w:szCs w:val="20"/>
                <w:lang w:eastAsia="ar-SA"/>
              </w:rPr>
              <w:t xml:space="preserve"> con nacionalnega pomena. </w:t>
            </w:r>
          </w:p>
          <w:p w14:paraId="1CD41D0B" w14:textId="77777777" w:rsidR="00C648AB" w:rsidRDefault="00C648AB" w:rsidP="00C648AB">
            <w:pPr>
              <w:jc w:val="both"/>
              <w:rPr>
                <w:rFonts w:cs="Arial"/>
                <w:noProof/>
                <w:szCs w:val="20"/>
                <w:lang w:eastAsia="ar-SA"/>
              </w:rPr>
            </w:pPr>
          </w:p>
          <w:p w14:paraId="26B20330" w14:textId="18F11187" w:rsidR="00C648AB" w:rsidRPr="00C648AB" w:rsidRDefault="00C648AB" w:rsidP="00C648AB">
            <w:pPr>
              <w:jc w:val="both"/>
              <w:rPr>
                <w:rFonts w:cs="Arial"/>
                <w:noProof/>
                <w:szCs w:val="20"/>
                <w:lang w:eastAsia="ar-SA"/>
              </w:rPr>
            </w:pPr>
            <w:r>
              <w:rPr>
                <w:rFonts w:cs="Arial"/>
                <w:noProof/>
                <w:szCs w:val="20"/>
                <w:lang w:eastAsia="ar-SA"/>
              </w:rPr>
              <w:t xml:space="preserve">Gre za </w:t>
            </w:r>
            <w:r w:rsidR="00F844D8">
              <w:rPr>
                <w:rFonts w:cs="Arial"/>
                <w:noProof/>
                <w:szCs w:val="20"/>
                <w:lang w:eastAsia="ar-SA"/>
              </w:rPr>
              <w:t xml:space="preserve">pomembno </w:t>
            </w:r>
            <w:r>
              <w:rPr>
                <w:rFonts w:cs="Arial"/>
                <w:noProof/>
                <w:szCs w:val="20"/>
                <w:lang w:eastAsia="ar-SA"/>
              </w:rPr>
              <w:t xml:space="preserve">strateško razvojno vprašanje, </w:t>
            </w:r>
            <w:r w:rsidR="00F844D8">
              <w:rPr>
                <w:rFonts w:cs="Arial"/>
                <w:noProof/>
                <w:szCs w:val="20"/>
                <w:lang w:eastAsia="ar-SA"/>
              </w:rPr>
              <w:t>ki n</w:t>
            </w:r>
            <w:r>
              <w:rPr>
                <w:rFonts w:cs="Arial"/>
                <w:noProof/>
                <w:szCs w:val="20"/>
                <w:lang w:eastAsia="ar-SA"/>
              </w:rPr>
              <w:t>asl</w:t>
            </w:r>
            <w:r w:rsidR="00943E4F">
              <w:rPr>
                <w:rFonts w:cs="Arial"/>
                <w:noProof/>
                <w:szCs w:val="20"/>
                <w:lang w:eastAsia="ar-SA"/>
              </w:rPr>
              <w:t>a</w:t>
            </w:r>
            <w:r>
              <w:rPr>
                <w:rFonts w:cs="Arial"/>
                <w:noProof/>
                <w:szCs w:val="20"/>
                <w:lang w:eastAsia="ar-SA"/>
              </w:rPr>
              <w:t>v</w:t>
            </w:r>
            <w:r w:rsidR="00F844D8">
              <w:rPr>
                <w:rFonts w:cs="Arial"/>
                <w:noProof/>
                <w:szCs w:val="20"/>
                <w:lang w:eastAsia="ar-SA"/>
              </w:rPr>
              <w:t>lja</w:t>
            </w:r>
            <w:r>
              <w:rPr>
                <w:rFonts w:cs="Arial"/>
                <w:noProof/>
                <w:szCs w:val="20"/>
                <w:lang w:eastAsia="ar-SA"/>
              </w:rPr>
              <w:t xml:space="preserve"> razvojne izzive tako na nacionalni kot regionalni ravni; </w:t>
            </w:r>
            <w:r w:rsidR="00F844D8">
              <w:rPr>
                <w:rFonts w:cs="Arial"/>
                <w:noProof/>
                <w:szCs w:val="20"/>
                <w:lang w:eastAsia="ar-SA"/>
              </w:rPr>
              <w:t xml:space="preserve">dokončna </w:t>
            </w:r>
            <w:r>
              <w:rPr>
                <w:rFonts w:cs="Arial"/>
                <w:noProof/>
                <w:szCs w:val="20"/>
                <w:lang w:eastAsia="ar-SA"/>
              </w:rPr>
              <w:t>izvedba</w:t>
            </w:r>
            <w:r w:rsidR="00F844D8">
              <w:rPr>
                <w:rFonts w:cs="Arial"/>
                <w:noProof/>
                <w:szCs w:val="20"/>
                <w:lang w:eastAsia="ar-SA"/>
              </w:rPr>
              <w:t xml:space="preserve"> tega projekta </w:t>
            </w:r>
            <w:r>
              <w:rPr>
                <w:rFonts w:cs="Arial"/>
                <w:noProof/>
                <w:szCs w:val="20"/>
                <w:lang w:eastAsia="ar-SA"/>
              </w:rPr>
              <w:t xml:space="preserve">pa </w:t>
            </w:r>
            <w:r w:rsidR="00F844D8">
              <w:rPr>
                <w:rFonts w:cs="Arial"/>
                <w:noProof/>
                <w:szCs w:val="20"/>
                <w:lang w:eastAsia="ar-SA"/>
              </w:rPr>
              <w:t xml:space="preserve">bo </w:t>
            </w:r>
            <w:r>
              <w:rPr>
                <w:rFonts w:cs="Arial"/>
                <w:noProof/>
                <w:szCs w:val="20"/>
                <w:lang w:eastAsia="ar-SA"/>
              </w:rPr>
              <w:t xml:space="preserve">omogočila razpoložljivost dodatnih zazidljivih zemljišč za potrebe gospodarstva in </w:t>
            </w:r>
            <w:r w:rsidR="00F844D8">
              <w:rPr>
                <w:rFonts w:cs="Arial"/>
                <w:noProof/>
                <w:szCs w:val="20"/>
                <w:lang w:eastAsia="ar-SA"/>
              </w:rPr>
              <w:t xml:space="preserve">obenem </w:t>
            </w:r>
            <w:r>
              <w:rPr>
                <w:rFonts w:cs="Arial"/>
                <w:noProof/>
                <w:szCs w:val="20"/>
                <w:lang w:eastAsia="ar-SA"/>
              </w:rPr>
              <w:t xml:space="preserve">olajšala zahtevne postopke umeščanja v prostor. </w:t>
            </w:r>
          </w:p>
          <w:p w14:paraId="552494B4" w14:textId="09213058" w:rsidR="00D731F3" w:rsidRPr="0052402C" w:rsidRDefault="00D731F3" w:rsidP="008829C8">
            <w:pPr>
              <w:tabs>
                <w:tab w:val="left" w:pos="1970"/>
              </w:tabs>
              <w:jc w:val="both"/>
            </w:pPr>
          </w:p>
        </w:tc>
      </w:tr>
      <w:tr w:rsidR="00D731F3" w:rsidRPr="008D1759" w14:paraId="48DED6CD" w14:textId="77777777" w:rsidTr="008829C8">
        <w:tc>
          <w:tcPr>
            <w:tcW w:w="9217" w:type="dxa"/>
            <w:gridSpan w:val="12"/>
            <w:shd w:val="clear" w:color="auto" w:fill="F2F2F2"/>
          </w:tcPr>
          <w:p w14:paraId="2BFAA028" w14:textId="77777777" w:rsidR="00D731F3" w:rsidRPr="008D1759" w:rsidRDefault="00D731F3" w:rsidP="008829C8">
            <w:pPr>
              <w:pStyle w:val="Oddelek"/>
              <w:numPr>
                <w:ilvl w:val="0"/>
                <w:numId w:val="0"/>
              </w:numPr>
              <w:spacing w:before="60" w:after="0" w:line="276" w:lineRule="auto"/>
              <w:jc w:val="left"/>
              <w:rPr>
                <w:sz w:val="20"/>
                <w:szCs w:val="20"/>
              </w:rPr>
            </w:pPr>
            <w:r>
              <w:rPr>
                <w:sz w:val="20"/>
                <w:szCs w:val="20"/>
              </w:rPr>
              <w:t>6</w:t>
            </w:r>
            <w:r w:rsidRPr="008D1759">
              <w:rPr>
                <w:sz w:val="20"/>
                <w:szCs w:val="20"/>
              </w:rPr>
              <w:t xml:space="preserve">. </w:t>
            </w:r>
            <w:r w:rsidR="00FB05AF">
              <w:rPr>
                <w:sz w:val="20"/>
                <w:szCs w:val="20"/>
              </w:rPr>
              <w:t xml:space="preserve">   </w:t>
            </w:r>
            <w:r w:rsidRPr="008D1759">
              <w:rPr>
                <w:sz w:val="20"/>
                <w:szCs w:val="20"/>
              </w:rPr>
              <w:t>Presoja posledic</w:t>
            </w:r>
            <w:r>
              <w:rPr>
                <w:sz w:val="20"/>
                <w:szCs w:val="20"/>
              </w:rPr>
              <w:t xml:space="preserve"> za:</w:t>
            </w:r>
          </w:p>
        </w:tc>
      </w:tr>
      <w:tr w:rsidR="004E504A" w:rsidRPr="008D1759" w14:paraId="5E3267F2" w14:textId="77777777" w:rsidTr="008829C8">
        <w:tc>
          <w:tcPr>
            <w:tcW w:w="843" w:type="dxa"/>
          </w:tcPr>
          <w:p w14:paraId="27E36020" w14:textId="77777777" w:rsidR="00D731F3" w:rsidRPr="008D1759" w:rsidRDefault="00D731F3" w:rsidP="008829C8">
            <w:pPr>
              <w:pStyle w:val="Neotevilenodstavek"/>
              <w:spacing w:after="0" w:line="276" w:lineRule="auto"/>
              <w:ind w:left="34"/>
              <w:jc w:val="center"/>
              <w:rPr>
                <w:iCs/>
                <w:sz w:val="20"/>
                <w:szCs w:val="20"/>
              </w:rPr>
            </w:pPr>
            <w:r w:rsidRPr="008D1759">
              <w:rPr>
                <w:iCs/>
                <w:sz w:val="20"/>
                <w:szCs w:val="20"/>
              </w:rPr>
              <w:t>a)</w:t>
            </w:r>
          </w:p>
        </w:tc>
        <w:tc>
          <w:tcPr>
            <w:tcW w:w="7059" w:type="dxa"/>
            <w:gridSpan w:val="10"/>
          </w:tcPr>
          <w:p w14:paraId="58EB6372" w14:textId="77777777" w:rsidR="00D731F3" w:rsidRPr="008D1759" w:rsidRDefault="00D731F3" w:rsidP="008829C8">
            <w:pPr>
              <w:pStyle w:val="Neotevilenodstavek"/>
              <w:spacing w:after="0" w:line="276" w:lineRule="auto"/>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1315" w:type="dxa"/>
            <w:vAlign w:val="center"/>
          </w:tcPr>
          <w:p w14:paraId="5952F29D" w14:textId="77777777" w:rsidR="00D731F3" w:rsidRPr="008D1759" w:rsidRDefault="00D731F3" w:rsidP="008829C8">
            <w:pPr>
              <w:pStyle w:val="Neotevilenodstavek"/>
              <w:spacing w:after="0" w:line="276" w:lineRule="auto"/>
              <w:jc w:val="center"/>
              <w:rPr>
                <w:iCs/>
                <w:sz w:val="20"/>
                <w:szCs w:val="20"/>
              </w:rPr>
            </w:pPr>
            <w:r w:rsidRPr="00E635D4">
              <w:rPr>
                <w:b/>
                <w:bCs/>
                <w:sz w:val="20"/>
                <w:szCs w:val="20"/>
              </w:rPr>
              <w:t>DA</w:t>
            </w:r>
            <w:r w:rsidRPr="008D455C">
              <w:rPr>
                <w:sz w:val="20"/>
                <w:szCs w:val="20"/>
              </w:rPr>
              <w:t>/</w:t>
            </w:r>
            <w:r w:rsidRPr="00E635D4">
              <w:rPr>
                <w:bCs/>
                <w:sz w:val="20"/>
                <w:szCs w:val="20"/>
              </w:rPr>
              <w:t>NE</w:t>
            </w:r>
          </w:p>
        </w:tc>
      </w:tr>
      <w:tr w:rsidR="004E504A" w:rsidRPr="008D1759" w14:paraId="1B49FABF" w14:textId="77777777" w:rsidTr="008829C8">
        <w:tc>
          <w:tcPr>
            <w:tcW w:w="843" w:type="dxa"/>
          </w:tcPr>
          <w:p w14:paraId="4ECA92DE" w14:textId="77777777" w:rsidR="00D731F3" w:rsidRPr="008D1759" w:rsidRDefault="00D731F3" w:rsidP="008829C8">
            <w:pPr>
              <w:pStyle w:val="Neotevilenodstavek"/>
              <w:spacing w:after="0" w:line="276" w:lineRule="auto"/>
              <w:ind w:left="34"/>
              <w:jc w:val="center"/>
              <w:rPr>
                <w:iCs/>
                <w:sz w:val="20"/>
                <w:szCs w:val="20"/>
              </w:rPr>
            </w:pPr>
            <w:r w:rsidRPr="008D1759">
              <w:rPr>
                <w:iCs/>
                <w:sz w:val="20"/>
                <w:szCs w:val="20"/>
              </w:rPr>
              <w:t>b)</w:t>
            </w:r>
          </w:p>
        </w:tc>
        <w:tc>
          <w:tcPr>
            <w:tcW w:w="7059" w:type="dxa"/>
            <w:gridSpan w:val="10"/>
          </w:tcPr>
          <w:p w14:paraId="4C713453" w14:textId="77777777" w:rsidR="00D731F3" w:rsidRPr="008D1759" w:rsidRDefault="00D731F3" w:rsidP="008829C8">
            <w:pPr>
              <w:pStyle w:val="Neotevilenodstavek"/>
              <w:spacing w:after="0" w:line="276" w:lineRule="auto"/>
              <w:rPr>
                <w:iCs/>
                <w:sz w:val="20"/>
                <w:szCs w:val="20"/>
              </w:rPr>
            </w:pPr>
            <w:r w:rsidRPr="008D1759">
              <w:rPr>
                <w:bCs/>
                <w:sz w:val="20"/>
                <w:szCs w:val="20"/>
              </w:rPr>
              <w:t>usklajenost slovenskega pravnega reda s pravnim redom Evropske unije</w:t>
            </w:r>
          </w:p>
        </w:tc>
        <w:tc>
          <w:tcPr>
            <w:tcW w:w="1315" w:type="dxa"/>
            <w:vAlign w:val="center"/>
          </w:tcPr>
          <w:p w14:paraId="2DF140A6" w14:textId="77777777" w:rsidR="00D731F3" w:rsidRPr="008D1759" w:rsidRDefault="00D731F3" w:rsidP="008829C8">
            <w:pPr>
              <w:pStyle w:val="Neotevilenodstavek"/>
              <w:spacing w:after="0" w:line="276" w:lineRule="auto"/>
              <w:jc w:val="center"/>
              <w:rPr>
                <w:iCs/>
                <w:sz w:val="20"/>
                <w:szCs w:val="20"/>
              </w:rPr>
            </w:pPr>
            <w:r>
              <w:rPr>
                <w:sz w:val="20"/>
                <w:szCs w:val="20"/>
              </w:rPr>
              <w:t>DA/</w:t>
            </w:r>
            <w:r w:rsidRPr="00B95E90">
              <w:rPr>
                <w:b/>
                <w:sz w:val="20"/>
                <w:szCs w:val="20"/>
              </w:rPr>
              <w:t>NE</w:t>
            </w:r>
          </w:p>
        </w:tc>
      </w:tr>
      <w:tr w:rsidR="004E504A" w:rsidRPr="008D1759" w14:paraId="2F85333F" w14:textId="77777777" w:rsidTr="008829C8">
        <w:tc>
          <w:tcPr>
            <w:tcW w:w="843" w:type="dxa"/>
          </w:tcPr>
          <w:p w14:paraId="00252E15" w14:textId="77777777" w:rsidR="00D731F3" w:rsidRPr="008D1759" w:rsidRDefault="00D731F3" w:rsidP="008829C8">
            <w:pPr>
              <w:pStyle w:val="Neotevilenodstavek"/>
              <w:spacing w:after="0" w:line="276" w:lineRule="auto"/>
              <w:ind w:left="34"/>
              <w:jc w:val="center"/>
              <w:rPr>
                <w:iCs/>
                <w:sz w:val="20"/>
                <w:szCs w:val="20"/>
              </w:rPr>
            </w:pPr>
            <w:r w:rsidRPr="008D1759">
              <w:rPr>
                <w:iCs/>
                <w:sz w:val="20"/>
                <w:szCs w:val="20"/>
              </w:rPr>
              <w:t>c)</w:t>
            </w:r>
          </w:p>
        </w:tc>
        <w:tc>
          <w:tcPr>
            <w:tcW w:w="7059" w:type="dxa"/>
            <w:gridSpan w:val="10"/>
          </w:tcPr>
          <w:p w14:paraId="2D65940D" w14:textId="77777777" w:rsidR="00D731F3" w:rsidRPr="008D1759" w:rsidRDefault="00D731F3" w:rsidP="008829C8">
            <w:pPr>
              <w:pStyle w:val="Neotevilenodstavek"/>
              <w:spacing w:after="0" w:line="276" w:lineRule="auto"/>
              <w:rPr>
                <w:iCs/>
                <w:sz w:val="20"/>
                <w:szCs w:val="20"/>
              </w:rPr>
            </w:pPr>
            <w:r w:rsidRPr="008D1759">
              <w:rPr>
                <w:sz w:val="20"/>
                <w:szCs w:val="20"/>
              </w:rPr>
              <w:t>administrativne posledice</w:t>
            </w:r>
          </w:p>
        </w:tc>
        <w:tc>
          <w:tcPr>
            <w:tcW w:w="1315" w:type="dxa"/>
            <w:vAlign w:val="center"/>
          </w:tcPr>
          <w:p w14:paraId="2CED87F3" w14:textId="77777777" w:rsidR="00D731F3" w:rsidRPr="00A24E98" w:rsidRDefault="00D731F3" w:rsidP="008829C8">
            <w:pPr>
              <w:pStyle w:val="Neotevilenodstavek"/>
              <w:spacing w:after="0" w:line="276" w:lineRule="auto"/>
              <w:jc w:val="center"/>
              <w:rPr>
                <w:sz w:val="20"/>
                <w:szCs w:val="20"/>
              </w:rPr>
            </w:pPr>
            <w:r>
              <w:rPr>
                <w:sz w:val="20"/>
                <w:szCs w:val="20"/>
              </w:rPr>
              <w:t>DA</w:t>
            </w:r>
            <w:r w:rsidRPr="008D1759">
              <w:rPr>
                <w:sz w:val="20"/>
                <w:szCs w:val="20"/>
              </w:rPr>
              <w:t>/</w:t>
            </w:r>
            <w:r w:rsidRPr="00B95E90">
              <w:rPr>
                <w:b/>
                <w:sz w:val="20"/>
                <w:szCs w:val="20"/>
              </w:rPr>
              <w:t>NE</w:t>
            </w:r>
          </w:p>
        </w:tc>
      </w:tr>
      <w:tr w:rsidR="004E504A" w:rsidRPr="008D1759" w14:paraId="300602ED" w14:textId="77777777" w:rsidTr="008829C8">
        <w:tc>
          <w:tcPr>
            <w:tcW w:w="843" w:type="dxa"/>
          </w:tcPr>
          <w:p w14:paraId="240BB3AE" w14:textId="77777777" w:rsidR="00D731F3" w:rsidRPr="008D1759" w:rsidRDefault="00D731F3" w:rsidP="008829C8">
            <w:pPr>
              <w:pStyle w:val="Neotevilenodstavek"/>
              <w:spacing w:after="0" w:line="276" w:lineRule="auto"/>
              <w:ind w:left="34"/>
              <w:jc w:val="center"/>
              <w:rPr>
                <w:iCs/>
                <w:sz w:val="20"/>
                <w:szCs w:val="20"/>
              </w:rPr>
            </w:pPr>
            <w:r w:rsidRPr="008D1759">
              <w:rPr>
                <w:iCs/>
                <w:sz w:val="20"/>
                <w:szCs w:val="20"/>
              </w:rPr>
              <w:t>č)</w:t>
            </w:r>
          </w:p>
        </w:tc>
        <w:tc>
          <w:tcPr>
            <w:tcW w:w="7059" w:type="dxa"/>
            <w:gridSpan w:val="10"/>
          </w:tcPr>
          <w:p w14:paraId="6FF8F219" w14:textId="77777777" w:rsidR="00D731F3" w:rsidRPr="008D1759" w:rsidRDefault="00D731F3" w:rsidP="008829C8">
            <w:pPr>
              <w:pStyle w:val="Neotevilenodstavek"/>
              <w:spacing w:after="0" w:line="276" w:lineRule="auto"/>
              <w:rPr>
                <w:bCs/>
                <w:sz w:val="20"/>
                <w:szCs w:val="20"/>
              </w:rPr>
            </w:pPr>
            <w:r>
              <w:rPr>
                <w:sz w:val="20"/>
                <w:szCs w:val="20"/>
              </w:rPr>
              <w:t>gospodarstvo, zlasti</w:t>
            </w:r>
            <w:r w:rsidRPr="008D1759">
              <w:rPr>
                <w:bCs/>
                <w:sz w:val="20"/>
                <w:szCs w:val="20"/>
              </w:rPr>
              <w:t xml:space="preserve"> mala in srednja podjetja ter konkurenčnost podjetij</w:t>
            </w:r>
          </w:p>
        </w:tc>
        <w:tc>
          <w:tcPr>
            <w:tcW w:w="1315" w:type="dxa"/>
            <w:vAlign w:val="center"/>
          </w:tcPr>
          <w:p w14:paraId="3C6CABC2" w14:textId="77777777" w:rsidR="00D731F3" w:rsidRPr="008D1759" w:rsidRDefault="00D731F3" w:rsidP="008829C8">
            <w:pPr>
              <w:pStyle w:val="Neotevilenodstavek"/>
              <w:spacing w:after="0" w:line="276" w:lineRule="auto"/>
              <w:jc w:val="center"/>
              <w:rPr>
                <w:iCs/>
                <w:sz w:val="20"/>
                <w:szCs w:val="20"/>
              </w:rPr>
            </w:pPr>
            <w:r>
              <w:rPr>
                <w:sz w:val="20"/>
                <w:szCs w:val="20"/>
              </w:rPr>
              <w:t>DA</w:t>
            </w:r>
            <w:r w:rsidRPr="008D1759">
              <w:rPr>
                <w:sz w:val="20"/>
                <w:szCs w:val="20"/>
              </w:rPr>
              <w:t>/</w:t>
            </w:r>
            <w:r w:rsidRPr="00B95E90">
              <w:rPr>
                <w:b/>
                <w:sz w:val="20"/>
                <w:szCs w:val="20"/>
              </w:rPr>
              <w:t>NE</w:t>
            </w:r>
          </w:p>
        </w:tc>
      </w:tr>
      <w:tr w:rsidR="004E504A" w:rsidRPr="008D1759" w14:paraId="0815C960" w14:textId="77777777" w:rsidTr="008829C8">
        <w:tc>
          <w:tcPr>
            <w:tcW w:w="843" w:type="dxa"/>
          </w:tcPr>
          <w:p w14:paraId="71AB0294" w14:textId="77777777" w:rsidR="00D731F3" w:rsidRPr="008D1759" w:rsidRDefault="00D731F3" w:rsidP="008829C8">
            <w:pPr>
              <w:pStyle w:val="Neotevilenodstavek"/>
              <w:spacing w:after="0" w:line="276" w:lineRule="auto"/>
              <w:ind w:left="34"/>
              <w:jc w:val="center"/>
              <w:rPr>
                <w:iCs/>
                <w:sz w:val="20"/>
                <w:szCs w:val="20"/>
              </w:rPr>
            </w:pPr>
            <w:r w:rsidRPr="008D1759">
              <w:rPr>
                <w:iCs/>
                <w:sz w:val="20"/>
                <w:szCs w:val="20"/>
              </w:rPr>
              <w:t>d)</w:t>
            </w:r>
          </w:p>
        </w:tc>
        <w:tc>
          <w:tcPr>
            <w:tcW w:w="7059" w:type="dxa"/>
            <w:gridSpan w:val="10"/>
          </w:tcPr>
          <w:p w14:paraId="488EE8B8" w14:textId="77777777" w:rsidR="00D731F3" w:rsidRPr="008D1759" w:rsidRDefault="00D731F3" w:rsidP="008829C8">
            <w:pPr>
              <w:pStyle w:val="Neotevilenodstavek"/>
              <w:spacing w:after="0" w:line="276" w:lineRule="auto"/>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1315" w:type="dxa"/>
            <w:vAlign w:val="center"/>
          </w:tcPr>
          <w:p w14:paraId="2D82A58C" w14:textId="77777777" w:rsidR="00D731F3" w:rsidRPr="008D1759" w:rsidRDefault="00D731F3" w:rsidP="008829C8">
            <w:pPr>
              <w:pStyle w:val="Neotevilenodstavek"/>
              <w:spacing w:after="0" w:line="276" w:lineRule="auto"/>
              <w:jc w:val="center"/>
              <w:rPr>
                <w:iCs/>
                <w:sz w:val="20"/>
                <w:szCs w:val="20"/>
              </w:rPr>
            </w:pPr>
            <w:r>
              <w:rPr>
                <w:sz w:val="20"/>
                <w:szCs w:val="20"/>
              </w:rPr>
              <w:t>DA</w:t>
            </w:r>
            <w:r w:rsidRPr="008D1759">
              <w:rPr>
                <w:sz w:val="20"/>
                <w:szCs w:val="20"/>
              </w:rPr>
              <w:t>/</w:t>
            </w:r>
            <w:r w:rsidRPr="00B95E90">
              <w:rPr>
                <w:b/>
                <w:sz w:val="20"/>
                <w:szCs w:val="20"/>
              </w:rPr>
              <w:t>NE</w:t>
            </w:r>
          </w:p>
        </w:tc>
      </w:tr>
      <w:tr w:rsidR="004E504A" w:rsidRPr="008D1759" w14:paraId="194EF3EB" w14:textId="77777777" w:rsidTr="008829C8">
        <w:tc>
          <w:tcPr>
            <w:tcW w:w="843" w:type="dxa"/>
          </w:tcPr>
          <w:p w14:paraId="46DB0F5D" w14:textId="77777777" w:rsidR="00D731F3" w:rsidRPr="008D1759" w:rsidRDefault="00D731F3" w:rsidP="008829C8">
            <w:pPr>
              <w:pStyle w:val="Neotevilenodstavek"/>
              <w:spacing w:after="0" w:line="276" w:lineRule="auto"/>
              <w:ind w:left="34"/>
              <w:jc w:val="center"/>
              <w:rPr>
                <w:iCs/>
                <w:sz w:val="20"/>
                <w:szCs w:val="20"/>
              </w:rPr>
            </w:pPr>
            <w:r w:rsidRPr="008D1759">
              <w:rPr>
                <w:iCs/>
                <w:sz w:val="20"/>
                <w:szCs w:val="20"/>
              </w:rPr>
              <w:t>e)</w:t>
            </w:r>
          </w:p>
        </w:tc>
        <w:tc>
          <w:tcPr>
            <w:tcW w:w="7059" w:type="dxa"/>
            <w:gridSpan w:val="10"/>
          </w:tcPr>
          <w:p w14:paraId="5CE9320F" w14:textId="77777777" w:rsidR="00D731F3" w:rsidRPr="008D1759" w:rsidRDefault="00D731F3" w:rsidP="008829C8">
            <w:pPr>
              <w:pStyle w:val="Neotevilenodstavek"/>
              <w:spacing w:after="0" w:line="276" w:lineRule="auto"/>
              <w:rPr>
                <w:bCs/>
                <w:sz w:val="20"/>
                <w:szCs w:val="20"/>
              </w:rPr>
            </w:pPr>
            <w:r w:rsidRPr="008D1759">
              <w:rPr>
                <w:bCs/>
                <w:sz w:val="20"/>
                <w:szCs w:val="20"/>
              </w:rPr>
              <w:t>socialno področje</w:t>
            </w:r>
          </w:p>
        </w:tc>
        <w:tc>
          <w:tcPr>
            <w:tcW w:w="1315" w:type="dxa"/>
            <w:vAlign w:val="center"/>
          </w:tcPr>
          <w:p w14:paraId="79324A07" w14:textId="77777777" w:rsidR="00D731F3" w:rsidRPr="008D1759" w:rsidRDefault="00D731F3" w:rsidP="008829C8">
            <w:pPr>
              <w:pStyle w:val="Neotevilenodstavek"/>
              <w:spacing w:after="0" w:line="276" w:lineRule="auto"/>
              <w:jc w:val="center"/>
              <w:rPr>
                <w:iCs/>
                <w:sz w:val="20"/>
                <w:szCs w:val="20"/>
              </w:rPr>
            </w:pPr>
            <w:r>
              <w:rPr>
                <w:sz w:val="20"/>
                <w:szCs w:val="20"/>
              </w:rPr>
              <w:t>DA/</w:t>
            </w:r>
            <w:r w:rsidRPr="00B95E90">
              <w:rPr>
                <w:b/>
                <w:sz w:val="20"/>
                <w:szCs w:val="20"/>
              </w:rPr>
              <w:t>NE</w:t>
            </w:r>
          </w:p>
        </w:tc>
      </w:tr>
      <w:tr w:rsidR="004E504A" w:rsidRPr="008D1759" w14:paraId="7AD32FA3" w14:textId="77777777" w:rsidTr="008829C8">
        <w:tc>
          <w:tcPr>
            <w:tcW w:w="843" w:type="dxa"/>
            <w:tcBorders>
              <w:bottom w:val="single" w:sz="4" w:space="0" w:color="auto"/>
            </w:tcBorders>
          </w:tcPr>
          <w:p w14:paraId="04F03E24" w14:textId="77777777" w:rsidR="00D731F3" w:rsidRPr="008D1759" w:rsidRDefault="00D731F3" w:rsidP="008829C8">
            <w:pPr>
              <w:pStyle w:val="Neotevilenodstavek"/>
              <w:spacing w:after="0" w:line="276" w:lineRule="auto"/>
              <w:ind w:left="34"/>
              <w:jc w:val="center"/>
              <w:rPr>
                <w:iCs/>
                <w:sz w:val="20"/>
                <w:szCs w:val="20"/>
              </w:rPr>
            </w:pPr>
            <w:r w:rsidRPr="008D1759">
              <w:rPr>
                <w:iCs/>
                <w:sz w:val="20"/>
                <w:szCs w:val="20"/>
              </w:rPr>
              <w:t>f)</w:t>
            </w:r>
          </w:p>
        </w:tc>
        <w:tc>
          <w:tcPr>
            <w:tcW w:w="7059" w:type="dxa"/>
            <w:gridSpan w:val="10"/>
            <w:tcBorders>
              <w:bottom w:val="single" w:sz="4" w:space="0" w:color="auto"/>
            </w:tcBorders>
          </w:tcPr>
          <w:p w14:paraId="0F8C8E4C" w14:textId="77777777" w:rsidR="00D731F3" w:rsidRPr="008D1759" w:rsidRDefault="00D731F3" w:rsidP="008829C8">
            <w:pPr>
              <w:pStyle w:val="Neotevilenodstavek"/>
              <w:spacing w:after="0" w:line="276" w:lineRule="auto"/>
              <w:rPr>
                <w:bCs/>
                <w:sz w:val="20"/>
                <w:szCs w:val="20"/>
              </w:rPr>
            </w:pPr>
            <w:r>
              <w:rPr>
                <w:bCs/>
                <w:sz w:val="20"/>
                <w:szCs w:val="20"/>
              </w:rPr>
              <w:t>dokumente</w:t>
            </w:r>
            <w:r w:rsidRPr="008D1759">
              <w:rPr>
                <w:bCs/>
                <w:sz w:val="20"/>
                <w:szCs w:val="20"/>
              </w:rPr>
              <w:t xml:space="preserve"> razvojnega načrtovanja:</w:t>
            </w:r>
          </w:p>
          <w:p w14:paraId="1E3BBB53" w14:textId="77777777" w:rsidR="00D731F3" w:rsidRPr="008D1759" w:rsidRDefault="00D731F3" w:rsidP="00D00C78">
            <w:pPr>
              <w:pStyle w:val="Neotevilenodstavek"/>
              <w:numPr>
                <w:ilvl w:val="0"/>
                <w:numId w:val="5"/>
              </w:numPr>
              <w:spacing w:before="0" w:after="0" w:line="276" w:lineRule="auto"/>
              <w:ind w:left="175" w:hanging="218"/>
              <w:rPr>
                <w:bCs/>
                <w:sz w:val="20"/>
                <w:szCs w:val="20"/>
              </w:rPr>
            </w:pPr>
            <w:r w:rsidRPr="008D1759">
              <w:rPr>
                <w:bCs/>
                <w:sz w:val="20"/>
                <w:szCs w:val="20"/>
              </w:rPr>
              <w:t>nacionalne d</w:t>
            </w:r>
            <w:r>
              <w:rPr>
                <w:bCs/>
                <w:sz w:val="20"/>
                <w:szCs w:val="20"/>
              </w:rPr>
              <w:t>okumente razvojnega načrtovanja</w:t>
            </w:r>
          </w:p>
          <w:p w14:paraId="748E1E17" w14:textId="77777777" w:rsidR="00D731F3" w:rsidRPr="008D1759" w:rsidRDefault="00D731F3" w:rsidP="00D00C78">
            <w:pPr>
              <w:pStyle w:val="Neotevilenodstavek"/>
              <w:numPr>
                <w:ilvl w:val="0"/>
                <w:numId w:val="5"/>
              </w:numPr>
              <w:spacing w:before="0" w:after="0" w:line="276" w:lineRule="auto"/>
              <w:ind w:left="175" w:hanging="218"/>
              <w:rPr>
                <w:bCs/>
                <w:sz w:val="20"/>
                <w:szCs w:val="20"/>
              </w:rPr>
            </w:pPr>
            <w:r w:rsidRPr="008D1759">
              <w:rPr>
                <w:bCs/>
                <w:sz w:val="20"/>
                <w:szCs w:val="20"/>
              </w:rPr>
              <w:t>razvojne politike na ravni programov po strukturi razvojne klasifikacije programskega proračuna</w:t>
            </w:r>
          </w:p>
          <w:p w14:paraId="0B254860" w14:textId="77777777" w:rsidR="00D731F3" w:rsidRPr="008D1759" w:rsidRDefault="00D731F3" w:rsidP="00D00C78">
            <w:pPr>
              <w:pStyle w:val="Neotevilenodstavek"/>
              <w:numPr>
                <w:ilvl w:val="0"/>
                <w:numId w:val="5"/>
              </w:numPr>
              <w:spacing w:before="0" w:after="0" w:line="276" w:lineRule="auto"/>
              <w:ind w:left="175" w:hanging="218"/>
              <w:rPr>
                <w:bCs/>
                <w:sz w:val="20"/>
                <w:szCs w:val="20"/>
              </w:rPr>
            </w:pPr>
            <w:r w:rsidRPr="008D1759">
              <w:rPr>
                <w:bCs/>
                <w:sz w:val="20"/>
                <w:szCs w:val="20"/>
              </w:rPr>
              <w:t>razvojne dokumente Evropske unije in mednarodnih organizacij</w:t>
            </w:r>
          </w:p>
        </w:tc>
        <w:tc>
          <w:tcPr>
            <w:tcW w:w="1315" w:type="dxa"/>
            <w:tcBorders>
              <w:bottom w:val="single" w:sz="4" w:space="0" w:color="auto"/>
            </w:tcBorders>
            <w:vAlign w:val="center"/>
          </w:tcPr>
          <w:p w14:paraId="305653A2" w14:textId="77777777" w:rsidR="00D731F3" w:rsidRPr="008D1759" w:rsidRDefault="00D731F3" w:rsidP="008829C8">
            <w:pPr>
              <w:pStyle w:val="Neotevilenodstavek"/>
              <w:spacing w:before="0" w:after="0" w:line="276" w:lineRule="auto"/>
              <w:jc w:val="center"/>
              <w:rPr>
                <w:iCs/>
                <w:sz w:val="20"/>
                <w:szCs w:val="20"/>
              </w:rPr>
            </w:pPr>
            <w:r>
              <w:rPr>
                <w:sz w:val="20"/>
                <w:szCs w:val="20"/>
              </w:rPr>
              <w:t>DA</w:t>
            </w:r>
            <w:r w:rsidRPr="008D1759">
              <w:rPr>
                <w:sz w:val="20"/>
                <w:szCs w:val="20"/>
              </w:rPr>
              <w:t>/</w:t>
            </w:r>
            <w:r w:rsidRPr="00B95E90">
              <w:rPr>
                <w:b/>
                <w:sz w:val="20"/>
                <w:szCs w:val="20"/>
              </w:rPr>
              <w:t>NE</w:t>
            </w:r>
          </w:p>
        </w:tc>
      </w:tr>
      <w:tr w:rsidR="00D731F3" w:rsidRPr="008D1759" w14:paraId="0C8538D8"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FFFFFF"/>
          </w:tcPr>
          <w:p w14:paraId="12D76C7D" w14:textId="77777777" w:rsidR="00D731F3" w:rsidRPr="008D1759" w:rsidRDefault="00D731F3" w:rsidP="008829C8">
            <w:pPr>
              <w:pStyle w:val="Oddelek"/>
              <w:widowControl w:val="0"/>
              <w:numPr>
                <w:ilvl w:val="0"/>
                <w:numId w:val="0"/>
              </w:numPr>
              <w:spacing w:before="60" w:after="0" w:line="276" w:lineRule="auto"/>
              <w:jc w:val="left"/>
              <w:rPr>
                <w:sz w:val="20"/>
                <w:szCs w:val="20"/>
              </w:rPr>
            </w:pPr>
            <w:r>
              <w:rPr>
                <w:sz w:val="20"/>
                <w:szCs w:val="20"/>
              </w:rPr>
              <w:t>7</w:t>
            </w:r>
            <w:r w:rsidRPr="008D1759">
              <w:rPr>
                <w:sz w:val="20"/>
                <w:szCs w:val="20"/>
              </w:rPr>
              <w:t xml:space="preserve">.a </w:t>
            </w:r>
            <w:r w:rsidR="00223FBE">
              <w:rPr>
                <w:sz w:val="20"/>
                <w:szCs w:val="20"/>
              </w:rPr>
              <w:t xml:space="preserve">    </w:t>
            </w:r>
            <w:r w:rsidRPr="008D1759">
              <w:rPr>
                <w:sz w:val="20"/>
                <w:szCs w:val="20"/>
              </w:rPr>
              <w:t>Predstavitev ocen</w:t>
            </w:r>
            <w:r>
              <w:rPr>
                <w:sz w:val="20"/>
                <w:szCs w:val="20"/>
              </w:rPr>
              <w:t>e finančnih posledic nad 40.</w:t>
            </w:r>
            <w:r w:rsidRPr="008D1759">
              <w:rPr>
                <w:sz w:val="20"/>
                <w:szCs w:val="20"/>
              </w:rPr>
              <w:t>000 EUR</w:t>
            </w:r>
            <w:r>
              <w:rPr>
                <w:sz w:val="20"/>
                <w:szCs w:val="20"/>
              </w:rPr>
              <w:t>:</w:t>
            </w:r>
          </w:p>
          <w:p w14:paraId="6D69BD04" w14:textId="77777777" w:rsidR="00D731F3" w:rsidRPr="008D1759" w:rsidRDefault="00D731F3" w:rsidP="008829C8">
            <w:pPr>
              <w:pStyle w:val="Oddelek"/>
              <w:widowControl w:val="0"/>
              <w:numPr>
                <w:ilvl w:val="0"/>
                <w:numId w:val="0"/>
              </w:numPr>
              <w:spacing w:before="0" w:after="0" w:line="276" w:lineRule="auto"/>
              <w:jc w:val="left"/>
              <w:rPr>
                <w:b w:val="0"/>
                <w:sz w:val="20"/>
                <w:szCs w:val="20"/>
              </w:rPr>
            </w:pPr>
            <w:r>
              <w:rPr>
                <w:b w:val="0"/>
                <w:sz w:val="20"/>
                <w:szCs w:val="20"/>
              </w:rPr>
              <w:t>(Samo</w:t>
            </w:r>
            <w:r w:rsidRPr="008D1759">
              <w:rPr>
                <w:b w:val="0"/>
                <w:sz w:val="20"/>
                <w:szCs w:val="20"/>
              </w:rPr>
              <w:t xml:space="preserve"> če izbere</w:t>
            </w:r>
            <w:r>
              <w:rPr>
                <w:b w:val="0"/>
                <w:sz w:val="20"/>
                <w:szCs w:val="20"/>
              </w:rPr>
              <w:t>te DA pod točko 6.a.)</w:t>
            </w:r>
          </w:p>
        </w:tc>
      </w:tr>
      <w:tr w:rsidR="003D20AE" w:rsidRPr="008D1759" w14:paraId="21FBBB1B"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F2F2F2"/>
          </w:tcPr>
          <w:p w14:paraId="6DE269A4" w14:textId="7AAE432B" w:rsidR="003D20AE" w:rsidRPr="005B463B" w:rsidRDefault="001F4AD9" w:rsidP="00105B08">
            <w:pPr>
              <w:pStyle w:val="Odstavekseznama"/>
              <w:numPr>
                <w:ilvl w:val="0"/>
                <w:numId w:val="34"/>
              </w:numPr>
              <w:spacing w:after="0" w:line="240" w:lineRule="auto"/>
              <w:jc w:val="both"/>
              <w:rPr>
                <w:sz w:val="20"/>
                <w:szCs w:val="20"/>
              </w:rPr>
            </w:pPr>
            <w:proofErr w:type="spellStart"/>
            <w:r w:rsidRPr="00084D86">
              <w:rPr>
                <w:rFonts w:cs="Arial"/>
                <w:bCs/>
              </w:rPr>
              <w:t>Skupna</w:t>
            </w:r>
            <w:proofErr w:type="spellEnd"/>
            <w:r w:rsidRPr="00084D86">
              <w:rPr>
                <w:rFonts w:cs="Arial"/>
                <w:bCs/>
              </w:rPr>
              <w:t xml:space="preserve"> </w:t>
            </w:r>
            <w:proofErr w:type="spellStart"/>
            <w:r>
              <w:rPr>
                <w:rFonts w:cs="Arial"/>
                <w:bCs/>
              </w:rPr>
              <w:t>predvidena</w:t>
            </w:r>
            <w:proofErr w:type="spellEnd"/>
            <w:r>
              <w:rPr>
                <w:rFonts w:cs="Arial"/>
                <w:bCs/>
              </w:rPr>
              <w:t xml:space="preserve"> </w:t>
            </w:r>
            <w:proofErr w:type="spellStart"/>
            <w:r w:rsidRPr="00084D86">
              <w:rPr>
                <w:rFonts w:cs="Arial"/>
                <w:bCs/>
              </w:rPr>
              <w:t>vrednost</w:t>
            </w:r>
            <w:proofErr w:type="spellEnd"/>
            <w:r w:rsidRPr="00084D86">
              <w:rPr>
                <w:rFonts w:cs="Arial"/>
                <w:bCs/>
              </w:rPr>
              <w:t xml:space="preserve"> </w:t>
            </w:r>
            <w:proofErr w:type="spellStart"/>
            <w:r w:rsidRPr="00084D86">
              <w:rPr>
                <w:rFonts w:cs="Arial"/>
                <w:bCs/>
              </w:rPr>
              <w:t>javnega</w:t>
            </w:r>
            <w:proofErr w:type="spellEnd"/>
            <w:r w:rsidRPr="00084D86">
              <w:rPr>
                <w:rFonts w:cs="Arial"/>
                <w:bCs/>
              </w:rPr>
              <w:t xml:space="preserve"> </w:t>
            </w:r>
            <w:proofErr w:type="spellStart"/>
            <w:r w:rsidRPr="00084D86">
              <w:rPr>
                <w:rFonts w:cs="Arial"/>
                <w:bCs/>
              </w:rPr>
              <w:t>naročila</w:t>
            </w:r>
            <w:proofErr w:type="spellEnd"/>
            <w:r w:rsidRPr="00084D86">
              <w:rPr>
                <w:rFonts w:cs="Arial"/>
                <w:bCs/>
              </w:rPr>
              <w:t xml:space="preserve"> </w:t>
            </w:r>
            <w:proofErr w:type="spellStart"/>
            <w:r w:rsidRPr="00084D86">
              <w:rPr>
                <w:rFonts w:cs="Arial"/>
                <w:bCs/>
              </w:rPr>
              <w:t>znaša</w:t>
            </w:r>
            <w:proofErr w:type="spellEnd"/>
            <w:r w:rsidRPr="00084D86">
              <w:rPr>
                <w:rFonts w:cs="Arial"/>
                <w:bCs/>
              </w:rPr>
              <w:t>: 4</w:t>
            </w:r>
            <w:r>
              <w:rPr>
                <w:rFonts w:cs="Arial"/>
                <w:bCs/>
              </w:rPr>
              <w:t>20.000,00</w:t>
            </w:r>
            <w:r w:rsidRPr="00084D86">
              <w:rPr>
                <w:rFonts w:cs="Arial"/>
                <w:bCs/>
              </w:rPr>
              <w:t xml:space="preserve"> EUR </w:t>
            </w:r>
            <w:proofErr w:type="spellStart"/>
            <w:r w:rsidRPr="00084D86">
              <w:rPr>
                <w:rFonts w:cs="Arial"/>
                <w:bCs/>
              </w:rPr>
              <w:t>brez</w:t>
            </w:r>
            <w:proofErr w:type="spellEnd"/>
            <w:r w:rsidRPr="00084D86">
              <w:rPr>
                <w:rFonts w:cs="Arial"/>
                <w:bCs/>
              </w:rPr>
              <w:t xml:space="preserve"> </w:t>
            </w:r>
            <w:proofErr w:type="spellStart"/>
            <w:r w:rsidRPr="00084D86">
              <w:rPr>
                <w:rFonts w:cs="Arial"/>
                <w:bCs/>
              </w:rPr>
              <w:t>vključenega</w:t>
            </w:r>
            <w:proofErr w:type="spellEnd"/>
            <w:r w:rsidRPr="00084D86">
              <w:rPr>
                <w:rFonts w:cs="Arial"/>
                <w:bCs/>
              </w:rPr>
              <w:t xml:space="preserve"> DDV </w:t>
            </w:r>
            <w:proofErr w:type="spellStart"/>
            <w:r w:rsidRPr="00084D86">
              <w:rPr>
                <w:rFonts w:cs="Arial"/>
                <w:bCs/>
              </w:rPr>
              <w:t>oziroma</w:t>
            </w:r>
            <w:proofErr w:type="spellEnd"/>
            <w:r w:rsidRPr="00084D86">
              <w:rPr>
                <w:rFonts w:cs="Arial"/>
                <w:bCs/>
              </w:rPr>
              <w:t xml:space="preserve"> </w:t>
            </w:r>
            <w:r w:rsidRPr="00DA5BF5">
              <w:rPr>
                <w:rFonts w:cs="Arial"/>
                <w:bCs/>
              </w:rPr>
              <w:t>5</w:t>
            </w:r>
            <w:r>
              <w:rPr>
                <w:rFonts w:cs="Arial"/>
                <w:bCs/>
              </w:rPr>
              <w:t>12</w:t>
            </w:r>
            <w:r w:rsidRPr="00DA5BF5">
              <w:rPr>
                <w:rFonts w:cs="Arial"/>
                <w:bCs/>
              </w:rPr>
              <w:t>.</w:t>
            </w:r>
            <w:r>
              <w:rPr>
                <w:rFonts w:cs="Arial"/>
                <w:bCs/>
              </w:rPr>
              <w:t>400</w:t>
            </w:r>
            <w:r w:rsidRPr="00DA5BF5">
              <w:rPr>
                <w:rFonts w:cs="Arial"/>
                <w:bCs/>
              </w:rPr>
              <w:t xml:space="preserve">,00 </w:t>
            </w:r>
            <w:r w:rsidRPr="00084D86">
              <w:rPr>
                <w:rFonts w:cs="Arial"/>
                <w:bCs/>
              </w:rPr>
              <w:t xml:space="preserve">EUR z </w:t>
            </w:r>
            <w:proofErr w:type="spellStart"/>
            <w:r w:rsidRPr="00084D86">
              <w:rPr>
                <w:rFonts w:cs="Arial"/>
                <w:bCs/>
              </w:rPr>
              <w:t>vključenim</w:t>
            </w:r>
            <w:proofErr w:type="spellEnd"/>
            <w:r w:rsidRPr="00084D86">
              <w:rPr>
                <w:rFonts w:cs="Arial"/>
                <w:bCs/>
              </w:rPr>
              <w:t xml:space="preserve"> DDV.</w:t>
            </w:r>
            <w:r>
              <w:rPr>
                <w:rFonts w:cs="Arial"/>
                <w:bCs/>
              </w:rPr>
              <w:t xml:space="preserve"> </w:t>
            </w:r>
            <w:r w:rsidR="0031688D">
              <w:rPr>
                <w:rFonts w:cs="Arial"/>
                <w:bCs/>
              </w:rPr>
              <w:t xml:space="preserve"> </w:t>
            </w:r>
            <w:proofErr w:type="spellStart"/>
            <w:r w:rsidR="0031688D">
              <w:rPr>
                <w:rFonts w:cs="Arial"/>
                <w:bCs/>
              </w:rPr>
              <w:t>Gre</w:t>
            </w:r>
            <w:proofErr w:type="spellEnd"/>
            <w:r w:rsidR="0031688D">
              <w:rPr>
                <w:rFonts w:cs="Arial"/>
                <w:bCs/>
              </w:rPr>
              <w:t xml:space="preserve"> </w:t>
            </w:r>
            <w:proofErr w:type="spellStart"/>
            <w:r w:rsidR="0031688D">
              <w:rPr>
                <w:rFonts w:cs="Arial"/>
                <w:bCs/>
              </w:rPr>
              <w:t>za</w:t>
            </w:r>
            <w:proofErr w:type="spellEnd"/>
            <w:r w:rsidR="0031688D">
              <w:rPr>
                <w:rFonts w:cs="Arial"/>
                <w:bCs/>
              </w:rPr>
              <w:t xml:space="preserve"> </w:t>
            </w:r>
            <w:proofErr w:type="spellStart"/>
            <w:r w:rsidR="0031688D">
              <w:rPr>
                <w:rFonts w:cs="Arial"/>
                <w:bCs/>
              </w:rPr>
              <w:t>sredstva</w:t>
            </w:r>
            <w:proofErr w:type="spellEnd"/>
            <w:r w:rsidR="0031688D">
              <w:rPr>
                <w:rFonts w:cs="Arial"/>
                <w:bCs/>
              </w:rPr>
              <w:t xml:space="preserve"> </w:t>
            </w:r>
            <w:proofErr w:type="spellStart"/>
            <w:r w:rsidR="0031688D">
              <w:rPr>
                <w:rFonts w:cs="Arial"/>
                <w:bCs/>
              </w:rPr>
              <w:t>namenjena</w:t>
            </w:r>
            <w:proofErr w:type="spellEnd"/>
            <w:r w:rsidR="0031688D">
              <w:rPr>
                <w:rFonts w:cs="Arial"/>
                <w:bCs/>
              </w:rPr>
              <w:t xml:space="preserve"> </w:t>
            </w:r>
            <w:proofErr w:type="spellStart"/>
            <w:r w:rsidR="0031688D">
              <w:rPr>
                <w:rFonts w:cs="Arial"/>
                <w:bCs/>
              </w:rPr>
              <w:t>izvedbi</w:t>
            </w:r>
            <w:proofErr w:type="spellEnd"/>
            <w:r w:rsidR="0031688D">
              <w:rPr>
                <w:rFonts w:cs="Arial"/>
                <w:bCs/>
              </w:rPr>
              <w:t xml:space="preserve"> </w:t>
            </w:r>
            <w:proofErr w:type="spellStart"/>
            <w:r w:rsidR="0031688D">
              <w:rPr>
                <w:rFonts w:cs="Arial"/>
                <w:bCs/>
              </w:rPr>
              <w:t>tematskega</w:t>
            </w:r>
            <w:proofErr w:type="spellEnd"/>
            <w:r w:rsidR="0031688D">
              <w:rPr>
                <w:rFonts w:cs="Arial"/>
                <w:bCs/>
              </w:rPr>
              <w:t xml:space="preserve"> </w:t>
            </w:r>
            <w:proofErr w:type="spellStart"/>
            <w:r w:rsidR="0031688D">
              <w:rPr>
                <w:rFonts w:cs="Arial"/>
                <w:bCs/>
              </w:rPr>
              <w:t>akcijskega</w:t>
            </w:r>
            <w:proofErr w:type="spellEnd"/>
            <w:r w:rsidR="0031688D">
              <w:rPr>
                <w:rFonts w:cs="Arial"/>
                <w:bCs/>
              </w:rPr>
              <w:t xml:space="preserve"> </w:t>
            </w:r>
            <w:proofErr w:type="spellStart"/>
            <w:r w:rsidR="0031688D">
              <w:rPr>
                <w:rFonts w:cs="Arial"/>
                <w:bCs/>
              </w:rPr>
              <w:t>programa</w:t>
            </w:r>
            <w:proofErr w:type="spellEnd"/>
            <w:r w:rsidR="0031688D">
              <w:rPr>
                <w:rFonts w:cs="Arial"/>
                <w:bCs/>
              </w:rPr>
              <w:t xml:space="preserve"> (TAP). </w:t>
            </w:r>
          </w:p>
        </w:tc>
      </w:tr>
      <w:tr w:rsidR="00961FFE" w:rsidRPr="008D1759" w14:paraId="7BA8DC41"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D9D9D9"/>
          </w:tcPr>
          <w:p w14:paraId="5145BE78" w14:textId="77777777" w:rsidR="00961FFE" w:rsidRDefault="00961FFE" w:rsidP="00D00C78">
            <w:pPr>
              <w:pStyle w:val="Oddelek"/>
              <w:widowControl w:val="0"/>
              <w:numPr>
                <w:ilvl w:val="0"/>
                <w:numId w:val="7"/>
              </w:numPr>
              <w:spacing w:before="60" w:after="0" w:line="276" w:lineRule="auto"/>
              <w:ind w:left="601" w:hanging="567"/>
              <w:jc w:val="left"/>
              <w:rPr>
                <w:sz w:val="20"/>
                <w:szCs w:val="20"/>
              </w:rPr>
            </w:pPr>
            <w:r>
              <w:rPr>
                <w:sz w:val="20"/>
                <w:szCs w:val="20"/>
              </w:rPr>
              <w:t>Ocena finančnih posledic, ki niso načrtovane v sprejetem proračunu</w:t>
            </w:r>
          </w:p>
        </w:tc>
      </w:tr>
      <w:tr w:rsidR="00C63A22" w:rsidRPr="008D1759" w14:paraId="36CABF28" w14:textId="77777777" w:rsidTr="008829C8">
        <w:tc>
          <w:tcPr>
            <w:tcW w:w="2819" w:type="dxa"/>
            <w:gridSpan w:val="2"/>
            <w:tcBorders>
              <w:top w:val="single" w:sz="4" w:space="0" w:color="auto"/>
              <w:left w:val="single" w:sz="4" w:space="0" w:color="auto"/>
              <w:bottom w:val="single" w:sz="4" w:space="0" w:color="auto"/>
              <w:right w:val="single" w:sz="4" w:space="0" w:color="auto"/>
            </w:tcBorders>
          </w:tcPr>
          <w:p w14:paraId="1816A194" w14:textId="77777777" w:rsidR="00C63A22" w:rsidRPr="00C63A22" w:rsidRDefault="00C63A22" w:rsidP="008829C8">
            <w:pPr>
              <w:pStyle w:val="Oddelek"/>
              <w:widowControl w:val="0"/>
              <w:numPr>
                <w:ilvl w:val="0"/>
                <w:numId w:val="0"/>
              </w:numPr>
              <w:spacing w:before="60" w:after="0" w:line="276" w:lineRule="auto"/>
              <w:jc w:val="left"/>
              <w:rPr>
                <w:b w:val="0"/>
                <w:sz w:val="20"/>
                <w:szCs w:val="20"/>
              </w:rPr>
            </w:pPr>
          </w:p>
        </w:tc>
        <w:tc>
          <w:tcPr>
            <w:tcW w:w="1695" w:type="dxa"/>
            <w:gridSpan w:val="3"/>
          </w:tcPr>
          <w:p w14:paraId="374156E6" w14:textId="77777777" w:rsidR="00C63A22" w:rsidRPr="00C63A22" w:rsidRDefault="00C63A22" w:rsidP="008829C8">
            <w:pPr>
              <w:pStyle w:val="Oddelek"/>
              <w:widowControl w:val="0"/>
              <w:numPr>
                <w:ilvl w:val="0"/>
                <w:numId w:val="0"/>
              </w:numPr>
              <w:spacing w:before="60" w:after="0" w:line="276" w:lineRule="auto"/>
              <w:jc w:val="left"/>
              <w:rPr>
                <w:b w:val="0"/>
                <w:sz w:val="20"/>
                <w:szCs w:val="20"/>
              </w:rPr>
            </w:pPr>
            <w:r w:rsidRPr="00C63A22">
              <w:rPr>
                <w:b w:val="0"/>
                <w:sz w:val="20"/>
                <w:szCs w:val="20"/>
              </w:rPr>
              <w:t>Tekoče leto (t)</w:t>
            </w:r>
          </w:p>
        </w:tc>
        <w:tc>
          <w:tcPr>
            <w:tcW w:w="1574" w:type="dxa"/>
            <w:gridSpan w:val="3"/>
          </w:tcPr>
          <w:p w14:paraId="60AF8EDE" w14:textId="77777777" w:rsidR="00C63A22" w:rsidRPr="00C63A22" w:rsidRDefault="00C63A22" w:rsidP="008829C8">
            <w:pPr>
              <w:pStyle w:val="Oddelek"/>
              <w:widowControl w:val="0"/>
              <w:numPr>
                <w:ilvl w:val="0"/>
                <w:numId w:val="0"/>
              </w:numPr>
              <w:spacing w:before="60" w:after="0" w:line="276" w:lineRule="auto"/>
              <w:rPr>
                <w:b w:val="0"/>
                <w:sz w:val="20"/>
                <w:szCs w:val="20"/>
              </w:rPr>
            </w:pPr>
            <w:r>
              <w:rPr>
                <w:b w:val="0"/>
                <w:sz w:val="20"/>
                <w:szCs w:val="20"/>
              </w:rPr>
              <w:t>t + 1</w:t>
            </w:r>
          </w:p>
        </w:tc>
        <w:tc>
          <w:tcPr>
            <w:tcW w:w="1567" w:type="dxa"/>
            <w:gridSpan w:val="2"/>
          </w:tcPr>
          <w:p w14:paraId="4A08C845" w14:textId="77777777" w:rsidR="00C63A22" w:rsidRPr="00C63A22" w:rsidRDefault="00C63A22" w:rsidP="008829C8">
            <w:pPr>
              <w:pStyle w:val="Oddelek"/>
              <w:widowControl w:val="0"/>
              <w:numPr>
                <w:ilvl w:val="0"/>
                <w:numId w:val="0"/>
              </w:numPr>
              <w:spacing w:before="60" w:after="0" w:line="276" w:lineRule="auto"/>
              <w:rPr>
                <w:b w:val="0"/>
                <w:sz w:val="20"/>
                <w:szCs w:val="20"/>
              </w:rPr>
            </w:pPr>
            <w:r>
              <w:rPr>
                <w:b w:val="0"/>
                <w:sz w:val="20"/>
                <w:szCs w:val="20"/>
              </w:rPr>
              <w:t>t + 2</w:t>
            </w:r>
          </w:p>
        </w:tc>
        <w:tc>
          <w:tcPr>
            <w:tcW w:w="1562" w:type="dxa"/>
            <w:gridSpan w:val="2"/>
          </w:tcPr>
          <w:p w14:paraId="4DF7CEF0" w14:textId="77777777" w:rsidR="00C63A22" w:rsidRPr="00C63A22" w:rsidRDefault="00C63A22" w:rsidP="008829C8">
            <w:pPr>
              <w:pStyle w:val="Oddelek"/>
              <w:widowControl w:val="0"/>
              <w:numPr>
                <w:ilvl w:val="0"/>
                <w:numId w:val="0"/>
              </w:numPr>
              <w:spacing w:before="60" w:after="0" w:line="276" w:lineRule="auto"/>
              <w:rPr>
                <w:b w:val="0"/>
                <w:sz w:val="20"/>
                <w:szCs w:val="20"/>
              </w:rPr>
            </w:pPr>
            <w:r>
              <w:rPr>
                <w:b w:val="0"/>
                <w:sz w:val="20"/>
                <w:szCs w:val="20"/>
              </w:rPr>
              <w:t>t + 2</w:t>
            </w:r>
          </w:p>
        </w:tc>
      </w:tr>
      <w:tr w:rsidR="00961FFE" w:rsidRPr="008D1759" w14:paraId="349C8D72" w14:textId="77777777" w:rsidTr="008829C8">
        <w:tc>
          <w:tcPr>
            <w:tcW w:w="2819" w:type="dxa"/>
            <w:gridSpan w:val="2"/>
            <w:tcBorders>
              <w:top w:val="single" w:sz="4" w:space="0" w:color="auto"/>
              <w:left w:val="single" w:sz="4" w:space="0" w:color="auto"/>
              <w:bottom w:val="single" w:sz="4" w:space="0" w:color="auto"/>
              <w:right w:val="single" w:sz="4" w:space="0" w:color="auto"/>
            </w:tcBorders>
          </w:tcPr>
          <w:p w14:paraId="1B141F93" w14:textId="77777777" w:rsidR="00C63A22" w:rsidRPr="00C63A22" w:rsidRDefault="00C63A22" w:rsidP="008829C8">
            <w:pPr>
              <w:pStyle w:val="Oddelek"/>
              <w:widowControl w:val="0"/>
              <w:numPr>
                <w:ilvl w:val="0"/>
                <w:numId w:val="0"/>
              </w:numPr>
              <w:spacing w:before="60" w:after="0" w:line="276" w:lineRule="auto"/>
              <w:jc w:val="left"/>
              <w:rPr>
                <w:b w:val="0"/>
                <w:sz w:val="20"/>
                <w:szCs w:val="20"/>
              </w:rPr>
            </w:pPr>
            <w:r w:rsidRPr="00C63A22">
              <w:rPr>
                <w:b w:val="0"/>
                <w:bCs/>
                <w:sz w:val="20"/>
                <w:szCs w:val="20"/>
              </w:rPr>
              <w:t>Predvideno povečanje (+) ali zmanjšanje (</w:t>
            </w:r>
            <w:r w:rsidRPr="00C63A22">
              <w:rPr>
                <w:b w:val="0"/>
                <w:sz w:val="20"/>
                <w:szCs w:val="20"/>
              </w:rPr>
              <w:t>–</w:t>
            </w:r>
            <w:r w:rsidRPr="00C63A22">
              <w:rPr>
                <w:b w:val="0"/>
                <w:bCs/>
                <w:sz w:val="20"/>
                <w:szCs w:val="20"/>
              </w:rPr>
              <w:t xml:space="preserve">) prihodkov </w:t>
            </w:r>
            <w:r>
              <w:rPr>
                <w:b w:val="0"/>
                <w:bCs/>
                <w:sz w:val="20"/>
                <w:szCs w:val="20"/>
              </w:rPr>
              <w:t>DP</w:t>
            </w:r>
          </w:p>
        </w:tc>
        <w:tc>
          <w:tcPr>
            <w:tcW w:w="1695" w:type="dxa"/>
            <w:gridSpan w:val="3"/>
          </w:tcPr>
          <w:p w14:paraId="6E0C0D29" w14:textId="77777777" w:rsidR="00C63A22" w:rsidRPr="00C63A22" w:rsidRDefault="00C63A22" w:rsidP="008829C8">
            <w:pPr>
              <w:pStyle w:val="Oddelek"/>
              <w:widowControl w:val="0"/>
              <w:numPr>
                <w:ilvl w:val="0"/>
                <w:numId w:val="0"/>
              </w:numPr>
              <w:spacing w:before="60" w:after="0" w:line="276" w:lineRule="auto"/>
              <w:jc w:val="left"/>
              <w:rPr>
                <w:b w:val="0"/>
                <w:sz w:val="20"/>
                <w:szCs w:val="20"/>
              </w:rPr>
            </w:pPr>
          </w:p>
        </w:tc>
        <w:tc>
          <w:tcPr>
            <w:tcW w:w="1574" w:type="dxa"/>
            <w:gridSpan w:val="3"/>
          </w:tcPr>
          <w:p w14:paraId="5F61D807" w14:textId="77777777" w:rsidR="00C63A22" w:rsidRPr="00C63A22" w:rsidRDefault="00C63A22" w:rsidP="008829C8">
            <w:pPr>
              <w:pStyle w:val="Oddelek"/>
              <w:widowControl w:val="0"/>
              <w:numPr>
                <w:ilvl w:val="0"/>
                <w:numId w:val="0"/>
              </w:numPr>
              <w:spacing w:before="60" w:after="0" w:line="276" w:lineRule="auto"/>
              <w:rPr>
                <w:b w:val="0"/>
                <w:sz w:val="20"/>
                <w:szCs w:val="20"/>
              </w:rPr>
            </w:pPr>
          </w:p>
        </w:tc>
        <w:tc>
          <w:tcPr>
            <w:tcW w:w="1567" w:type="dxa"/>
            <w:gridSpan w:val="2"/>
          </w:tcPr>
          <w:p w14:paraId="47A96161" w14:textId="77777777" w:rsidR="00C63A22" w:rsidRPr="00C63A22" w:rsidRDefault="00C63A22" w:rsidP="008829C8">
            <w:pPr>
              <w:pStyle w:val="Oddelek"/>
              <w:widowControl w:val="0"/>
              <w:numPr>
                <w:ilvl w:val="0"/>
                <w:numId w:val="0"/>
              </w:numPr>
              <w:spacing w:before="60" w:after="0" w:line="276" w:lineRule="auto"/>
              <w:rPr>
                <w:b w:val="0"/>
                <w:sz w:val="20"/>
                <w:szCs w:val="20"/>
              </w:rPr>
            </w:pPr>
          </w:p>
        </w:tc>
        <w:tc>
          <w:tcPr>
            <w:tcW w:w="1562" w:type="dxa"/>
            <w:gridSpan w:val="2"/>
          </w:tcPr>
          <w:p w14:paraId="4809A21A" w14:textId="77777777" w:rsidR="00C63A22" w:rsidRPr="00C63A22" w:rsidRDefault="00C63A22" w:rsidP="008829C8">
            <w:pPr>
              <w:pStyle w:val="Oddelek"/>
              <w:widowControl w:val="0"/>
              <w:numPr>
                <w:ilvl w:val="0"/>
                <w:numId w:val="0"/>
              </w:numPr>
              <w:spacing w:before="60" w:after="0" w:line="276" w:lineRule="auto"/>
              <w:rPr>
                <w:b w:val="0"/>
                <w:sz w:val="20"/>
                <w:szCs w:val="20"/>
              </w:rPr>
            </w:pPr>
          </w:p>
        </w:tc>
      </w:tr>
      <w:tr w:rsidR="00961FFE" w:rsidRPr="008D1759" w14:paraId="555D51EF" w14:textId="77777777" w:rsidTr="008829C8">
        <w:tc>
          <w:tcPr>
            <w:tcW w:w="2819" w:type="dxa"/>
            <w:gridSpan w:val="2"/>
            <w:tcBorders>
              <w:top w:val="single" w:sz="4" w:space="0" w:color="auto"/>
              <w:left w:val="single" w:sz="4" w:space="0" w:color="auto"/>
              <w:bottom w:val="single" w:sz="4" w:space="0" w:color="auto"/>
              <w:right w:val="single" w:sz="4" w:space="0" w:color="auto"/>
            </w:tcBorders>
            <w:vAlign w:val="center"/>
          </w:tcPr>
          <w:p w14:paraId="74EB2B9F" w14:textId="77777777" w:rsidR="00961FFE" w:rsidRPr="008D1759" w:rsidRDefault="00961FFE" w:rsidP="008829C8">
            <w:pPr>
              <w:widowControl w:val="0"/>
              <w:spacing w:line="276" w:lineRule="auto"/>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w:t>
            </w:r>
            <w:r>
              <w:rPr>
                <w:rFonts w:cs="Arial"/>
                <w:bCs/>
                <w:szCs w:val="20"/>
              </w:rPr>
              <w:t>OP</w:t>
            </w:r>
            <w:r w:rsidRPr="008D1759">
              <w:rPr>
                <w:rFonts w:cs="Arial"/>
                <w:bCs/>
                <w:szCs w:val="20"/>
              </w:rPr>
              <w:t xml:space="preserve"> </w:t>
            </w:r>
          </w:p>
        </w:tc>
        <w:tc>
          <w:tcPr>
            <w:tcW w:w="1695" w:type="dxa"/>
            <w:gridSpan w:val="3"/>
          </w:tcPr>
          <w:p w14:paraId="7CF57176" w14:textId="77777777" w:rsidR="00961FFE" w:rsidRPr="00C63A22" w:rsidRDefault="00961FFE" w:rsidP="008829C8">
            <w:pPr>
              <w:pStyle w:val="Oddelek"/>
              <w:widowControl w:val="0"/>
              <w:numPr>
                <w:ilvl w:val="0"/>
                <w:numId w:val="0"/>
              </w:numPr>
              <w:spacing w:before="60" w:after="0" w:line="276" w:lineRule="auto"/>
              <w:jc w:val="left"/>
              <w:rPr>
                <w:b w:val="0"/>
                <w:sz w:val="20"/>
                <w:szCs w:val="20"/>
              </w:rPr>
            </w:pPr>
          </w:p>
        </w:tc>
        <w:tc>
          <w:tcPr>
            <w:tcW w:w="1574" w:type="dxa"/>
            <w:gridSpan w:val="3"/>
          </w:tcPr>
          <w:p w14:paraId="6F0EC210" w14:textId="77777777" w:rsidR="00961FFE" w:rsidRPr="00C63A22" w:rsidRDefault="00961FFE" w:rsidP="008829C8">
            <w:pPr>
              <w:pStyle w:val="Oddelek"/>
              <w:widowControl w:val="0"/>
              <w:numPr>
                <w:ilvl w:val="0"/>
                <w:numId w:val="0"/>
              </w:numPr>
              <w:spacing w:before="60" w:after="0" w:line="276" w:lineRule="auto"/>
              <w:rPr>
                <w:b w:val="0"/>
                <w:sz w:val="20"/>
                <w:szCs w:val="20"/>
              </w:rPr>
            </w:pPr>
          </w:p>
        </w:tc>
        <w:tc>
          <w:tcPr>
            <w:tcW w:w="1567" w:type="dxa"/>
            <w:gridSpan w:val="2"/>
          </w:tcPr>
          <w:p w14:paraId="2437C5F1" w14:textId="77777777" w:rsidR="00961FFE" w:rsidRPr="00C63A22" w:rsidRDefault="00961FFE" w:rsidP="008829C8">
            <w:pPr>
              <w:pStyle w:val="Oddelek"/>
              <w:widowControl w:val="0"/>
              <w:numPr>
                <w:ilvl w:val="0"/>
                <w:numId w:val="0"/>
              </w:numPr>
              <w:spacing w:before="60" w:after="0" w:line="276" w:lineRule="auto"/>
              <w:rPr>
                <w:b w:val="0"/>
                <w:sz w:val="20"/>
                <w:szCs w:val="20"/>
              </w:rPr>
            </w:pPr>
          </w:p>
        </w:tc>
        <w:tc>
          <w:tcPr>
            <w:tcW w:w="1562" w:type="dxa"/>
            <w:gridSpan w:val="2"/>
          </w:tcPr>
          <w:p w14:paraId="0AB17835" w14:textId="77777777" w:rsidR="00961FFE" w:rsidRPr="00C63A22" w:rsidRDefault="00961FFE" w:rsidP="008829C8">
            <w:pPr>
              <w:pStyle w:val="Oddelek"/>
              <w:widowControl w:val="0"/>
              <w:numPr>
                <w:ilvl w:val="0"/>
                <w:numId w:val="0"/>
              </w:numPr>
              <w:spacing w:before="60" w:after="0" w:line="276" w:lineRule="auto"/>
              <w:rPr>
                <w:b w:val="0"/>
                <w:sz w:val="20"/>
                <w:szCs w:val="20"/>
              </w:rPr>
            </w:pPr>
          </w:p>
        </w:tc>
      </w:tr>
      <w:tr w:rsidR="00961FFE" w:rsidRPr="008D1759" w14:paraId="645D5237" w14:textId="77777777" w:rsidTr="008829C8">
        <w:tc>
          <w:tcPr>
            <w:tcW w:w="2819" w:type="dxa"/>
            <w:gridSpan w:val="2"/>
            <w:tcBorders>
              <w:top w:val="single" w:sz="4" w:space="0" w:color="auto"/>
              <w:left w:val="single" w:sz="4" w:space="0" w:color="auto"/>
              <w:bottom w:val="single" w:sz="4" w:space="0" w:color="auto"/>
              <w:right w:val="single" w:sz="4" w:space="0" w:color="auto"/>
            </w:tcBorders>
            <w:vAlign w:val="center"/>
          </w:tcPr>
          <w:p w14:paraId="781D1F01" w14:textId="77777777" w:rsidR="00961FFE" w:rsidRPr="008D1759" w:rsidRDefault="00961FFE" w:rsidP="008829C8">
            <w:pPr>
              <w:widowControl w:val="0"/>
              <w:spacing w:line="276" w:lineRule="auto"/>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w:t>
            </w:r>
            <w:r>
              <w:rPr>
                <w:rFonts w:cs="Arial"/>
                <w:bCs/>
                <w:szCs w:val="20"/>
              </w:rPr>
              <w:t>DP</w:t>
            </w:r>
            <w:r w:rsidRPr="008D1759">
              <w:rPr>
                <w:rFonts w:cs="Arial"/>
                <w:bCs/>
                <w:szCs w:val="20"/>
              </w:rPr>
              <w:t xml:space="preserve"> </w:t>
            </w:r>
          </w:p>
        </w:tc>
        <w:tc>
          <w:tcPr>
            <w:tcW w:w="1695" w:type="dxa"/>
            <w:gridSpan w:val="3"/>
          </w:tcPr>
          <w:p w14:paraId="103B59C2" w14:textId="77777777" w:rsidR="00961FFE" w:rsidRPr="00C63A22" w:rsidRDefault="00961FFE" w:rsidP="008829C8">
            <w:pPr>
              <w:pStyle w:val="Oddelek"/>
              <w:widowControl w:val="0"/>
              <w:numPr>
                <w:ilvl w:val="0"/>
                <w:numId w:val="0"/>
              </w:numPr>
              <w:spacing w:before="60" w:after="0" w:line="276" w:lineRule="auto"/>
              <w:jc w:val="left"/>
              <w:rPr>
                <w:b w:val="0"/>
                <w:sz w:val="20"/>
                <w:szCs w:val="20"/>
              </w:rPr>
            </w:pPr>
          </w:p>
        </w:tc>
        <w:tc>
          <w:tcPr>
            <w:tcW w:w="1574" w:type="dxa"/>
            <w:gridSpan w:val="3"/>
          </w:tcPr>
          <w:p w14:paraId="4FEF2CA2" w14:textId="77777777" w:rsidR="00961FFE" w:rsidRPr="00C63A22" w:rsidRDefault="00961FFE" w:rsidP="008829C8">
            <w:pPr>
              <w:pStyle w:val="Oddelek"/>
              <w:widowControl w:val="0"/>
              <w:numPr>
                <w:ilvl w:val="0"/>
                <w:numId w:val="0"/>
              </w:numPr>
              <w:spacing w:before="60" w:after="0" w:line="276" w:lineRule="auto"/>
              <w:rPr>
                <w:b w:val="0"/>
                <w:sz w:val="20"/>
                <w:szCs w:val="20"/>
              </w:rPr>
            </w:pPr>
          </w:p>
        </w:tc>
        <w:tc>
          <w:tcPr>
            <w:tcW w:w="1567" w:type="dxa"/>
            <w:gridSpan w:val="2"/>
          </w:tcPr>
          <w:p w14:paraId="259035CB" w14:textId="77777777" w:rsidR="00961FFE" w:rsidRPr="00C63A22" w:rsidRDefault="00961FFE" w:rsidP="008829C8">
            <w:pPr>
              <w:pStyle w:val="Oddelek"/>
              <w:widowControl w:val="0"/>
              <w:numPr>
                <w:ilvl w:val="0"/>
                <w:numId w:val="0"/>
              </w:numPr>
              <w:spacing w:before="60" w:after="0" w:line="276" w:lineRule="auto"/>
              <w:rPr>
                <w:b w:val="0"/>
                <w:sz w:val="20"/>
                <w:szCs w:val="20"/>
              </w:rPr>
            </w:pPr>
          </w:p>
        </w:tc>
        <w:tc>
          <w:tcPr>
            <w:tcW w:w="1562" w:type="dxa"/>
            <w:gridSpan w:val="2"/>
          </w:tcPr>
          <w:p w14:paraId="286C78A6" w14:textId="77777777" w:rsidR="00961FFE" w:rsidRPr="00C63A22" w:rsidRDefault="00961FFE" w:rsidP="008829C8">
            <w:pPr>
              <w:pStyle w:val="Oddelek"/>
              <w:widowControl w:val="0"/>
              <w:numPr>
                <w:ilvl w:val="0"/>
                <w:numId w:val="0"/>
              </w:numPr>
              <w:spacing w:before="60" w:after="0" w:line="276" w:lineRule="auto"/>
              <w:rPr>
                <w:b w:val="0"/>
                <w:sz w:val="20"/>
                <w:szCs w:val="20"/>
              </w:rPr>
            </w:pPr>
          </w:p>
        </w:tc>
      </w:tr>
      <w:tr w:rsidR="00961FFE" w:rsidRPr="008D1759" w14:paraId="64DAE875" w14:textId="77777777" w:rsidTr="008829C8">
        <w:tc>
          <w:tcPr>
            <w:tcW w:w="2819" w:type="dxa"/>
            <w:gridSpan w:val="2"/>
            <w:tcBorders>
              <w:top w:val="single" w:sz="4" w:space="0" w:color="auto"/>
              <w:left w:val="single" w:sz="4" w:space="0" w:color="auto"/>
              <w:bottom w:val="single" w:sz="4" w:space="0" w:color="auto"/>
              <w:right w:val="single" w:sz="4" w:space="0" w:color="auto"/>
            </w:tcBorders>
            <w:vAlign w:val="center"/>
          </w:tcPr>
          <w:p w14:paraId="6B2806FB" w14:textId="77777777" w:rsidR="00961FFE" w:rsidRPr="008D1759" w:rsidRDefault="00961FFE" w:rsidP="008829C8">
            <w:pPr>
              <w:widowControl w:val="0"/>
              <w:spacing w:line="276" w:lineRule="auto"/>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xml:space="preserve">) odhodkov </w:t>
            </w:r>
            <w:r>
              <w:rPr>
                <w:rFonts w:cs="Arial"/>
                <w:bCs/>
                <w:szCs w:val="20"/>
              </w:rPr>
              <w:t>OP</w:t>
            </w:r>
          </w:p>
        </w:tc>
        <w:tc>
          <w:tcPr>
            <w:tcW w:w="1695" w:type="dxa"/>
            <w:gridSpan w:val="3"/>
          </w:tcPr>
          <w:p w14:paraId="79A0C6D0" w14:textId="77777777" w:rsidR="00961FFE" w:rsidRPr="00C63A22" w:rsidRDefault="00961FFE" w:rsidP="008829C8">
            <w:pPr>
              <w:pStyle w:val="Oddelek"/>
              <w:widowControl w:val="0"/>
              <w:numPr>
                <w:ilvl w:val="0"/>
                <w:numId w:val="0"/>
              </w:numPr>
              <w:spacing w:before="60" w:after="0" w:line="276" w:lineRule="auto"/>
              <w:jc w:val="left"/>
              <w:rPr>
                <w:b w:val="0"/>
                <w:sz w:val="20"/>
                <w:szCs w:val="20"/>
              </w:rPr>
            </w:pPr>
          </w:p>
        </w:tc>
        <w:tc>
          <w:tcPr>
            <w:tcW w:w="1574" w:type="dxa"/>
            <w:gridSpan w:val="3"/>
          </w:tcPr>
          <w:p w14:paraId="27F80EAD" w14:textId="77777777" w:rsidR="00961FFE" w:rsidRPr="00C63A22" w:rsidRDefault="00961FFE" w:rsidP="008829C8">
            <w:pPr>
              <w:pStyle w:val="Oddelek"/>
              <w:widowControl w:val="0"/>
              <w:numPr>
                <w:ilvl w:val="0"/>
                <w:numId w:val="0"/>
              </w:numPr>
              <w:spacing w:before="60" w:after="0" w:line="276" w:lineRule="auto"/>
              <w:rPr>
                <w:b w:val="0"/>
                <w:sz w:val="20"/>
                <w:szCs w:val="20"/>
              </w:rPr>
            </w:pPr>
          </w:p>
        </w:tc>
        <w:tc>
          <w:tcPr>
            <w:tcW w:w="1567" w:type="dxa"/>
            <w:gridSpan w:val="2"/>
          </w:tcPr>
          <w:p w14:paraId="7257D916" w14:textId="77777777" w:rsidR="00961FFE" w:rsidRPr="00C63A22" w:rsidRDefault="00961FFE" w:rsidP="008829C8">
            <w:pPr>
              <w:pStyle w:val="Oddelek"/>
              <w:widowControl w:val="0"/>
              <w:numPr>
                <w:ilvl w:val="0"/>
                <w:numId w:val="0"/>
              </w:numPr>
              <w:spacing w:before="60" w:after="0" w:line="276" w:lineRule="auto"/>
              <w:rPr>
                <w:b w:val="0"/>
                <w:sz w:val="20"/>
                <w:szCs w:val="20"/>
              </w:rPr>
            </w:pPr>
          </w:p>
        </w:tc>
        <w:tc>
          <w:tcPr>
            <w:tcW w:w="1562" w:type="dxa"/>
            <w:gridSpan w:val="2"/>
          </w:tcPr>
          <w:p w14:paraId="2F3023D1" w14:textId="77777777" w:rsidR="00961FFE" w:rsidRPr="00C63A22" w:rsidRDefault="00961FFE" w:rsidP="008829C8">
            <w:pPr>
              <w:pStyle w:val="Oddelek"/>
              <w:widowControl w:val="0"/>
              <w:numPr>
                <w:ilvl w:val="0"/>
                <w:numId w:val="0"/>
              </w:numPr>
              <w:spacing w:before="60" w:after="0" w:line="276" w:lineRule="auto"/>
              <w:rPr>
                <w:b w:val="0"/>
                <w:sz w:val="20"/>
                <w:szCs w:val="20"/>
              </w:rPr>
            </w:pPr>
          </w:p>
        </w:tc>
      </w:tr>
      <w:tr w:rsidR="00961FFE" w:rsidRPr="008D1759" w14:paraId="676F791F" w14:textId="77777777" w:rsidTr="008829C8">
        <w:tc>
          <w:tcPr>
            <w:tcW w:w="2819" w:type="dxa"/>
            <w:gridSpan w:val="2"/>
            <w:tcBorders>
              <w:top w:val="single" w:sz="4" w:space="0" w:color="auto"/>
              <w:left w:val="single" w:sz="4" w:space="0" w:color="auto"/>
              <w:bottom w:val="single" w:sz="4" w:space="0" w:color="auto"/>
              <w:right w:val="single" w:sz="4" w:space="0" w:color="auto"/>
            </w:tcBorders>
            <w:vAlign w:val="center"/>
          </w:tcPr>
          <w:p w14:paraId="3D14C10C" w14:textId="77777777" w:rsidR="00961FFE" w:rsidRPr="008D1759" w:rsidRDefault="00961FFE" w:rsidP="008829C8">
            <w:pPr>
              <w:widowControl w:val="0"/>
              <w:spacing w:line="276" w:lineRule="auto"/>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695" w:type="dxa"/>
            <w:gridSpan w:val="3"/>
          </w:tcPr>
          <w:p w14:paraId="603EBC74" w14:textId="77777777" w:rsidR="00961FFE" w:rsidRPr="00C63A22" w:rsidRDefault="00961FFE" w:rsidP="008829C8">
            <w:pPr>
              <w:pStyle w:val="Oddelek"/>
              <w:widowControl w:val="0"/>
              <w:numPr>
                <w:ilvl w:val="0"/>
                <w:numId w:val="0"/>
              </w:numPr>
              <w:spacing w:before="60" w:after="0" w:line="276" w:lineRule="auto"/>
              <w:jc w:val="left"/>
              <w:rPr>
                <w:b w:val="0"/>
                <w:sz w:val="20"/>
                <w:szCs w:val="20"/>
              </w:rPr>
            </w:pPr>
          </w:p>
        </w:tc>
        <w:tc>
          <w:tcPr>
            <w:tcW w:w="1574" w:type="dxa"/>
            <w:gridSpan w:val="3"/>
          </w:tcPr>
          <w:p w14:paraId="61D098D6" w14:textId="77777777" w:rsidR="00961FFE" w:rsidRPr="00C63A22" w:rsidRDefault="00961FFE" w:rsidP="008829C8">
            <w:pPr>
              <w:pStyle w:val="Oddelek"/>
              <w:widowControl w:val="0"/>
              <w:numPr>
                <w:ilvl w:val="0"/>
                <w:numId w:val="0"/>
              </w:numPr>
              <w:spacing w:before="60" w:after="0" w:line="276" w:lineRule="auto"/>
              <w:rPr>
                <w:b w:val="0"/>
                <w:sz w:val="20"/>
                <w:szCs w:val="20"/>
              </w:rPr>
            </w:pPr>
          </w:p>
        </w:tc>
        <w:tc>
          <w:tcPr>
            <w:tcW w:w="1567" w:type="dxa"/>
            <w:gridSpan w:val="2"/>
          </w:tcPr>
          <w:p w14:paraId="1A843CC2" w14:textId="77777777" w:rsidR="00961FFE" w:rsidRPr="00C63A22" w:rsidRDefault="00961FFE" w:rsidP="008829C8">
            <w:pPr>
              <w:pStyle w:val="Oddelek"/>
              <w:widowControl w:val="0"/>
              <w:numPr>
                <w:ilvl w:val="0"/>
                <w:numId w:val="0"/>
              </w:numPr>
              <w:spacing w:before="60" w:after="0" w:line="276" w:lineRule="auto"/>
              <w:rPr>
                <w:b w:val="0"/>
                <w:sz w:val="20"/>
                <w:szCs w:val="20"/>
              </w:rPr>
            </w:pPr>
          </w:p>
        </w:tc>
        <w:tc>
          <w:tcPr>
            <w:tcW w:w="1562" w:type="dxa"/>
            <w:gridSpan w:val="2"/>
          </w:tcPr>
          <w:p w14:paraId="5E1BB159" w14:textId="77777777" w:rsidR="00961FFE" w:rsidRPr="00C63A22" w:rsidRDefault="00961FFE" w:rsidP="008829C8">
            <w:pPr>
              <w:pStyle w:val="Oddelek"/>
              <w:widowControl w:val="0"/>
              <w:numPr>
                <w:ilvl w:val="0"/>
                <w:numId w:val="0"/>
              </w:numPr>
              <w:spacing w:before="60" w:after="0" w:line="276" w:lineRule="auto"/>
              <w:rPr>
                <w:b w:val="0"/>
                <w:sz w:val="20"/>
                <w:szCs w:val="20"/>
              </w:rPr>
            </w:pPr>
          </w:p>
        </w:tc>
      </w:tr>
      <w:tr w:rsidR="00961FFE" w:rsidRPr="008D1759" w14:paraId="58C0FA53"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D9D9D9"/>
          </w:tcPr>
          <w:p w14:paraId="3A8699A4" w14:textId="77777777" w:rsidR="00961FFE" w:rsidRDefault="00961FFE" w:rsidP="00D00C78">
            <w:pPr>
              <w:pStyle w:val="Oddelek"/>
              <w:widowControl w:val="0"/>
              <w:numPr>
                <w:ilvl w:val="0"/>
                <w:numId w:val="7"/>
              </w:numPr>
              <w:spacing w:before="60" w:after="0" w:line="276" w:lineRule="auto"/>
              <w:ind w:left="601" w:hanging="567"/>
              <w:jc w:val="left"/>
              <w:rPr>
                <w:sz w:val="20"/>
                <w:szCs w:val="20"/>
              </w:rPr>
            </w:pPr>
            <w:r>
              <w:rPr>
                <w:sz w:val="20"/>
                <w:szCs w:val="20"/>
              </w:rPr>
              <w:t>Finančne posledice za državni proračun</w:t>
            </w:r>
          </w:p>
        </w:tc>
      </w:tr>
      <w:tr w:rsidR="00961FFE" w:rsidRPr="008D1759" w14:paraId="6348C5B1"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D9D9D9"/>
          </w:tcPr>
          <w:p w14:paraId="7E502282" w14:textId="16B5411A" w:rsidR="00961FFE" w:rsidRDefault="00961FFE" w:rsidP="008829C8">
            <w:pPr>
              <w:pStyle w:val="Oddelek"/>
              <w:widowControl w:val="0"/>
              <w:numPr>
                <w:ilvl w:val="0"/>
                <w:numId w:val="0"/>
              </w:numPr>
              <w:spacing w:before="60" w:after="0" w:line="276" w:lineRule="auto"/>
              <w:ind w:left="601" w:hanging="601"/>
              <w:jc w:val="left"/>
              <w:rPr>
                <w:sz w:val="20"/>
                <w:szCs w:val="20"/>
              </w:rPr>
            </w:pPr>
            <w:proofErr w:type="spellStart"/>
            <w:r>
              <w:rPr>
                <w:sz w:val="20"/>
                <w:szCs w:val="20"/>
              </w:rPr>
              <w:t>II.a</w:t>
            </w:r>
            <w:proofErr w:type="spellEnd"/>
            <w:r>
              <w:rPr>
                <w:sz w:val="20"/>
                <w:szCs w:val="20"/>
              </w:rPr>
              <w:t xml:space="preserve">      </w:t>
            </w:r>
            <w:r w:rsidR="003D4B82">
              <w:t xml:space="preserve"> </w:t>
            </w:r>
            <w:r w:rsidR="003D4B82" w:rsidRPr="003D4B82">
              <w:rPr>
                <w:sz w:val="20"/>
                <w:szCs w:val="20"/>
              </w:rPr>
              <w:t>Pravice porabe za izvedbo predlaganih rešitev so zagotovljene:</w:t>
            </w:r>
          </w:p>
        </w:tc>
      </w:tr>
      <w:tr w:rsidR="00A53555" w:rsidRPr="008D1759" w14:paraId="279241D4" w14:textId="77777777" w:rsidTr="008829C8">
        <w:tc>
          <w:tcPr>
            <w:tcW w:w="2827" w:type="dxa"/>
            <w:gridSpan w:val="3"/>
            <w:tcBorders>
              <w:top w:val="single" w:sz="4" w:space="0" w:color="auto"/>
              <w:left w:val="single" w:sz="4" w:space="0" w:color="auto"/>
              <w:bottom w:val="single" w:sz="4" w:space="0" w:color="auto"/>
              <w:right w:val="single" w:sz="4" w:space="0" w:color="auto"/>
            </w:tcBorders>
          </w:tcPr>
          <w:p w14:paraId="79D509DD" w14:textId="77777777" w:rsidR="00961FFE" w:rsidRPr="00961FFE" w:rsidRDefault="00961FFE" w:rsidP="008829C8">
            <w:pPr>
              <w:pStyle w:val="Oddelek"/>
              <w:widowControl w:val="0"/>
              <w:numPr>
                <w:ilvl w:val="0"/>
                <w:numId w:val="0"/>
              </w:numPr>
              <w:spacing w:before="60" w:after="0" w:line="276" w:lineRule="auto"/>
              <w:jc w:val="left"/>
              <w:rPr>
                <w:b w:val="0"/>
                <w:sz w:val="20"/>
                <w:szCs w:val="20"/>
              </w:rPr>
            </w:pPr>
            <w:r w:rsidRPr="00961FFE">
              <w:rPr>
                <w:b w:val="0"/>
                <w:sz w:val="20"/>
                <w:szCs w:val="20"/>
              </w:rPr>
              <w:t>Ime proračunskega uporabnika</w:t>
            </w:r>
          </w:p>
        </w:tc>
        <w:tc>
          <w:tcPr>
            <w:tcW w:w="1700" w:type="dxa"/>
            <w:gridSpan w:val="3"/>
          </w:tcPr>
          <w:p w14:paraId="7CE85912" w14:textId="77777777" w:rsidR="00961FFE" w:rsidRPr="00961FFE" w:rsidRDefault="00961FFE" w:rsidP="008829C8">
            <w:pPr>
              <w:pStyle w:val="Oddelek"/>
              <w:widowControl w:val="0"/>
              <w:numPr>
                <w:ilvl w:val="0"/>
                <w:numId w:val="0"/>
              </w:numPr>
              <w:spacing w:before="60" w:after="0" w:line="276" w:lineRule="auto"/>
              <w:rPr>
                <w:b w:val="0"/>
                <w:sz w:val="20"/>
                <w:szCs w:val="20"/>
              </w:rPr>
            </w:pPr>
            <w:r>
              <w:rPr>
                <w:b w:val="0"/>
                <w:sz w:val="20"/>
                <w:szCs w:val="20"/>
              </w:rPr>
              <w:t>Šifra in naziv ukrepa, projekta</w:t>
            </w:r>
          </w:p>
        </w:tc>
        <w:tc>
          <w:tcPr>
            <w:tcW w:w="1561" w:type="dxa"/>
            <w:gridSpan w:val="2"/>
          </w:tcPr>
          <w:p w14:paraId="78ADF60E" w14:textId="77777777" w:rsidR="00961FFE" w:rsidRPr="00961FFE" w:rsidRDefault="00961FFE" w:rsidP="008829C8">
            <w:pPr>
              <w:pStyle w:val="Oddelek"/>
              <w:widowControl w:val="0"/>
              <w:numPr>
                <w:ilvl w:val="0"/>
                <w:numId w:val="0"/>
              </w:numPr>
              <w:spacing w:before="60" w:after="0" w:line="276" w:lineRule="auto"/>
              <w:rPr>
                <w:b w:val="0"/>
                <w:sz w:val="20"/>
                <w:szCs w:val="20"/>
              </w:rPr>
            </w:pPr>
            <w:r>
              <w:rPr>
                <w:b w:val="0"/>
                <w:sz w:val="20"/>
                <w:szCs w:val="20"/>
              </w:rPr>
              <w:t>Šifra in naziv PP</w:t>
            </w:r>
          </w:p>
        </w:tc>
        <w:tc>
          <w:tcPr>
            <w:tcW w:w="1567" w:type="dxa"/>
            <w:gridSpan w:val="2"/>
          </w:tcPr>
          <w:p w14:paraId="44C5744B" w14:textId="77777777" w:rsidR="00961FFE" w:rsidRPr="00961FFE" w:rsidRDefault="00961FFE" w:rsidP="008829C8">
            <w:pPr>
              <w:pStyle w:val="Oddelek"/>
              <w:widowControl w:val="0"/>
              <w:numPr>
                <w:ilvl w:val="0"/>
                <w:numId w:val="0"/>
              </w:numPr>
              <w:spacing w:before="60" w:after="0" w:line="276" w:lineRule="auto"/>
              <w:rPr>
                <w:b w:val="0"/>
                <w:sz w:val="20"/>
                <w:szCs w:val="20"/>
              </w:rPr>
            </w:pPr>
            <w:r>
              <w:rPr>
                <w:b w:val="0"/>
                <w:sz w:val="20"/>
                <w:szCs w:val="20"/>
              </w:rPr>
              <w:t>Znesek za tekoče leto (t)</w:t>
            </w:r>
          </w:p>
        </w:tc>
        <w:tc>
          <w:tcPr>
            <w:tcW w:w="1562" w:type="dxa"/>
            <w:gridSpan w:val="2"/>
          </w:tcPr>
          <w:p w14:paraId="660B28CD" w14:textId="77777777" w:rsidR="00961FFE" w:rsidRDefault="00961FFE" w:rsidP="008829C8">
            <w:pPr>
              <w:pStyle w:val="Oddelek"/>
              <w:widowControl w:val="0"/>
              <w:numPr>
                <w:ilvl w:val="0"/>
                <w:numId w:val="0"/>
              </w:numPr>
              <w:spacing w:before="60" w:after="0" w:line="276" w:lineRule="auto"/>
              <w:rPr>
                <w:b w:val="0"/>
                <w:sz w:val="20"/>
                <w:szCs w:val="20"/>
              </w:rPr>
            </w:pPr>
            <w:r>
              <w:rPr>
                <w:b w:val="0"/>
                <w:sz w:val="20"/>
                <w:szCs w:val="20"/>
              </w:rPr>
              <w:t>Znesek za</w:t>
            </w:r>
          </w:p>
          <w:p w14:paraId="55292C38" w14:textId="77777777" w:rsidR="00961FFE" w:rsidRPr="00961FFE" w:rsidRDefault="00961FFE" w:rsidP="008829C8">
            <w:pPr>
              <w:pStyle w:val="Oddelek"/>
              <w:widowControl w:val="0"/>
              <w:numPr>
                <w:ilvl w:val="0"/>
                <w:numId w:val="0"/>
              </w:numPr>
              <w:spacing w:before="0" w:after="0" w:line="276" w:lineRule="auto"/>
              <w:rPr>
                <w:b w:val="0"/>
                <w:sz w:val="20"/>
                <w:szCs w:val="20"/>
              </w:rPr>
            </w:pPr>
            <w:r>
              <w:rPr>
                <w:b w:val="0"/>
                <w:sz w:val="20"/>
                <w:szCs w:val="20"/>
              </w:rPr>
              <w:t>t + 1</w:t>
            </w:r>
          </w:p>
        </w:tc>
      </w:tr>
      <w:tr w:rsidR="00A53555" w:rsidRPr="008D1759" w14:paraId="11107698" w14:textId="77777777" w:rsidTr="008829C8">
        <w:tc>
          <w:tcPr>
            <w:tcW w:w="2827" w:type="dxa"/>
            <w:gridSpan w:val="3"/>
            <w:tcBorders>
              <w:top w:val="single" w:sz="4" w:space="0" w:color="auto"/>
              <w:left w:val="single" w:sz="4" w:space="0" w:color="auto"/>
              <w:bottom w:val="single" w:sz="4" w:space="0" w:color="auto"/>
              <w:right w:val="single" w:sz="4" w:space="0" w:color="auto"/>
            </w:tcBorders>
          </w:tcPr>
          <w:p w14:paraId="30F4218E" w14:textId="7A48BD28" w:rsidR="00A53555" w:rsidRPr="00961FFE" w:rsidRDefault="00685312" w:rsidP="008829C8">
            <w:pPr>
              <w:pStyle w:val="Oddelek"/>
              <w:widowControl w:val="0"/>
              <w:numPr>
                <w:ilvl w:val="0"/>
                <w:numId w:val="0"/>
              </w:numPr>
              <w:spacing w:before="60" w:after="0" w:line="276" w:lineRule="auto"/>
              <w:jc w:val="left"/>
              <w:rPr>
                <w:b w:val="0"/>
                <w:sz w:val="20"/>
                <w:szCs w:val="20"/>
              </w:rPr>
            </w:pPr>
            <w:r>
              <w:rPr>
                <w:b w:val="0"/>
                <w:sz w:val="20"/>
                <w:szCs w:val="20"/>
              </w:rPr>
              <w:t>Ministrstvo za naravne vire in prostor</w:t>
            </w:r>
          </w:p>
        </w:tc>
        <w:tc>
          <w:tcPr>
            <w:tcW w:w="1700" w:type="dxa"/>
            <w:gridSpan w:val="3"/>
            <w:tcBorders>
              <w:bottom w:val="single" w:sz="4" w:space="0" w:color="auto"/>
            </w:tcBorders>
          </w:tcPr>
          <w:p w14:paraId="20B81FA0"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1" w:type="dxa"/>
            <w:gridSpan w:val="2"/>
            <w:tcBorders>
              <w:bottom w:val="single" w:sz="4" w:space="0" w:color="auto"/>
            </w:tcBorders>
          </w:tcPr>
          <w:p w14:paraId="52A20B33"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7" w:type="dxa"/>
            <w:gridSpan w:val="2"/>
          </w:tcPr>
          <w:p w14:paraId="2D9487B5"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2" w:type="dxa"/>
            <w:gridSpan w:val="2"/>
          </w:tcPr>
          <w:p w14:paraId="3626FEF9" w14:textId="77777777" w:rsidR="00A53555" w:rsidRPr="00961FFE" w:rsidRDefault="00A53555" w:rsidP="008829C8">
            <w:pPr>
              <w:pStyle w:val="Oddelek"/>
              <w:widowControl w:val="0"/>
              <w:numPr>
                <w:ilvl w:val="0"/>
                <w:numId w:val="0"/>
              </w:numPr>
              <w:spacing w:before="0" w:after="0" w:line="276" w:lineRule="auto"/>
              <w:rPr>
                <w:b w:val="0"/>
                <w:sz w:val="20"/>
                <w:szCs w:val="20"/>
              </w:rPr>
            </w:pPr>
          </w:p>
        </w:tc>
      </w:tr>
      <w:tr w:rsidR="00A53555" w:rsidRPr="008D1759" w14:paraId="7BF6CCA3" w14:textId="77777777" w:rsidTr="008829C8">
        <w:tc>
          <w:tcPr>
            <w:tcW w:w="2827" w:type="dxa"/>
            <w:gridSpan w:val="3"/>
            <w:tcBorders>
              <w:top w:val="single" w:sz="4" w:space="0" w:color="auto"/>
              <w:left w:val="single" w:sz="4" w:space="0" w:color="auto"/>
              <w:bottom w:val="single" w:sz="4" w:space="0" w:color="auto"/>
              <w:right w:val="nil"/>
            </w:tcBorders>
          </w:tcPr>
          <w:p w14:paraId="3FA25A6B" w14:textId="77777777" w:rsidR="00A53555" w:rsidRPr="00A53555" w:rsidRDefault="00A53555" w:rsidP="008829C8">
            <w:pPr>
              <w:pStyle w:val="Oddelek"/>
              <w:widowControl w:val="0"/>
              <w:numPr>
                <w:ilvl w:val="0"/>
                <w:numId w:val="0"/>
              </w:numPr>
              <w:spacing w:before="60" w:after="0" w:line="276" w:lineRule="auto"/>
              <w:jc w:val="left"/>
              <w:rPr>
                <w:sz w:val="20"/>
                <w:szCs w:val="20"/>
              </w:rPr>
            </w:pPr>
            <w:r w:rsidRPr="00A53555">
              <w:rPr>
                <w:sz w:val="20"/>
                <w:szCs w:val="20"/>
              </w:rPr>
              <w:t>SKUPAJ</w:t>
            </w:r>
          </w:p>
        </w:tc>
        <w:tc>
          <w:tcPr>
            <w:tcW w:w="1700" w:type="dxa"/>
            <w:gridSpan w:val="3"/>
            <w:tcBorders>
              <w:top w:val="single" w:sz="4" w:space="0" w:color="auto"/>
              <w:left w:val="nil"/>
              <w:bottom w:val="single" w:sz="4" w:space="0" w:color="auto"/>
              <w:right w:val="nil"/>
            </w:tcBorders>
          </w:tcPr>
          <w:p w14:paraId="5273935C"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1" w:type="dxa"/>
            <w:gridSpan w:val="2"/>
            <w:tcBorders>
              <w:top w:val="single" w:sz="4" w:space="0" w:color="auto"/>
              <w:left w:val="nil"/>
              <w:bottom w:val="single" w:sz="4" w:space="0" w:color="auto"/>
              <w:right w:val="single" w:sz="4" w:space="0" w:color="auto"/>
            </w:tcBorders>
          </w:tcPr>
          <w:p w14:paraId="36E91E1E"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7" w:type="dxa"/>
            <w:gridSpan w:val="2"/>
            <w:tcBorders>
              <w:left w:val="single" w:sz="4" w:space="0" w:color="auto"/>
            </w:tcBorders>
          </w:tcPr>
          <w:p w14:paraId="28353BBE"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2" w:type="dxa"/>
            <w:gridSpan w:val="2"/>
          </w:tcPr>
          <w:p w14:paraId="1D41AF82" w14:textId="77777777" w:rsidR="00A53555" w:rsidRPr="00961FFE" w:rsidRDefault="00A53555" w:rsidP="008829C8">
            <w:pPr>
              <w:pStyle w:val="Oddelek"/>
              <w:widowControl w:val="0"/>
              <w:numPr>
                <w:ilvl w:val="0"/>
                <w:numId w:val="0"/>
              </w:numPr>
              <w:spacing w:before="0" w:after="0" w:line="276" w:lineRule="auto"/>
              <w:rPr>
                <w:b w:val="0"/>
                <w:sz w:val="20"/>
                <w:szCs w:val="20"/>
              </w:rPr>
            </w:pPr>
          </w:p>
        </w:tc>
      </w:tr>
      <w:tr w:rsidR="00A53555" w:rsidRPr="008D1759" w14:paraId="4508EB3D"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D9D9D9"/>
          </w:tcPr>
          <w:p w14:paraId="4615952E" w14:textId="77777777" w:rsidR="00A53555" w:rsidRDefault="00A53555" w:rsidP="008829C8">
            <w:pPr>
              <w:pStyle w:val="Oddelek"/>
              <w:widowControl w:val="0"/>
              <w:numPr>
                <w:ilvl w:val="0"/>
                <w:numId w:val="0"/>
              </w:numPr>
              <w:spacing w:before="60" w:after="0" w:line="276" w:lineRule="auto"/>
              <w:ind w:left="601" w:hanging="601"/>
              <w:jc w:val="left"/>
              <w:rPr>
                <w:sz w:val="20"/>
                <w:szCs w:val="20"/>
              </w:rPr>
            </w:pPr>
            <w:proofErr w:type="spellStart"/>
            <w:r>
              <w:rPr>
                <w:sz w:val="20"/>
                <w:szCs w:val="20"/>
              </w:rPr>
              <w:t>II.b</w:t>
            </w:r>
            <w:proofErr w:type="spellEnd"/>
            <w:r>
              <w:rPr>
                <w:sz w:val="20"/>
                <w:szCs w:val="20"/>
              </w:rPr>
              <w:t xml:space="preserve">      Manjkajoče pravice porabe bodo zagotovljene s prerazporeditvijo:</w:t>
            </w:r>
          </w:p>
        </w:tc>
      </w:tr>
      <w:tr w:rsidR="00A53555" w:rsidRPr="008D1759" w14:paraId="2AC56902" w14:textId="77777777" w:rsidTr="008829C8">
        <w:tc>
          <w:tcPr>
            <w:tcW w:w="2827" w:type="dxa"/>
            <w:gridSpan w:val="3"/>
            <w:tcBorders>
              <w:top w:val="single" w:sz="4" w:space="0" w:color="auto"/>
              <w:left w:val="single" w:sz="4" w:space="0" w:color="auto"/>
              <w:bottom w:val="single" w:sz="4" w:space="0" w:color="auto"/>
              <w:right w:val="single" w:sz="4" w:space="0" w:color="auto"/>
            </w:tcBorders>
          </w:tcPr>
          <w:p w14:paraId="023561B9" w14:textId="77777777" w:rsidR="00A53555" w:rsidRPr="00961FFE" w:rsidRDefault="00A53555" w:rsidP="008829C8">
            <w:pPr>
              <w:pStyle w:val="Oddelek"/>
              <w:widowControl w:val="0"/>
              <w:numPr>
                <w:ilvl w:val="0"/>
                <w:numId w:val="0"/>
              </w:numPr>
              <w:spacing w:before="60" w:after="0" w:line="276" w:lineRule="auto"/>
              <w:jc w:val="left"/>
              <w:rPr>
                <w:b w:val="0"/>
                <w:sz w:val="20"/>
                <w:szCs w:val="20"/>
              </w:rPr>
            </w:pPr>
            <w:r w:rsidRPr="00961FFE">
              <w:rPr>
                <w:b w:val="0"/>
                <w:sz w:val="20"/>
                <w:szCs w:val="20"/>
              </w:rPr>
              <w:t>Ime proračunskega uporabnika</w:t>
            </w:r>
          </w:p>
        </w:tc>
        <w:tc>
          <w:tcPr>
            <w:tcW w:w="1700" w:type="dxa"/>
            <w:gridSpan w:val="3"/>
          </w:tcPr>
          <w:p w14:paraId="54F2B286" w14:textId="77777777" w:rsidR="00A53555" w:rsidRPr="00961FFE" w:rsidRDefault="00A53555" w:rsidP="008829C8">
            <w:pPr>
              <w:pStyle w:val="Oddelek"/>
              <w:widowControl w:val="0"/>
              <w:numPr>
                <w:ilvl w:val="0"/>
                <w:numId w:val="0"/>
              </w:numPr>
              <w:spacing w:before="60" w:after="0" w:line="276" w:lineRule="auto"/>
              <w:rPr>
                <w:b w:val="0"/>
                <w:sz w:val="20"/>
                <w:szCs w:val="20"/>
              </w:rPr>
            </w:pPr>
            <w:r>
              <w:rPr>
                <w:b w:val="0"/>
                <w:sz w:val="20"/>
                <w:szCs w:val="20"/>
              </w:rPr>
              <w:t>Šifra in naziv ukrepa, projekta</w:t>
            </w:r>
          </w:p>
        </w:tc>
        <w:tc>
          <w:tcPr>
            <w:tcW w:w="1561" w:type="dxa"/>
            <w:gridSpan w:val="2"/>
          </w:tcPr>
          <w:p w14:paraId="7DB7A0FC" w14:textId="77777777" w:rsidR="00A53555" w:rsidRPr="00961FFE" w:rsidRDefault="00A53555" w:rsidP="008829C8">
            <w:pPr>
              <w:pStyle w:val="Oddelek"/>
              <w:widowControl w:val="0"/>
              <w:numPr>
                <w:ilvl w:val="0"/>
                <w:numId w:val="0"/>
              </w:numPr>
              <w:spacing w:before="60" w:after="0" w:line="276" w:lineRule="auto"/>
              <w:rPr>
                <w:b w:val="0"/>
                <w:sz w:val="20"/>
                <w:szCs w:val="20"/>
              </w:rPr>
            </w:pPr>
            <w:r>
              <w:rPr>
                <w:b w:val="0"/>
                <w:sz w:val="20"/>
                <w:szCs w:val="20"/>
              </w:rPr>
              <w:t>Šifra in naziv PP</w:t>
            </w:r>
          </w:p>
        </w:tc>
        <w:tc>
          <w:tcPr>
            <w:tcW w:w="1567" w:type="dxa"/>
            <w:gridSpan w:val="2"/>
          </w:tcPr>
          <w:p w14:paraId="08A7E062" w14:textId="77777777" w:rsidR="00A53555" w:rsidRPr="00961FFE" w:rsidRDefault="00A53555" w:rsidP="008829C8">
            <w:pPr>
              <w:pStyle w:val="Oddelek"/>
              <w:widowControl w:val="0"/>
              <w:numPr>
                <w:ilvl w:val="0"/>
                <w:numId w:val="0"/>
              </w:numPr>
              <w:spacing w:before="60" w:after="0" w:line="276" w:lineRule="auto"/>
              <w:rPr>
                <w:b w:val="0"/>
                <w:sz w:val="20"/>
                <w:szCs w:val="20"/>
              </w:rPr>
            </w:pPr>
            <w:r>
              <w:rPr>
                <w:b w:val="0"/>
                <w:sz w:val="20"/>
                <w:szCs w:val="20"/>
              </w:rPr>
              <w:t>Znesek za tekoče leto (t)</w:t>
            </w:r>
          </w:p>
        </w:tc>
        <w:tc>
          <w:tcPr>
            <w:tcW w:w="1562" w:type="dxa"/>
            <w:gridSpan w:val="2"/>
          </w:tcPr>
          <w:p w14:paraId="2B57B465" w14:textId="77777777" w:rsidR="00A53555" w:rsidRDefault="00A53555" w:rsidP="008829C8">
            <w:pPr>
              <w:pStyle w:val="Oddelek"/>
              <w:widowControl w:val="0"/>
              <w:numPr>
                <w:ilvl w:val="0"/>
                <w:numId w:val="0"/>
              </w:numPr>
              <w:spacing w:before="60" w:after="0" w:line="276" w:lineRule="auto"/>
              <w:rPr>
                <w:b w:val="0"/>
                <w:sz w:val="20"/>
                <w:szCs w:val="20"/>
              </w:rPr>
            </w:pPr>
            <w:r>
              <w:rPr>
                <w:b w:val="0"/>
                <w:sz w:val="20"/>
                <w:szCs w:val="20"/>
              </w:rPr>
              <w:t>Znesek za</w:t>
            </w:r>
          </w:p>
          <w:p w14:paraId="5EB04149" w14:textId="77777777" w:rsidR="00A53555" w:rsidRPr="00961FFE" w:rsidRDefault="00A53555" w:rsidP="008829C8">
            <w:pPr>
              <w:pStyle w:val="Oddelek"/>
              <w:widowControl w:val="0"/>
              <w:numPr>
                <w:ilvl w:val="0"/>
                <w:numId w:val="0"/>
              </w:numPr>
              <w:spacing w:before="0" w:after="0" w:line="276" w:lineRule="auto"/>
              <w:rPr>
                <w:b w:val="0"/>
                <w:sz w:val="20"/>
                <w:szCs w:val="20"/>
              </w:rPr>
            </w:pPr>
            <w:r>
              <w:rPr>
                <w:b w:val="0"/>
                <w:sz w:val="20"/>
                <w:szCs w:val="20"/>
              </w:rPr>
              <w:t>t + 1</w:t>
            </w:r>
          </w:p>
        </w:tc>
      </w:tr>
      <w:tr w:rsidR="00223FBE" w:rsidRPr="008D1759" w14:paraId="56F5B3D4" w14:textId="77777777" w:rsidTr="008829C8">
        <w:tc>
          <w:tcPr>
            <w:tcW w:w="2827" w:type="dxa"/>
            <w:gridSpan w:val="3"/>
            <w:tcBorders>
              <w:top w:val="single" w:sz="4" w:space="0" w:color="auto"/>
              <w:left w:val="single" w:sz="4" w:space="0" w:color="auto"/>
              <w:bottom w:val="single" w:sz="4" w:space="0" w:color="auto"/>
              <w:right w:val="single" w:sz="4" w:space="0" w:color="auto"/>
            </w:tcBorders>
          </w:tcPr>
          <w:p w14:paraId="725A433F" w14:textId="2C336134" w:rsidR="00A53555" w:rsidRPr="00961FFE" w:rsidRDefault="00E4576D" w:rsidP="008829C8">
            <w:pPr>
              <w:pStyle w:val="Oddelek"/>
              <w:widowControl w:val="0"/>
              <w:numPr>
                <w:ilvl w:val="0"/>
                <w:numId w:val="0"/>
              </w:numPr>
              <w:spacing w:before="60" w:after="0" w:line="276" w:lineRule="auto"/>
              <w:jc w:val="left"/>
              <w:rPr>
                <w:b w:val="0"/>
                <w:sz w:val="20"/>
                <w:szCs w:val="20"/>
              </w:rPr>
            </w:pPr>
            <w:r w:rsidRPr="00E4576D">
              <w:rPr>
                <w:b w:val="0"/>
                <w:sz w:val="20"/>
                <w:szCs w:val="20"/>
              </w:rPr>
              <w:t>Ministrstvo za gospodarski razvoj in tehnologijo</w:t>
            </w:r>
          </w:p>
        </w:tc>
        <w:tc>
          <w:tcPr>
            <w:tcW w:w="1700" w:type="dxa"/>
            <w:gridSpan w:val="3"/>
            <w:tcBorders>
              <w:bottom w:val="single" w:sz="4" w:space="0" w:color="auto"/>
            </w:tcBorders>
          </w:tcPr>
          <w:p w14:paraId="0BD2B9B5" w14:textId="381FD76B" w:rsidR="00A53555" w:rsidRPr="00961FFE" w:rsidRDefault="00E4576D" w:rsidP="008829C8">
            <w:pPr>
              <w:pStyle w:val="Oddelek"/>
              <w:widowControl w:val="0"/>
              <w:numPr>
                <w:ilvl w:val="0"/>
                <w:numId w:val="0"/>
              </w:numPr>
              <w:spacing w:before="60" w:after="0" w:line="276" w:lineRule="auto"/>
              <w:rPr>
                <w:b w:val="0"/>
                <w:sz w:val="20"/>
                <w:szCs w:val="20"/>
              </w:rPr>
            </w:pPr>
            <w:r w:rsidRPr="00E4576D">
              <w:rPr>
                <w:b w:val="0"/>
                <w:sz w:val="20"/>
                <w:szCs w:val="20"/>
              </w:rPr>
              <w:t>EP 2130-20-0002 – Spodbujanje investicij</w:t>
            </w:r>
          </w:p>
        </w:tc>
        <w:tc>
          <w:tcPr>
            <w:tcW w:w="1561" w:type="dxa"/>
            <w:gridSpan w:val="2"/>
            <w:tcBorders>
              <w:bottom w:val="single" w:sz="4" w:space="0" w:color="auto"/>
            </w:tcBorders>
          </w:tcPr>
          <w:p w14:paraId="2E2B04EF" w14:textId="12D008A9" w:rsidR="00A53555" w:rsidRPr="00FA14C2" w:rsidRDefault="00FA14C2" w:rsidP="00FA14C2">
            <w:pPr>
              <w:pStyle w:val="Oddelek"/>
              <w:widowControl w:val="0"/>
              <w:numPr>
                <w:ilvl w:val="0"/>
                <w:numId w:val="0"/>
              </w:numPr>
              <w:spacing w:before="60" w:after="0" w:line="276" w:lineRule="auto"/>
              <w:jc w:val="left"/>
              <w:rPr>
                <w:b w:val="0"/>
                <w:bCs/>
                <w:sz w:val="20"/>
                <w:szCs w:val="20"/>
              </w:rPr>
            </w:pPr>
            <w:r w:rsidRPr="00FA14C2">
              <w:rPr>
                <w:b w:val="0"/>
                <w:bCs/>
                <w:sz w:val="20"/>
                <w:szCs w:val="20"/>
              </w:rPr>
              <w:t xml:space="preserve">231756 </w:t>
            </w:r>
            <w:r w:rsidR="00E4576D" w:rsidRPr="00FA14C2">
              <w:rPr>
                <w:b w:val="0"/>
                <w:bCs/>
                <w:sz w:val="20"/>
                <w:szCs w:val="20"/>
              </w:rPr>
              <w:t xml:space="preserve"> – Spodbujanje investicij</w:t>
            </w:r>
          </w:p>
        </w:tc>
        <w:tc>
          <w:tcPr>
            <w:tcW w:w="1567" w:type="dxa"/>
            <w:gridSpan w:val="2"/>
          </w:tcPr>
          <w:p w14:paraId="1781FF4D" w14:textId="77777777" w:rsidR="00137AA2" w:rsidRPr="00DA5BF5" w:rsidRDefault="00137AA2" w:rsidP="00137AA2">
            <w:pPr>
              <w:jc w:val="both"/>
              <w:rPr>
                <w:rFonts w:cs="Arial"/>
                <w:bCs/>
              </w:rPr>
            </w:pPr>
            <w:r w:rsidRPr="00DA5BF5">
              <w:rPr>
                <w:rFonts w:cs="Arial"/>
                <w:bCs/>
              </w:rPr>
              <w:t>5</w:t>
            </w:r>
            <w:r>
              <w:rPr>
                <w:rFonts w:cs="Arial"/>
                <w:bCs/>
              </w:rPr>
              <w:t>12</w:t>
            </w:r>
            <w:r w:rsidRPr="00DA5BF5">
              <w:rPr>
                <w:rFonts w:cs="Arial"/>
                <w:bCs/>
              </w:rPr>
              <w:t>.</w:t>
            </w:r>
            <w:r>
              <w:rPr>
                <w:rFonts w:cs="Arial"/>
                <w:bCs/>
              </w:rPr>
              <w:t>400</w:t>
            </w:r>
            <w:r w:rsidRPr="00DA5BF5">
              <w:rPr>
                <w:rFonts w:cs="Arial"/>
                <w:bCs/>
              </w:rPr>
              <w:t xml:space="preserve">,00 </w:t>
            </w:r>
            <w:r w:rsidRPr="00084D86">
              <w:rPr>
                <w:rFonts w:cs="Arial"/>
                <w:bCs/>
              </w:rPr>
              <w:t>EUR</w:t>
            </w:r>
            <w:r>
              <w:rPr>
                <w:rFonts w:cs="Arial"/>
                <w:bCs/>
              </w:rPr>
              <w:t xml:space="preserve"> </w:t>
            </w:r>
            <w:r w:rsidRPr="00084D86">
              <w:rPr>
                <w:rFonts w:cs="Arial"/>
                <w:bCs/>
              </w:rPr>
              <w:t>z</w:t>
            </w:r>
            <w:r>
              <w:rPr>
                <w:rFonts w:cs="Arial"/>
                <w:bCs/>
              </w:rPr>
              <w:t xml:space="preserve"> </w:t>
            </w:r>
            <w:r w:rsidRPr="00084D86">
              <w:rPr>
                <w:rFonts w:cs="Arial"/>
                <w:bCs/>
              </w:rPr>
              <w:t>DDV.</w:t>
            </w:r>
            <w:r>
              <w:rPr>
                <w:rFonts w:cs="Arial"/>
                <w:bCs/>
              </w:rPr>
              <w:t xml:space="preserve"> </w:t>
            </w:r>
          </w:p>
          <w:p w14:paraId="436916CC" w14:textId="16C4E528" w:rsidR="00A53555" w:rsidRPr="00961FFE" w:rsidRDefault="00A53555" w:rsidP="008829C8">
            <w:pPr>
              <w:pStyle w:val="Oddelek"/>
              <w:widowControl w:val="0"/>
              <w:numPr>
                <w:ilvl w:val="0"/>
                <w:numId w:val="0"/>
              </w:numPr>
              <w:spacing w:before="60" w:after="0" w:line="276" w:lineRule="auto"/>
              <w:rPr>
                <w:b w:val="0"/>
                <w:sz w:val="20"/>
                <w:szCs w:val="20"/>
              </w:rPr>
            </w:pPr>
          </w:p>
        </w:tc>
        <w:tc>
          <w:tcPr>
            <w:tcW w:w="1562" w:type="dxa"/>
            <w:gridSpan w:val="2"/>
          </w:tcPr>
          <w:p w14:paraId="319C5F03" w14:textId="77777777" w:rsidR="00A53555" w:rsidRPr="00961FFE" w:rsidRDefault="00A53555" w:rsidP="00B35CD2">
            <w:pPr>
              <w:jc w:val="both"/>
              <w:rPr>
                <w:szCs w:val="20"/>
              </w:rPr>
            </w:pPr>
          </w:p>
        </w:tc>
      </w:tr>
      <w:tr w:rsidR="00A53555" w:rsidRPr="008D1759" w14:paraId="46063C91" w14:textId="77777777" w:rsidTr="008829C8">
        <w:tc>
          <w:tcPr>
            <w:tcW w:w="2827" w:type="dxa"/>
            <w:gridSpan w:val="3"/>
            <w:tcBorders>
              <w:top w:val="single" w:sz="4" w:space="0" w:color="auto"/>
              <w:left w:val="single" w:sz="4" w:space="0" w:color="auto"/>
              <w:bottom w:val="single" w:sz="4" w:space="0" w:color="auto"/>
              <w:right w:val="nil"/>
            </w:tcBorders>
          </w:tcPr>
          <w:p w14:paraId="2B00BFA2" w14:textId="77777777" w:rsidR="00A53555" w:rsidRPr="00A53555" w:rsidRDefault="00A53555" w:rsidP="008829C8">
            <w:pPr>
              <w:pStyle w:val="Oddelek"/>
              <w:widowControl w:val="0"/>
              <w:numPr>
                <w:ilvl w:val="0"/>
                <w:numId w:val="0"/>
              </w:numPr>
              <w:spacing w:before="60" w:after="0" w:line="276" w:lineRule="auto"/>
              <w:jc w:val="left"/>
              <w:rPr>
                <w:sz w:val="20"/>
                <w:szCs w:val="20"/>
              </w:rPr>
            </w:pPr>
            <w:r w:rsidRPr="00A53555">
              <w:rPr>
                <w:sz w:val="20"/>
                <w:szCs w:val="20"/>
              </w:rPr>
              <w:t>SKUPAJ</w:t>
            </w:r>
          </w:p>
        </w:tc>
        <w:tc>
          <w:tcPr>
            <w:tcW w:w="1700" w:type="dxa"/>
            <w:gridSpan w:val="3"/>
            <w:tcBorders>
              <w:top w:val="single" w:sz="4" w:space="0" w:color="auto"/>
              <w:left w:val="nil"/>
              <w:bottom w:val="single" w:sz="4" w:space="0" w:color="auto"/>
              <w:right w:val="nil"/>
            </w:tcBorders>
          </w:tcPr>
          <w:p w14:paraId="56C467BE"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1" w:type="dxa"/>
            <w:gridSpan w:val="2"/>
            <w:tcBorders>
              <w:top w:val="single" w:sz="4" w:space="0" w:color="auto"/>
              <w:left w:val="nil"/>
              <w:bottom w:val="single" w:sz="4" w:space="0" w:color="auto"/>
              <w:right w:val="single" w:sz="4" w:space="0" w:color="auto"/>
            </w:tcBorders>
          </w:tcPr>
          <w:p w14:paraId="47CCBF36"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7" w:type="dxa"/>
            <w:gridSpan w:val="2"/>
            <w:tcBorders>
              <w:left w:val="single" w:sz="4" w:space="0" w:color="auto"/>
            </w:tcBorders>
          </w:tcPr>
          <w:p w14:paraId="14D056A2" w14:textId="77777777" w:rsidR="00A53555" w:rsidRPr="00961FFE" w:rsidRDefault="00A53555" w:rsidP="008829C8">
            <w:pPr>
              <w:pStyle w:val="Oddelek"/>
              <w:widowControl w:val="0"/>
              <w:numPr>
                <w:ilvl w:val="0"/>
                <w:numId w:val="0"/>
              </w:numPr>
              <w:spacing w:before="60" w:after="0" w:line="276" w:lineRule="auto"/>
              <w:rPr>
                <w:b w:val="0"/>
                <w:sz w:val="20"/>
                <w:szCs w:val="20"/>
              </w:rPr>
            </w:pPr>
          </w:p>
        </w:tc>
        <w:tc>
          <w:tcPr>
            <w:tcW w:w="1562" w:type="dxa"/>
            <w:gridSpan w:val="2"/>
          </w:tcPr>
          <w:p w14:paraId="17983A6E" w14:textId="77777777" w:rsidR="00A53555" w:rsidRPr="00961FFE" w:rsidRDefault="00A53555" w:rsidP="008829C8">
            <w:pPr>
              <w:pStyle w:val="Oddelek"/>
              <w:widowControl w:val="0"/>
              <w:numPr>
                <w:ilvl w:val="0"/>
                <w:numId w:val="0"/>
              </w:numPr>
              <w:spacing w:before="0" w:after="0" w:line="276" w:lineRule="auto"/>
              <w:rPr>
                <w:b w:val="0"/>
                <w:sz w:val="20"/>
                <w:szCs w:val="20"/>
              </w:rPr>
            </w:pPr>
          </w:p>
        </w:tc>
      </w:tr>
      <w:tr w:rsidR="00A53555" w:rsidRPr="008D1759" w14:paraId="71BCBAEA"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D9D9D9"/>
          </w:tcPr>
          <w:p w14:paraId="784E5FC3" w14:textId="77777777" w:rsidR="00A53555" w:rsidRDefault="00A53555" w:rsidP="008829C8">
            <w:pPr>
              <w:pStyle w:val="Oddelek"/>
              <w:widowControl w:val="0"/>
              <w:numPr>
                <w:ilvl w:val="0"/>
                <w:numId w:val="0"/>
              </w:numPr>
              <w:spacing w:before="60" w:after="0" w:line="276" w:lineRule="auto"/>
              <w:ind w:left="601" w:hanging="601"/>
              <w:jc w:val="left"/>
              <w:rPr>
                <w:sz w:val="20"/>
                <w:szCs w:val="20"/>
              </w:rPr>
            </w:pPr>
            <w:proofErr w:type="spellStart"/>
            <w:r>
              <w:rPr>
                <w:sz w:val="20"/>
                <w:szCs w:val="20"/>
              </w:rPr>
              <w:t>II.c</w:t>
            </w:r>
            <w:proofErr w:type="spellEnd"/>
            <w:r>
              <w:rPr>
                <w:sz w:val="20"/>
                <w:szCs w:val="20"/>
              </w:rPr>
              <w:t xml:space="preserve">      Načrtovana nadomestitev zmanjšanih prihodkov in povečanih odhodkov proračuna:</w:t>
            </w:r>
          </w:p>
        </w:tc>
      </w:tr>
      <w:tr w:rsidR="00A53555" w:rsidRPr="00A53555" w14:paraId="04CEEBE9" w14:textId="77777777" w:rsidTr="008829C8">
        <w:tc>
          <w:tcPr>
            <w:tcW w:w="4533" w:type="dxa"/>
            <w:gridSpan w:val="7"/>
            <w:tcBorders>
              <w:top w:val="single" w:sz="4" w:space="0" w:color="auto"/>
              <w:left w:val="single" w:sz="4" w:space="0" w:color="auto"/>
              <w:bottom w:val="single" w:sz="4" w:space="0" w:color="auto"/>
              <w:right w:val="single" w:sz="4" w:space="0" w:color="auto"/>
            </w:tcBorders>
            <w:vAlign w:val="center"/>
          </w:tcPr>
          <w:p w14:paraId="705BA59B" w14:textId="77777777" w:rsidR="00A53555" w:rsidRPr="00A53555" w:rsidRDefault="00A53555" w:rsidP="008829C8">
            <w:pPr>
              <w:pStyle w:val="Oddelek"/>
              <w:widowControl w:val="0"/>
              <w:numPr>
                <w:ilvl w:val="0"/>
                <w:numId w:val="0"/>
              </w:numPr>
              <w:spacing w:before="60" w:after="0" w:line="276" w:lineRule="auto"/>
              <w:jc w:val="left"/>
              <w:rPr>
                <w:b w:val="0"/>
                <w:sz w:val="20"/>
                <w:szCs w:val="20"/>
              </w:rPr>
            </w:pPr>
            <w:r>
              <w:rPr>
                <w:b w:val="0"/>
                <w:sz w:val="20"/>
                <w:szCs w:val="20"/>
              </w:rPr>
              <w:t>Novi prihodki</w:t>
            </w:r>
          </w:p>
        </w:tc>
        <w:tc>
          <w:tcPr>
            <w:tcW w:w="2268" w:type="dxa"/>
            <w:gridSpan w:val="2"/>
          </w:tcPr>
          <w:p w14:paraId="06ED1C3B" w14:textId="77777777" w:rsidR="00A53555" w:rsidRPr="00A53555" w:rsidRDefault="00A53555" w:rsidP="008829C8">
            <w:pPr>
              <w:pStyle w:val="Oddelek"/>
              <w:widowControl w:val="0"/>
              <w:numPr>
                <w:ilvl w:val="0"/>
                <w:numId w:val="0"/>
              </w:numPr>
              <w:spacing w:before="60" w:after="0" w:line="276" w:lineRule="auto"/>
              <w:rPr>
                <w:b w:val="0"/>
                <w:sz w:val="20"/>
                <w:szCs w:val="20"/>
              </w:rPr>
            </w:pPr>
            <w:r>
              <w:rPr>
                <w:b w:val="0"/>
                <w:sz w:val="20"/>
                <w:szCs w:val="20"/>
              </w:rPr>
              <w:t>Znesek za tekoče leto (t)</w:t>
            </w:r>
          </w:p>
        </w:tc>
        <w:tc>
          <w:tcPr>
            <w:tcW w:w="2416" w:type="dxa"/>
            <w:gridSpan w:val="3"/>
          </w:tcPr>
          <w:p w14:paraId="5160ACB8" w14:textId="77777777" w:rsidR="00A53555" w:rsidRPr="00A53555" w:rsidRDefault="00A53555" w:rsidP="008829C8">
            <w:pPr>
              <w:pStyle w:val="Oddelek"/>
              <w:widowControl w:val="0"/>
              <w:numPr>
                <w:ilvl w:val="0"/>
                <w:numId w:val="0"/>
              </w:numPr>
              <w:spacing w:before="60" w:after="0" w:line="276" w:lineRule="auto"/>
              <w:rPr>
                <w:b w:val="0"/>
                <w:sz w:val="20"/>
                <w:szCs w:val="20"/>
              </w:rPr>
            </w:pPr>
            <w:r>
              <w:rPr>
                <w:b w:val="0"/>
                <w:sz w:val="20"/>
                <w:szCs w:val="20"/>
              </w:rPr>
              <w:t>Znesek za t + 1</w:t>
            </w:r>
          </w:p>
        </w:tc>
      </w:tr>
      <w:tr w:rsidR="00A53555" w:rsidRPr="008D1759" w14:paraId="3F42DB70" w14:textId="77777777" w:rsidTr="008829C8">
        <w:tc>
          <w:tcPr>
            <w:tcW w:w="4533" w:type="dxa"/>
            <w:gridSpan w:val="7"/>
            <w:tcBorders>
              <w:top w:val="single" w:sz="4" w:space="0" w:color="auto"/>
              <w:left w:val="single" w:sz="4" w:space="0" w:color="auto"/>
              <w:bottom w:val="single" w:sz="4" w:space="0" w:color="auto"/>
              <w:right w:val="single" w:sz="4" w:space="0" w:color="auto"/>
            </w:tcBorders>
            <w:vAlign w:val="center"/>
          </w:tcPr>
          <w:p w14:paraId="113CEDB0" w14:textId="77777777" w:rsidR="00A53555" w:rsidRPr="00A53555" w:rsidRDefault="00A53555" w:rsidP="008829C8">
            <w:pPr>
              <w:pStyle w:val="Oddelek"/>
              <w:widowControl w:val="0"/>
              <w:numPr>
                <w:ilvl w:val="0"/>
                <w:numId w:val="0"/>
              </w:numPr>
              <w:spacing w:before="60" w:after="0" w:line="276" w:lineRule="auto"/>
              <w:jc w:val="left"/>
              <w:rPr>
                <w:b w:val="0"/>
                <w:sz w:val="20"/>
                <w:szCs w:val="20"/>
              </w:rPr>
            </w:pPr>
          </w:p>
        </w:tc>
        <w:tc>
          <w:tcPr>
            <w:tcW w:w="2268" w:type="dxa"/>
            <w:gridSpan w:val="2"/>
          </w:tcPr>
          <w:p w14:paraId="69773A93" w14:textId="77777777" w:rsidR="00A53555" w:rsidRPr="00A53555" w:rsidRDefault="00A53555" w:rsidP="008829C8">
            <w:pPr>
              <w:pStyle w:val="Oddelek"/>
              <w:widowControl w:val="0"/>
              <w:numPr>
                <w:ilvl w:val="0"/>
                <w:numId w:val="0"/>
              </w:numPr>
              <w:spacing w:before="60" w:after="0" w:line="276" w:lineRule="auto"/>
              <w:rPr>
                <w:b w:val="0"/>
                <w:sz w:val="20"/>
                <w:szCs w:val="20"/>
              </w:rPr>
            </w:pPr>
          </w:p>
        </w:tc>
        <w:tc>
          <w:tcPr>
            <w:tcW w:w="2416" w:type="dxa"/>
            <w:gridSpan w:val="3"/>
          </w:tcPr>
          <w:p w14:paraId="1E0EF7BD" w14:textId="77777777" w:rsidR="00A53555" w:rsidRPr="00A53555" w:rsidRDefault="00A53555" w:rsidP="008829C8">
            <w:pPr>
              <w:pStyle w:val="Oddelek"/>
              <w:widowControl w:val="0"/>
              <w:numPr>
                <w:ilvl w:val="0"/>
                <w:numId w:val="0"/>
              </w:numPr>
              <w:spacing w:before="60" w:after="0" w:line="276" w:lineRule="auto"/>
              <w:rPr>
                <w:b w:val="0"/>
                <w:sz w:val="20"/>
                <w:szCs w:val="20"/>
              </w:rPr>
            </w:pPr>
          </w:p>
        </w:tc>
      </w:tr>
      <w:tr w:rsidR="00A53555" w:rsidRPr="008D1759" w14:paraId="35F072CB" w14:textId="77777777" w:rsidTr="008829C8">
        <w:tc>
          <w:tcPr>
            <w:tcW w:w="4533" w:type="dxa"/>
            <w:gridSpan w:val="7"/>
            <w:tcBorders>
              <w:top w:val="single" w:sz="4" w:space="0" w:color="auto"/>
              <w:left w:val="single" w:sz="4" w:space="0" w:color="auto"/>
              <w:bottom w:val="single" w:sz="4" w:space="0" w:color="auto"/>
              <w:right w:val="single" w:sz="4" w:space="0" w:color="auto"/>
            </w:tcBorders>
            <w:vAlign w:val="center"/>
          </w:tcPr>
          <w:p w14:paraId="02E91FFF" w14:textId="77777777" w:rsidR="00A53555" w:rsidRPr="00A53555" w:rsidRDefault="00A53555" w:rsidP="008829C8">
            <w:pPr>
              <w:pStyle w:val="Oddelek"/>
              <w:widowControl w:val="0"/>
              <w:numPr>
                <w:ilvl w:val="0"/>
                <w:numId w:val="0"/>
              </w:numPr>
              <w:spacing w:before="60" w:after="0" w:line="276" w:lineRule="auto"/>
              <w:jc w:val="left"/>
              <w:rPr>
                <w:b w:val="0"/>
                <w:sz w:val="20"/>
                <w:szCs w:val="20"/>
              </w:rPr>
            </w:pPr>
            <w:r w:rsidRPr="00A53555">
              <w:rPr>
                <w:sz w:val="20"/>
                <w:szCs w:val="20"/>
              </w:rPr>
              <w:t>SKUPAJ</w:t>
            </w:r>
          </w:p>
        </w:tc>
        <w:tc>
          <w:tcPr>
            <w:tcW w:w="2268" w:type="dxa"/>
            <w:gridSpan w:val="2"/>
            <w:tcBorders>
              <w:bottom w:val="single" w:sz="4" w:space="0" w:color="auto"/>
            </w:tcBorders>
          </w:tcPr>
          <w:p w14:paraId="447D37FA" w14:textId="77777777" w:rsidR="00A53555" w:rsidRPr="00A53555" w:rsidRDefault="00A53555" w:rsidP="008829C8">
            <w:pPr>
              <w:pStyle w:val="Oddelek"/>
              <w:widowControl w:val="0"/>
              <w:numPr>
                <w:ilvl w:val="0"/>
                <w:numId w:val="0"/>
              </w:numPr>
              <w:spacing w:before="60" w:after="0" w:line="276" w:lineRule="auto"/>
              <w:rPr>
                <w:b w:val="0"/>
                <w:sz w:val="20"/>
                <w:szCs w:val="20"/>
              </w:rPr>
            </w:pPr>
          </w:p>
        </w:tc>
        <w:tc>
          <w:tcPr>
            <w:tcW w:w="2416" w:type="dxa"/>
            <w:gridSpan w:val="3"/>
            <w:tcBorders>
              <w:bottom w:val="single" w:sz="4" w:space="0" w:color="auto"/>
            </w:tcBorders>
          </w:tcPr>
          <w:p w14:paraId="12D95076" w14:textId="77777777" w:rsidR="00A53555" w:rsidRPr="00A53555" w:rsidRDefault="00A53555" w:rsidP="008829C8">
            <w:pPr>
              <w:pStyle w:val="Oddelek"/>
              <w:widowControl w:val="0"/>
              <w:numPr>
                <w:ilvl w:val="0"/>
                <w:numId w:val="0"/>
              </w:numPr>
              <w:spacing w:before="60" w:after="0" w:line="276" w:lineRule="auto"/>
              <w:rPr>
                <w:b w:val="0"/>
                <w:sz w:val="20"/>
                <w:szCs w:val="20"/>
              </w:rPr>
            </w:pPr>
          </w:p>
        </w:tc>
      </w:tr>
      <w:tr w:rsidR="003D20AE" w:rsidRPr="008D1759" w14:paraId="46681CC1" w14:textId="77777777" w:rsidTr="008829C8">
        <w:tc>
          <w:tcPr>
            <w:tcW w:w="4533" w:type="dxa"/>
            <w:gridSpan w:val="7"/>
            <w:tcBorders>
              <w:top w:val="single" w:sz="4" w:space="0" w:color="auto"/>
              <w:left w:val="single" w:sz="4" w:space="0" w:color="auto"/>
              <w:bottom w:val="single" w:sz="4" w:space="0" w:color="auto"/>
              <w:right w:val="nil"/>
            </w:tcBorders>
            <w:shd w:val="clear" w:color="auto" w:fill="F2F2F2"/>
            <w:vAlign w:val="center"/>
          </w:tcPr>
          <w:p w14:paraId="6470AADD" w14:textId="77777777" w:rsidR="003D20AE" w:rsidRPr="00A53555" w:rsidRDefault="003D20AE" w:rsidP="008829C8">
            <w:pPr>
              <w:pStyle w:val="Oddelek"/>
              <w:widowControl w:val="0"/>
              <w:numPr>
                <w:ilvl w:val="0"/>
                <w:numId w:val="0"/>
              </w:numPr>
              <w:spacing w:before="60" w:after="0" w:line="276" w:lineRule="auto"/>
              <w:jc w:val="left"/>
              <w:rPr>
                <w:sz w:val="20"/>
                <w:szCs w:val="20"/>
              </w:rPr>
            </w:pPr>
          </w:p>
        </w:tc>
        <w:tc>
          <w:tcPr>
            <w:tcW w:w="2268" w:type="dxa"/>
            <w:gridSpan w:val="2"/>
            <w:tcBorders>
              <w:top w:val="single" w:sz="4" w:space="0" w:color="auto"/>
              <w:left w:val="nil"/>
              <w:bottom w:val="single" w:sz="4" w:space="0" w:color="auto"/>
              <w:right w:val="nil"/>
            </w:tcBorders>
            <w:shd w:val="clear" w:color="auto" w:fill="F2F2F2"/>
          </w:tcPr>
          <w:p w14:paraId="5157C750" w14:textId="77777777" w:rsidR="003D20AE" w:rsidRPr="00A53555" w:rsidRDefault="003D20AE" w:rsidP="008829C8">
            <w:pPr>
              <w:pStyle w:val="Oddelek"/>
              <w:widowControl w:val="0"/>
              <w:numPr>
                <w:ilvl w:val="0"/>
                <w:numId w:val="0"/>
              </w:numPr>
              <w:spacing w:before="60" w:after="0" w:line="276" w:lineRule="auto"/>
              <w:rPr>
                <w:b w:val="0"/>
                <w:sz w:val="20"/>
                <w:szCs w:val="20"/>
              </w:rPr>
            </w:pPr>
          </w:p>
        </w:tc>
        <w:tc>
          <w:tcPr>
            <w:tcW w:w="2416" w:type="dxa"/>
            <w:gridSpan w:val="3"/>
            <w:tcBorders>
              <w:top w:val="single" w:sz="4" w:space="0" w:color="auto"/>
              <w:left w:val="nil"/>
              <w:bottom w:val="single" w:sz="4" w:space="0" w:color="auto"/>
              <w:right w:val="single" w:sz="4" w:space="0" w:color="auto"/>
            </w:tcBorders>
            <w:shd w:val="clear" w:color="auto" w:fill="F2F2F2"/>
          </w:tcPr>
          <w:p w14:paraId="2F861889" w14:textId="77777777" w:rsidR="003D20AE" w:rsidRPr="00A53555" w:rsidRDefault="003D20AE" w:rsidP="008829C8">
            <w:pPr>
              <w:pStyle w:val="Oddelek"/>
              <w:widowControl w:val="0"/>
              <w:numPr>
                <w:ilvl w:val="0"/>
                <w:numId w:val="0"/>
              </w:numPr>
              <w:spacing w:before="60" w:after="0" w:line="276" w:lineRule="auto"/>
              <w:rPr>
                <w:b w:val="0"/>
                <w:sz w:val="20"/>
                <w:szCs w:val="20"/>
              </w:rPr>
            </w:pPr>
          </w:p>
        </w:tc>
      </w:tr>
      <w:tr w:rsidR="00A53555" w:rsidRPr="008D1759" w14:paraId="3582508E" w14:textId="77777777" w:rsidTr="008829C8">
        <w:tc>
          <w:tcPr>
            <w:tcW w:w="9217" w:type="dxa"/>
            <w:gridSpan w:val="12"/>
            <w:tcBorders>
              <w:top w:val="single" w:sz="4" w:space="0" w:color="auto"/>
              <w:left w:val="single" w:sz="4" w:space="0" w:color="auto"/>
              <w:bottom w:val="single" w:sz="4" w:space="0" w:color="auto"/>
              <w:right w:val="single" w:sz="4" w:space="0" w:color="auto"/>
            </w:tcBorders>
            <w:vAlign w:val="center"/>
          </w:tcPr>
          <w:p w14:paraId="232401EA" w14:textId="77777777" w:rsidR="00A53555" w:rsidRPr="00D731F3" w:rsidRDefault="00A53555" w:rsidP="008829C8">
            <w:pPr>
              <w:spacing w:before="60" w:line="276" w:lineRule="auto"/>
              <w:rPr>
                <w:rFonts w:cs="Arial"/>
                <w:b/>
                <w:szCs w:val="20"/>
              </w:rPr>
            </w:pPr>
            <w:r w:rsidRPr="00D731F3">
              <w:rPr>
                <w:rFonts w:cs="Arial"/>
                <w:b/>
                <w:szCs w:val="20"/>
              </w:rPr>
              <w:t xml:space="preserve">7.b </w:t>
            </w:r>
            <w:r w:rsidR="00223FBE">
              <w:rPr>
                <w:rFonts w:cs="Arial"/>
                <w:b/>
                <w:szCs w:val="20"/>
              </w:rPr>
              <w:t xml:space="preserve">    </w:t>
            </w:r>
            <w:r w:rsidRPr="00D731F3">
              <w:rPr>
                <w:rFonts w:cs="Arial"/>
                <w:b/>
                <w:szCs w:val="20"/>
              </w:rPr>
              <w:t>Predstavitev ocene finančnih posledic pod 40.000 EUR:</w:t>
            </w:r>
          </w:p>
          <w:p w14:paraId="376A33C4" w14:textId="77777777" w:rsidR="00A53555" w:rsidRPr="00171E3B" w:rsidRDefault="00A53555" w:rsidP="008829C8">
            <w:pPr>
              <w:spacing w:line="276" w:lineRule="auto"/>
              <w:rPr>
                <w:rFonts w:cs="Arial"/>
                <w:szCs w:val="20"/>
              </w:rPr>
            </w:pPr>
            <w:r w:rsidRPr="00171E3B">
              <w:rPr>
                <w:rFonts w:cs="Arial"/>
                <w:szCs w:val="20"/>
              </w:rPr>
              <w:t>(Samo če izberete NE pod točko 6.a.)</w:t>
            </w:r>
          </w:p>
          <w:p w14:paraId="0050C42B" w14:textId="66B7BE55" w:rsidR="00A53555" w:rsidRPr="0027304F" w:rsidRDefault="00A53555" w:rsidP="008829C8">
            <w:pPr>
              <w:pStyle w:val="Oddelek"/>
              <w:widowControl w:val="0"/>
              <w:numPr>
                <w:ilvl w:val="0"/>
                <w:numId w:val="0"/>
              </w:numPr>
              <w:spacing w:before="60" w:after="0" w:line="276" w:lineRule="auto"/>
              <w:jc w:val="both"/>
              <w:rPr>
                <w:b w:val="0"/>
                <w:sz w:val="20"/>
                <w:szCs w:val="20"/>
              </w:rPr>
            </w:pPr>
          </w:p>
        </w:tc>
      </w:tr>
      <w:tr w:rsidR="00A53555" w:rsidRPr="008D1759" w14:paraId="703FDD5A"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6359347F" w14:textId="77777777" w:rsidR="00A53555" w:rsidRPr="00D731F3" w:rsidRDefault="00A53555" w:rsidP="008829C8">
            <w:pPr>
              <w:spacing w:before="60" w:line="276" w:lineRule="auto"/>
              <w:rPr>
                <w:rFonts w:cs="Arial"/>
                <w:b/>
                <w:szCs w:val="20"/>
              </w:rPr>
            </w:pPr>
            <w:r w:rsidRPr="00171E3B">
              <w:rPr>
                <w:rFonts w:cs="Arial"/>
                <w:b/>
                <w:szCs w:val="20"/>
              </w:rPr>
              <w:t xml:space="preserve">8. </w:t>
            </w:r>
            <w:r w:rsidR="00223FBE">
              <w:rPr>
                <w:rFonts w:cs="Arial"/>
                <w:b/>
                <w:szCs w:val="20"/>
              </w:rPr>
              <w:t xml:space="preserve">    </w:t>
            </w:r>
            <w:r w:rsidRPr="00171E3B">
              <w:rPr>
                <w:rFonts w:cs="Arial"/>
                <w:b/>
                <w:szCs w:val="20"/>
              </w:rPr>
              <w:t>Predstavitev sodelovanja z združenji občin:</w:t>
            </w:r>
          </w:p>
        </w:tc>
      </w:tr>
      <w:tr w:rsidR="004E504A" w:rsidRPr="008D1759" w14:paraId="14565C97" w14:textId="77777777" w:rsidTr="008829C8">
        <w:tc>
          <w:tcPr>
            <w:tcW w:w="7655" w:type="dxa"/>
            <w:gridSpan w:val="10"/>
            <w:tcBorders>
              <w:top w:val="single" w:sz="4" w:space="0" w:color="auto"/>
              <w:left w:val="single" w:sz="4" w:space="0" w:color="auto"/>
              <w:bottom w:val="dotted" w:sz="4" w:space="0" w:color="auto"/>
              <w:right w:val="single" w:sz="4" w:space="0" w:color="auto"/>
            </w:tcBorders>
            <w:vAlign w:val="center"/>
          </w:tcPr>
          <w:p w14:paraId="5D1BB124" w14:textId="77777777" w:rsidR="004E504A" w:rsidRPr="00171E3B" w:rsidRDefault="004E504A" w:rsidP="008829C8">
            <w:pPr>
              <w:pStyle w:val="Neotevilenodstavek"/>
              <w:widowControl w:val="0"/>
              <w:spacing w:after="0" w:line="276" w:lineRule="auto"/>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14:paraId="0A679E34" w14:textId="77777777" w:rsidR="004E504A" w:rsidRDefault="004E504A" w:rsidP="00D00C78">
            <w:pPr>
              <w:pStyle w:val="Neotevilenodstavek"/>
              <w:widowControl w:val="0"/>
              <w:numPr>
                <w:ilvl w:val="1"/>
                <w:numId w:val="6"/>
              </w:numPr>
              <w:spacing w:before="0" w:after="0" w:line="276" w:lineRule="auto"/>
              <w:ind w:left="276" w:hanging="276"/>
              <w:rPr>
                <w:iCs/>
                <w:sz w:val="20"/>
                <w:szCs w:val="20"/>
              </w:rPr>
            </w:pPr>
            <w:r w:rsidRPr="00171E3B">
              <w:rPr>
                <w:iCs/>
                <w:sz w:val="20"/>
                <w:szCs w:val="20"/>
              </w:rPr>
              <w:t>pristojnosti občin,</w:t>
            </w:r>
          </w:p>
          <w:p w14:paraId="442CE87D" w14:textId="77777777" w:rsidR="004E504A" w:rsidRPr="004E504A" w:rsidRDefault="004E504A" w:rsidP="00D00C78">
            <w:pPr>
              <w:pStyle w:val="Neotevilenodstavek"/>
              <w:widowControl w:val="0"/>
              <w:numPr>
                <w:ilvl w:val="1"/>
                <w:numId w:val="6"/>
              </w:numPr>
              <w:spacing w:before="0" w:after="0" w:line="276" w:lineRule="auto"/>
              <w:ind w:left="276" w:hanging="276"/>
              <w:rPr>
                <w:b/>
                <w:szCs w:val="20"/>
              </w:rPr>
            </w:pPr>
            <w:r>
              <w:rPr>
                <w:iCs/>
                <w:sz w:val="20"/>
                <w:szCs w:val="20"/>
              </w:rPr>
              <w:t>delovanje občin,</w:t>
            </w:r>
          </w:p>
          <w:p w14:paraId="09DFD4B6" w14:textId="77777777" w:rsidR="004E504A" w:rsidRPr="00171E3B" w:rsidRDefault="004E504A" w:rsidP="00D00C78">
            <w:pPr>
              <w:pStyle w:val="Neotevilenodstavek"/>
              <w:widowControl w:val="0"/>
              <w:numPr>
                <w:ilvl w:val="1"/>
                <w:numId w:val="6"/>
              </w:numPr>
              <w:spacing w:before="0" w:after="0" w:line="276" w:lineRule="auto"/>
              <w:ind w:left="276" w:hanging="276"/>
              <w:rPr>
                <w:b/>
                <w:szCs w:val="20"/>
              </w:rPr>
            </w:pPr>
            <w:r>
              <w:rPr>
                <w:iCs/>
                <w:sz w:val="20"/>
                <w:szCs w:val="20"/>
              </w:rPr>
              <w:t>financiranje občin</w:t>
            </w:r>
          </w:p>
        </w:tc>
        <w:tc>
          <w:tcPr>
            <w:tcW w:w="1562" w:type="dxa"/>
            <w:gridSpan w:val="2"/>
            <w:tcBorders>
              <w:bottom w:val="dotted" w:sz="4" w:space="0" w:color="auto"/>
            </w:tcBorders>
            <w:vAlign w:val="center"/>
          </w:tcPr>
          <w:p w14:paraId="6AF000AA" w14:textId="77777777" w:rsidR="004E504A" w:rsidRPr="00961FFE" w:rsidRDefault="004E504A" w:rsidP="008829C8">
            <w:pPr>
              <w:pStyle w:val="Oddelek"/>
              <w:widowControl w:val="0"/>
              <w:numPr>
                <w:ilvl w:val="0"/>
                <w:numId w:val="0"/>
              </w:numPr>
              <w:spacing w:before="0" w:after="0" w:line="276" w:lineRule="auto"/>
              <w:rPr>
                <w:b w:val="0"/>
                <w:sz w:val="20"/>
                <w:szCs w:val="20"/>
              </w:rPr>
            </w:pPr>
            <w:r>
              <w:rPr>
                <w:b w:val="0"/>
                <w:sz w:val="20"/>
                <w:szCs w:val="20"/>
              </w:rPr>
              <w:t>DA/</w:t>
            </w:r>
            <w:r w:rsidRPr="00B95E90">
              <w:rPr>
                <w:sz w:val="20"/>
                <w:szCs w:val="20"/>
              </w:rPr>
              <w:t>NE</w:t>
            </w:r>
          </w:p>
        </w:tc>
      </w:tr>
      <w:tr w:rsidR="004E504A" w:rsidRPr="008D1759" w14:paraId="3A5367D0" w14:textId="77777777" w:rsidTr="008829C8">
        <w:tc>
          <w:tcPr>
            <w:tcW w:w="7655" w:type="dxa"/>
            <w:gridSpan w:val="10"/>
            <w:tcBorders>
              <w:top w:val="dotted" w:sz="4" w:space="0" w:color="auto"/>
              <w:left w:val="single" w:sz="4" w:space="0" w:color="auto"/>
              <w:bottom w:val="dotted" w:sz="4" w:space="0" w:color="auto"/>
              <w:right w:val="single" w:sz="4" w:space="0" w:color="auto"/>
            </w:tcBorders>
            <w:vAlign w:val="center"/>
          </w:tcPr>
          <w:p w14:paraId="502AD6CF" w14:textId="77777777" w:rsidR="004E504A" w:rsidRPr="00171E3B" w:rsidRDefault="004E504A" w:rsidP="008829C8">
            <w:pPr>
              <w:pStyle w:val="Neotevilenodstavek"/>
              <w:widowControl w:val="0"/>
              <w:spacing w:after="0" w:line="276" w:lineRule="auto"/>
              <w:rPr>
                <w:iCs/>
                <w:sz w:val="20"/>
                <w:szCs w:val="20"/>
              </w:rPr>
            </w:pPr>
            <w:r>
              <w:rPr>
                <w:iCs/>
                <w:sz w:val="20"/>
                <w:szCs w:val="20"/>
              </w:rPr>
              <w:t>Gradivo (predpis) je bilo poslano v mnenje</w:t>
            </w:r>
            <w:r w:rsidRPr="00171E3B">
              <w:rPr>
                <w:iCs/>
                <w:sz w:val="20"/>
                <w:szCs w:val="20"/>
              </w:rPr>
              <w:t xml:space="preserve">: </w:t>
            </w:r>
          </w:p>
        </w:tc>
        <w:tc>
          <w:tcPr>
            <w:tcW w:w="1562" w:type="dxa"/>
            <w:gridSpan w:val="2"/>
            <w:tcBorders>
              <w:top w:val="dotted" w:sz="4" w:space="0" w:color="auto"/>
              <w:bottom w:val="dotted" w:sz="4" w:space="0" w:color="auto"/>
            </w:tcBorders>
            <w:vAlign w:val="center"/>
          </w:tcPr>
          <w:p w14:paraId="167FA7C1" w14:textId="77777777" w:rsidR="004E504A" w:rsidRDefault="004E504A" w:rsidP="008829C8">
            <w:pPr>
              <w:pStyle w:val="Oddelek"/>
              <w:widowControl w:val="0"/>
              <w:numPr>
                <w:ilvl w:val="0"/>
                <w:numId w:val="0"/>
              </w:numPr>
              <w:spacing w:before="0" w:after="0" w:line="276" w:lineRule="auto"/>
              <w:rPr>
                <w:b w:val="0"/>
                <w:sz w:val="20"/>
                <w:szCs w:val="20"/>
              </w:rPr>
            </w:pPr>
          </w:p>
        </w:tc>
      </w:tr>
      <w:tr w:rsidR="004E504A" w:rsidRPr="008D1759" w14:paraId="20CAD7A1" w14:textId="77777777" w:rsidTr="008829C8">
        <w:tc>
          <w:tcPr>
            <w:tcW w:w="7655" w:type="dxa"/>
            <w:gridSpan w:val="10"/>
            <w:tcBorders>
              <w:top w:val="dotted" w:sz="4" w:space="0" w:color="auto"/>
              <w:left w:val="single" w:sz="4" w:space="0" w:color="auto"/>
              <w:bottom w:val="dotted" w:sz="4" w:space="0" w:color="auto"/>
              <w:right w:val="single" w:sz="4" w:space="0" w:color="auto"/>
            </w:tcBorders>
            <w:vAlign w:val="center"/>
          </w:tcPr>
          <w:p w14:paraId="2CC26217" w14:textId="77777777" w:rsidR="004E504A" w:rsidRDefault="004E504A" w:rsidP="00D00C78">
            <w:pPr>
              <w:pStyle w:val="Neotevilenodstavek"/>
              <w:widowControl w:val="0"/>
              <w:numPr>
                <w:ilvl w:val="0"/>
                <w:numId w:val="8"/>
              </w:numPr>
              <w:spacing w:after="0" w:line="276" w:lineRule="auto"/>
              <w:ind w:left="244" w:hanging="284"/>
              <w:rPr>
                <w:iCs/>
                <w:sz w:val="20"/>
                <w:szCs w:val="20"/>
              </w:rPr>
            </w:pPr>
            <w:r>
              <w:rPr>
                <w:iCs/>
                <w:sz w:val="20"/>
                <w:szCs w:val="20"/>
              </w:rPr>
              <w:t>Skupnost občin Slovenije SOS</w:t>
            </w:r>
          </w:p>
        </w:tc>
        <w:tc>
          <w:tcPr>
            <w:tcW w:w="1562" w:type="dxa"/>
            <w:gridSpan w:val="2"/>
            <w:tcBorders>
              <w:top w:val="dotted" w:sz="4" w:space="0" w:color="auto"/>
              <w:bottom w:val="dotted" w:sz="4" w:space="0" w:color="auto"/>
            </w:tcBorders>
            <w:vAlign w:val="center"/>
          </w:tcPr>
          <w:p w14:paraId="3839E9CB" w14:textId="77777777" w:rsidR="004E504A" w:rsidRDefault="004E504A" w:rsidP="008829C8">
            <w:pPr>
              <w:pStyle w:val="Oddelek"/>
              <w:widowControl w:val="0"/>
              <w:numPr>
                <w:ilvl w:val="0"/>
                <w:numId w:val="0"/>
              </w:numPr>
              <w:spacing w:before="0" w:after="0" w:line="276" w:lineRule="auto"/>
              <w:rPr>
                <w:b w:val="0"/>
                <w:sz w:val="20"/>
                <w:szCs w:val="20"/>
              </w:rPr>
            </w:pPr>
            <w:r>
              <w:rPr>
                <w:b w:val="0"/>
                <w:sz w:val="20"/>
                <w:szCs w:val="20"/>
              </w:rPr>
              <w:t>DA/</w:t>
            </w:r>
            <w:r w:rsidRPr="00B95E90">
              <w:rPr>
                <w:sz w:val="20"/>
                <w:szCs w:val="20"/>
              </w:rPr>
              <w:t>NE</w:t>
            </w:r>
          </w:p>
        </w:tc>
      </w:tr>
      <w:tr w:rsidR="004E504A" w:rsidRPr="008D1759" w14:paraId="209FBD3B" w14:textId="77777777" w:rsidTr="008829C8">
        <w:tc>
          <w:tcPr>
            <w:tcW w:w="7655" w:type="dxa"/>
            <w:gridSpan w:val="10"/>
            <w:tcBorders>
              <w:top w:val="dotted" w:sz="4" w:space="0" w:color="auto"/>
              <w:left w:val="single" w:sz="4" w:space="0" w:color="auto"/>
              <w:bottom w:val="dotted" w:sz="4" w:space="0" w:color="auto"/>
              <w:right w:val="single" w:sz="4" w:space="0" w:color="auto"/>
            </w:tcBorders>
            <w:vAlign w:val="center"/>
          </w:tcPr>
          <w:p w14:paraId="20BF0EE3" w14:textId="77777777" w:rsidR="004E504A" w:rsidRDefault="004E504A" w:rsidP="00D00C78">
            <w:pPr>
              <w:pStyle w:val="Neotevilenodstavek"/>
              <w:widowControl w:val="0"/>
              <w:numPr>
                <w:ilvl w:val="0"/>
                <w:numId w:val="8"/>
              </w:numPr>
              <w:spacing w:after="0" w:line="276" w:lineRule="auto"/>
              <w:ind w:left="244" w:hanging="284"/>
              <w:rPr>
                <w:iCs/>
                <w:sz w:val="20"/>
                <w:szCs w:val="20"/>
              </w:rPr>
            </w:pPr>
            <w:r>
              <w:rPr>
                <w:iCs/>
                <w:sz w:val="20"/>
                <w:szCs w:val="20"/>
              </w:rPr>
              <w:t>Združenje občin Slovenije ZOS</w:t>
            </w:r>
          </w:p>
        </w:tc>
        <w:tc>
          <w:tcPr>
            <w:tcW w:w="1562" w:type="dxa"/>
            <w:gridSpan w:val="2"/>
            <w:tcBorders>
              <w:top w:val="dotted" w:sz="4" w:space="0" w:color="auto"/>
              <w:bottom w:val="dotted" w:sz="4" w:space="0" w:color="auto"/>
            </w:tcBorders>
            <w:vAlign w:val="center"/>
          </w:tcPr>
          <w:p w14:paraId="5CAAD44F" w14:textId="77777777" w:rsidR="004E504A" w:rsidRDefault="004E504A" w:rsidP="008829C8">
            <w:pPr>
              <w:pStyle w:val="Oddelek"/>
              <w:widowControl w:val="0"/>
              <w:numPr>
                <w:ilvl w:val="0"/>
                <w:numId w:val="0"/>
              </w:numPr>
              <w:spacing w:before="0" w:after="0" w:line="276" w:lineRule="auto"/>
              <w:rPr>
                <w:b w:val="0"/>
                <w:sz w:val="20"/>
                <w:szCs w:val="20"/>
              </w:rPr>
            </w:pPr>
            <w:r>
              <w:rPr>
                <w:b w:val="0"/>
                <w:sz w:val="20"/>
                <w:szCs w:val="20"/>
              </w:rPr>
              <w:t>DA/</w:t>
            </w:r>
            <w:r w:rsidRPr="00B95E90">
              <w:rPr>
                <w:sz w:val="20"/>
                <w:szCs w:val="20"/>
              </w:rPr>
              <w:t>NE</w:t>
            </w:r>
          </w:p>
        </w:tc>
      </w:tr>
      <w:tr w:rsidR="004E504A" w:rsidRPr="008D1759" w14:paraId="02A9E9D2" w14:textId="77777777" w:rsidTr="008829C8">
        <w:tc>
          <w:tcPr>
            <w:tcW w:w="7655" w:type="dxa"/>
            <w:gridSpan w:val="10"/>
            <w:tcBorders>
              <w:top w:val="dotted" w:sz="4" w:space="0" w:color="auto"/>
              <w:left w:val="single" w:sz="4" w:space="0" w:color="auto"/>
              <w:bottom w:val="dotted" w:sz="4" w:space="0" w:color="auto"/>
              <w:right w:val="single" w:sz="4" w:space="0" w:color="auto"/>
            </w:tcBorders>
            <w:vAlign w:val="center"/>
          </w:tcPr>
          <w:p w14:paraId="2B2B54CE" w14:textId="77777777" w:rsidR="004E504A" w:rsidRDefault="004E504A" w:rsidP="00D00C78">
            <w:pPr>
              <w:pStyle w:val="Neotevilenodstavek"/>
              <w:widowControl w:val="0"/>
              <w:numPr>
                <w:ilvl w:val="0"/>
                <w:numId w:val="8"/>
              </w:numPr>
              <w:spacing w:after="0" w:line="276" w:lineRule="auto"/>
              <w:ind w:left="244" w:hanging="284"/>
              <w:rPr>
                <w:iCs/>
                <w:sz w:val="20"/>
                <w:szCs w:val="20"/>
              </w:rPr>
            </w:pPr>
            <w:r>
              <w:rPr>
                <w:iCs/>
                <w:sz w:val="20"/>
                <w:szCs w:val="20"/>
              </w:rPr>
              <w:lastRenderedPageBreak/>
              <w:t>Združenje mestnih občin Slovenije ZMOS</w:t>
            </w:r>
          </w:p>
        </w:tc>
        <w:tc>
          <w:tcPr>
            <w:tcW w:w="1562" w:type="dxa"/>
            <w:gridSpan w:val="2"/>
            <w:tcBorders>
              <w:top w:val="dotted" w:sz="4" w:space="0" w:color="auto"/>
              <w:bottom w:val="dotted" w:sz="4" w:space="0" w:color="auto"/>
            </w:tcBorders>
            <w:vAlign w:val="center"/>
          </w:tcPr>
          <w:p w14:paraId="38612A8B" w14:textId="77777777" w:rsidR="004E504A" w:rsidRDefault="004E504A" w:rsidP="008829C8">
            <w:pPr>
              <w:pStyle w:val="Oddelek"/>
              <w:widowControl w:val="0"/>
              <w:numPr>
                <w:ilvl w:val="0"/>
                <w:numId w:val="0"/>
              </w:numPr>
              <w:spacing w:before="0" w:after="0" w:line="276" w:lineRule="auto"/>
              <w:rPr>
                <w:b w:val="0"/>
                <w:sz w:val="20"/>
                <w:szCs w:val="20"/>
              </w:rPr>
            </w:pPr>
            <w:r>
              <w:rPr>
                <w:b w:val="0"/>
                <w:sz w:val="20"/>
                <w:szCs w:val="20"/>
              </w:rPr>
              <w:t>DA/</w:t>
            </w:r>
            <w:r w:rsidRPr="00B95E90">
              <w:rPr>
                <w:sz w:val="20"/>
                <w:szCs w:val="20"/>
              </w:rPr>
              <w:t>NE</w:t>
            </w:r>
          </w:p>
        </w:tc>
      </w:tr>
      <w:tr w:rsidR="003D20AE" w:rsidRPr="008D1759" w14:paraId="06D64176"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4B7BD02A" w14:textId="77777777" w:rsidR="003D20AE" w:rsidRDefault="003D20AE" w:rsidP="008829C8">
            <w:pPr>
              <w:pStyle w:val="Neotevilenodstavek"/>
              <w:widowControl w:val="0"/>
              <w:spacing w:after="0" w:line="276" w:lineRule="auto"/>
              <w:rPr>
                <w:iCs/>
                <w:sz w:val="20"/>
                <w:szCs w:val="20"/>
              </w:rPr>
            </w:pPr>
            <w:r>
              <w:rPr>
                <w:iCs/>
                <w:sz w:val="20"/>
                <w:szCs w:val="20"/>
              </w:rPr>
              <w:t>Predlogi in pripo</w:t>
            </w:r>
            <w:r w:rsidR="00FB05AF">
              <w:rPr>
                <w:iCs/>
                <w:sz w:val="20"/>
                <w:szCs w:val="20"/>
              </w:rPr>
              <w:t>mbe združenj so bili upoštevani</w:t>
            </w:r>
            <w:r>
              <w:rPr>
                <w:iCs/>
                <w:sz w:val="20"/>
                <w:szCs w:val="20"/>
              </w:rPr>
              <w:t>:</w:t>
            </w:r>
          </w:p>
          <w:p w14:paraId="67EDC1E9" w14:textId="77777777" w:rsidR="003D20AE" w:rsidRDefault="003D20AE" w:rsidP="00D00C78">
            <w:pPr>
              <w:pStyle w:val="Neotevilenodstavek"/>
              <w:widowControl w:val="0"/>
              <w:numPr>
                <w:ilvl w:val="0"/>
                <w:numId w:val="9"/>
              </w:numPr>
              <w:spacing w:before="0" w:after="0" w:line="276" w:lineRule="auto"/>
              <w:ind w:left="318" w:hanging="284"/>
              <w:rPr>
                <w:iCs/>
                <w:sz w:val="20"/>
                <w:szCs w:val="20"/>
              </w:rPr>
            </w:pPr>
            <w:r>
              <w:rPr>
                <w:iCs/>
                <w:sz w:val="20"/>
                <w:szCs w:val="20"/>
              </w:rPr>
              <w:t>v celoti,</w:t>
            </w:r>
          </w:p>
          <w:p w14:paraId="2734F2A5" w14:textId="77777777" w:rsidR="003D20AE" w:rsidRDefault="003D20AE" w:rsidP="00D00C78">
            <w:pPr>
              <w:pStyle w:val="Neotevilenodstavek"/>
              <w:widowControl w:val="0"/>
              <w:numPr>
                <w:ilvl w:val="0"/>
                <w:numId w:val="9"/>
              </w:numPr>
              <w:spacing w:before="0" w:after="0" w:line="276" w:lineRule="auto"/>
              <w:ind w:left="318" w:hanging="284"/>
              <w:rPr>
                <w:iCs/>
                <w:sz w:val="20"/>
                <w:szCs w:val="20"/>
              </w:rPr>
            </w:pPr>
            <w:r>
              <w:rPr>
                <w:iCs/>
                <w:sz w:val="20"/>
                <w:szCs w:val="20"/>
              </w:rPr>
              <w:t>večinoma,</w:t>
            </w:r>
          </w:p>
          <w:p w14:paraId="354D661B" w14:textId="77777777" w:rsidR="003D20AE" w:rsidRDefault="003D20AE" w:rsidP="00D00C78">
            <w:pPr>
              <w:pStyle w:val="Neotevilenodstavek"/>
              <w:widowControl w:val="0"/>
              <w:numPr>
                <w:ilvl w:val="0"/>
                <w:numId w:val="9"/>
              </w:numPr>
              <w:spacing w:before="0" w:after="0" w:line="276" w:lineRule="auto"/>
              <w:ind w:left="318" w:hanging="284"/>
              <w:rPr>
                <w:iCs/>
                <w:sz w:val="20"/>
                <w:szCs w:val="20"/>
              </w:rPr>
            </w:pPr>
            <w:r>
              <w:rPr>
                <w:iCs/>
                <w:sz w:val="20"/>
                <w:szCs w:val="20"/>
              </w:rPr>
              <w:t>delno,</w:t>
            </w:r>
          </w:p>
          <w:p w14:paraId="7552DC31" w14:textId="77777777" w:rsidR="003D20AE" w:rsidRDefault="003D20AE" w:rsidP="00D00C78">
            <w:pPr>
              <w:pStyle w:val="Neotevilenodstavek"/>
              <w:widowControl w:val="0"/>
              <w:numPr>
                <w:ilvl w:val="0"/>
                <w:numId w:val="9"/>
              </w:numPr>
              <w:spacing w:before="0" w:after="0" w:line="276" w:lineRule="auto"/>
              <w:ind w:left="318" w:hanging="284"/>
              <w:rPr>
                <w:iCs/>
                <w:sz w:val="20"/>
                <w:szCs w:val="20"/>
              </w:rPr>
            </w:pPr>
            <w:r>
              <w:rPr>
                <w:iCs/>
                <w:sz w:val="20"/>
                <w:szCs w:val="20"/>
              </w:rPr>
              <w:t>niso bili upoštevani.</w:t>
            </w:r>
          </w:p>
        </w:tc>
      </w:tr>
      <w:tr w:rsidR="003D20AE" w:rsidRPr="008D1759" w14:paraId="00AC7E40"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6499F081" w14:textId="77777777" w:rsidR="003D20AE" w:rsidRDefault="003D20AE" w:rsidP="008829C8">
            <w:pPr>
              <w:pStyle w:val="Neotevilenodstavek"/>
              <w:widowControl w:val="0"/>
              <w:spacing w:after="0" w:line="276" w:lineRule="auto"/>
              <w:rPr>
                <w:iCs/>
                <w:sz w:val="20"/>
                <w:szCs w:val="20"/>
              </w:rPr>
            </w:pPr>
            <w:r>
              <w:rPr>
                <w:iCs/>
                <w:sz w:val="20"/>
                <w:szCs w:val="20"/>
              </w:rPr>
              <w:t>Bistveni predlogi in pripombe, ki niso bili upoštevani:</w:t>
            </w:r>
          </w:p>
        </w:tc>
      </w:tr>
      <w:tr w:rsidR="003D20AE" w:rsidRPr="008D1759" w14:paraId="252DF02D" w14:textId="77777777" w:rsidTr="008829C8">
        <w:tc>
          <w:tcPr>
            <w:tcW w:w="9217"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74741A9D" w14:textId="77777777" w:rsidR="003D20AE" w:rsidRPr="003D20AE" w:rsidRDefault="003D20AE" w:rsidP="008829C8">
            <w:pPr>
              <w:pStyle w:val="Neotevilenodstavek"/>
              <w:widowControl w:val="0"/>
              <w:spacing w:after="0" w:line="276" w:lineRule="auto"/>
              <w:ind w:left="601" w:hanging="601"/>
              <w:rPr>
                <w:b/>
                <w:iCs/>
                <w:sz w:val="20"/>
                <w:szCs w:val="20"/>
              </w:rPr>
            </w:pPr>
            <w:r w:rsidRPr="003D20AE">
              <w:rPr>
                <w:b/>
                <w:iCs/>
                <w:sz w:val="20"/>
                <w:szCs w:val="20"/>
              </w:rPr>
              <w:t xml:space="preserve">9. </w:t>
            </w:r>
            <w:r w:rsidR="00FB05AF">
              <w:rPr>
                <w:b/>
                <w:iCs/>
                <w:sz w:val="20"/>
                <w:szCs w:val="20"/>
              </w:rPr>
              <w:t xml:space="preserve">    </w:t>
            </w:r>
            <w:r w:rsidRPr="003D20AE">
              <w:rPr>
                <w:b/>
                <w:iCs/>
                <w:sz w:val="20"/>
                <w:szCs w:val="20"/>
              </w:rPr>
              <w:t>Predstavitev sodelovanja javnosti:</w:t>
            </w:r>
          </w:p>
        </w:tc>
      </w:tr>
      <w:tr w:rsidR="003B2076" w:rsidRPr="008D1759" w14:paraId="0B5B8C93" w14:textId="77777777" w:rsidTr="008829C8">
        <w:tc>
          <w:tcPr>
            <w:tcW w:w="7655" w:type="dxa"/>
            <w:gridSpan w:val="10"/>
            <w:tcBorders>
              <w:top w:val="single" w:sz="4" w:space="0" w:color="auto"/>
              <w:left w:val="single" w:sz="4" w:space="0" w:color="auto"/>
              <w:bottom w:val="dotted" w:sz="4" w:space="0" w:color="auto"/>
              <w:right w:val="single" w:sz="4" w:space="0" w:color="auto"/>
            </w:tcBorders>
            <w:shd w:val="clear" w:color="auto" w:fill="FFFFFF"/>
            <w:vAlign w:val="center"/>
          </w:tcPr>
          <w:p w14:paraId="6E63A604" w14:textId="77777777" w:rsidR="003B2076" w:rsidRDefault="003B2076" w:rsidP="008829C8">
            <w:pPr>
              <w:pStyle w:val="Neotevilenodstavek"/>
              <w:widowControl w:val="0"/>
              <w:spacing w:after="0" w:line="276" w:lineRule="auto"/>
              <w:rPr>
                <w:iCs/>
                <w:sz w:val="20"/>
                <w:szCs w:val="20"/>
              </w:rPr>
            </w:pPr>
            <w:r>
              <w:rPr>
                <w:iCs/>
                <w:sz w:val="20"/>
                <w:szCs w:val="20"/>
              </w:rPr>
              <w:t>Gradivo je bilo predhodno objavljeno na spletni strani predlagatelja:</w:t>
            </w:r>
          </w:p>
        </w:tc>
        <w:tc>
          <w:tcPr>
            <w:tcW w:w="1562" w:type="dxa"/>
            <w:gridSpan w:val="2"/>
            <w:tcBorders>
              <w:bottom w:val="dotted" w:sz="4" w:space="0" w:color="auto"/>
            </w:tcBorders>
            <w:vAlign w:val="center"/>
          </w:tcPr>
          <w:p w14:paraId="7FE4E614" w14:textId="77777777" w:rsidR="003B2076" w:rsidRDefault="003B2076" w:rsidP="008829C8">
            <w:pPr>
              <w:pStyle w:val="Oddelek"/>
              <w:widowControl w:val="0"/>
              <w:numPr>
                <w:ilvl w:val="0"/>
                <w:numId w:val="0"/>
              </w:numPr>
              <w:spacing w:before="0" w:after="0" w:line="276" w:lineRule="auto"/>
              <w:rPr>
                <w:b w:val="0"/>
                <w:sz w:val="20"/>
                <w:szCs w:val="20"/>
              </w:rPr>
            </w:pPr>
            <w:r>
              <w:rPr>
                <w:b w:val="0"/>
                <w:sz w:val="20"/>
                <w:szCs w:val="20"/>
              </w:rPr>
              <w:t>DA/</w:t>
            </w:r>
            <w:r w:rsidRPr="00B95E90">
              <w:rPr>
                <w:sz w:val="20"/>
                <w:szCs w:val="20"/>
              </w:rPr>
              <w:t>NE</w:t>
            </w:r>
          </w:p>
        </w:tc>
      </w:tr>
      <w:tr w:rsidR="003B2076" w:rsidRPr="008D1759" w14:paraId="16176667"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522C87E4" w14:textId="77777777" w:rsidR="003B2076" w:rsidRDefault="003B2076" w:rsidP="008829C8">
            <w:pPr>
              <w:pStyle w:val="Neotevilenodstavek"/>
              <w:widowControl w:val="0"/>
              <w:spacing w:after="0" w:line="276" w:lineRule="auto"/>
              <w:rPr>
                <w:iCs/>
                <w:sz w:val="20"/>
                <w:szCs w:val="20"/>
              </w:rPr>
            </w:pPr>
            <w:r>
              <w:rPr>
                <w:iCs/>
                <w:sz w:val="20"/>
                <w:szCs w:val="20"/>
              </w:rPr>
              <w:t xml:space="preserve">(Če je odgovor </w:t>
            </w:r>
            <w:r w:rsidRPr="00FB05AF">
              <w:rPr>
                <w:b/>
                <w:iCs/>
                <w:sz w:val="20"/>
                <w:szCs w:val="20"/>
              </w:rPr>
              <w:t>NE</w:t>
            </w:r>
            <w:r>
              <w:rPr>
                <w:iCs/>
                <w:sz w:val="20"/>
                <w:szCs w:val="20"/>
              </w:rPr>
              <w:t>, navedite, zakaj ni bilo objavljeno.)</w:t>
            </w:r>
          </w:p>
          <w:p w14:paraId="11662147" w14:textId="5ADFB358" w:rsidR="00F32E81" w:rsidRDefault="00F32E81" w:rsidP="008829C8">
            <w:pPr>
              <w:pStyle w:val="Neotevilenodstavek"/>
              <w:widowControl w:val="0"/>
              <w:spacing w:after="0" w:line="276" w:lineRule="auto"/>
              <w:rPr>
                <w:iCs/>
                <w:sz w:val="20"/>
                <w:szCs w:val="20"/>
              </w:rPr>
            </w:pPr>
            <w:r w:rsidRPr="00F32E81">
              <w:rPr>
                <w:iCs/>
                <w:sz w:val="20"/>
                <w:szCs w:val="20"/>
              </w:rPr>
              <w:t>Gradivo ni bilo predhodno objavljeno na spletni strani predlagatelja, ker gre za</w:t>
            </w:r>
            <w:r w:rsidR="004D57EB">
              <w:rPr>
                <w:iCs/>
                <w:sz w:val="20"/>
                <w:szCs w:val="20"/>
              </w:rPr>
              <w:t xml:space="preserve"> pismo o nameri o prihodnjem sodelovanju.</w:t>
            </w:r>
          </w:p>
        </w:tc>
      </w:tr>
      <w:tr w:rsidR="003B2076" w:rsidRPr="008D1759" w14:paraId="5E67C197"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1AC04D72" w14:textId="77777777" w:rsidR="003B2076" w:rsidRDefault="00FB05AF" w:rsidP="008829C8">
            <w:pPr>
              <w:pStyle w:val="Neotevilenodstavek"/>
              <w:widowControl w:val="0"/>
              <w:spacing w:after="0" w:line="276" w:lineRule="auto"/>
              <w:rPr>
                <w:iCs/>
                <w:sz w:val="20"/>
                <w:szCs w:val="20"/>
              </w:rPr>
            </w:pPr>
            <w:r>
              <w:rPr>
                <w:iCs/>
                <w:sz w:val="20"/>
                <w:szCs w:val="20"/>
              </w:rPr>
              <w:t>(Č</w:t>
            </w:r>
            <w:r w:rsidR="003B2076">
              <w:rPr>
                <w:iCs/>
                <w:sz w:val="20"/>
                <w:szCs w:val="20"/>
              </w:rPr>
              <w:t xml:space="preserve">e je odgovor </w:t>
            </w:r>
            <w:r w:rsidR="003B2076" w:rsidRPr="00FB05AF">
              <w:rPr>
                <w:b/>
                <w:iCs/>
                <w:sz w:val="20"/>
                <w:szCs w:val="20"/>
              </w:rPr>
              <w:t>DA</w:t>
            </w:r>
            <w:r w:rsidR="003B2076">
              <w:rPr>
                <w:iCs/>
                <w:sz w:val="20"/>
                <w:szCs w:val="20"/>
              </w:rPr>
              <w:t>, navedete:</w:t>
            </w:r>
          </w:p>
        </w:tc>
      </w:tr>
      <w:tr w:rsidR="003B2076" w:rsidRPr="008D1759" w14:paraId="73737553"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4D7A9A04" w14:textId="77777777" w:rsidR="003B2076" w:rsidRDefault="003B2076" w:rsidP="008829C8">
            <w:pPr>
              <w:pStyle w:val="Neotevilenodstavek"/>
              <w:widowControl w:val="0"/>
              <w:spacing w:after="0" w:line="276" w:lineRule="auto"/>
              <w:rPr>
                <w:iCs/>
                <w:sz w:val="20"/>
                <w:szCs w:val="20"/>
              </w:rPr>
            </w:pPr>
            <w:r>
              <w:rPr>
                <w:iCs/>
                <w:sz w:val="20"/>
                <w:szCs w:val="20"/>
              </w:rPr>
              <w:t>Datum objave:</w:t>
            </w:r>
          </w:p>
        </w:tc>
      </w:tr>
      <w:tr w:rsidR="003B2076" w:rsidRPr="008D1759" w14:paraId="6709BD6A"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2F68E43E" w14:textId="77777777" w:rsidR="003B2076" w:rsidRDefault="003B2076" w:rsidP="008829C8">
            <w:pPr>
              <w:pStyle w:val="Neotevilenodstavek"/>
              <w:widowControl w:val="0"/>
              <w:spacing w:after="0" w:line="276" w:lineRule="auto"/>
              <w:rPr>
                <w:iCs/>
                <w:sz w:val="20"/>
                <w:szCs w:val="20"/>
              </w:rPr>
            </w:pPr>
            <w:r>
              <w:rPr>
                <w:iCs/>
                <w:sz w:val="20"/>
                <w:szCs w:val="20"/>
              </w:rPr>
              <w:t>V razpravo so bili vključeni:</w:t>
            </w:r>
          </w:p>
          <w:p w14:paraId="6608F85C" w14:textId="77777777" w:rsidR="003B2076" w:rsidRDefault="003B2076" w:rsidP="00D00C78">
            <w:pPr>
              <w:pStyle w:val="Neotevilenodstavek"/>
              <w:widowControl w:val="0"/>
              <w:numPr>
                <w:ilvl w:val="0"/>
                <w:numId w:val="11"/>
              </w:numPr>
              <w:spacing w:before="0" w:after="0" w:line="276" w:lineRule="auto"/>
              <w:ind w:left="244" w:hanging="284"/>
              <w:rPr>
                <w:iCs/>
                <w:sz w:val="20"/>
                <w:szCs w:val="20"/>
              </w:rPr>
            </w:pPr>
            <w:r>
              <w:rPr>
                <w:iCs/>
                <w:sz w:val="20"/>
                <w:szCs w:val="20"/>
              </w:rPr>
              <w:t>nevladne organizacije,</w:t>
            </w:r>
          </w:p>
          <w:p w14:paraId="012CD976" w14:textId="77777777" w:rsidR="003B2076" w:rsidRDefault="003B2076" w:rsidP="00D00C78">
            <w:pPr>
              <w:pStyle w:val="Neotevilenodstavek"/>
              <w:widowControl w:val="0"/>
              <w:numPr>
                <w:ilvl w:val="0"/>
                <w:numId w:val="11"/>
              </w:numPr>
              <w:spacing w:before="0" w:after="0" w:line="276" w:lineRule="auto"/>
              <w:ind w:left="244" w:hanging="284"/>
              <w:rPr>
                <w:iCs/>
                <w:sz w:val="20"/>
                <w:szCs w:val="20"/>
              </w:rPr>
            </w:pPr>
            <w:r>
              <w:rPr>
                <w:iCs/>
                <w:sz w:val="20"/>
                <w:szCs w:val="20"/>
              </w:rPr>
              <w:t>predstavniki zainteresirane javnosti,</w:t>
            </w:r>
          </w:p>
          <w:p w14:paraId="309F36E5" w14:textId="77777777" w:rsidR="003B2076" w:rsidRDefault="003B2076" w:rsidP="00D00C78">
            <w:pPr>
              <w:pStyle w:val="Neotevilenodstavek"/>
              <w:widowControl w:val="0"/>
              <w:numPr>
                <w:ilvl w:val="0"/>
                <w:numId w:val="11"/>
              </w:numPr>
              <w:spacing w:before="0" w:after="0" w:line="276" w:lineRule="auto"/>
              <w:ind w:left="244" w:hanging="284"/>
              <w:rPr>
                <w:iCs/>
                <w:sz w:val="20"/>
                <w:szCs w:val="20"/>
              </w:rPr>
            </w:pPr>
            <w:r>
              <w:rPr>
                <w:iCs/>
                <w:sz w:val="20"/>
                <w:szCs w:val="20"/>
              </w:rPr>
              <w:t>predstavniki strokovne javnosti.</w:t>
            </w:r>
          </w:p>
        </w:tc>
      </w:tr>
      <w:tr w:rsidR="003B2076" w:rsidRPr="008D1759" w14:paraId="57FD6B4A"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7BB4891F" w14:textId="77777777" w:rsidR="003B2076" w:rsidRDefault="003B2076" w:rsidP="008829C8">
            <w:pPr>
              <w:pStyle w:val="Neotevilenodstavek"/>
              <w:widowControl w:val="0"/>
              <w:spacing w:after="0" w:line="276" w:lineRule="auto"/>
              <w:rPr>
                <w:iCs/>
                <w:sz w:val="20"/>
                <w:szCs w:val="20"/>
              </w:rPr>
            </w:pPr>
            <w:r>
              <w:rPr>
                <w:iCs/>
                <w:sz w:val="20"/>
                <w:szCs w:val="20"/>
              </w:rPr>
              <w:t>Mnenja, predlogi in pripombe z navedbo predlagateljev:</w:t>
            </w:r>
          </w:p>
        </w:tc>
      </w:tr>
      <w:tr w:rsidR="003B2076" w:rsidRPr="008D1759" w14:paraId="2C095DD4"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3009C7A2" w14:textId="77777777" w:rsidR="003B2076" w:rsidRDefault="003B2076" w:rsidP="008829C8">
            <w:pPr>
              <w:pStyle w:val="Neotevilenodstavek"/>
              <w:widowControl w:val="0"/>
              <w:spacing w:after="0" w:line="276" w:lineRule="auto"/>
              <w:rPr>
                <w:iCs/>
                <w:sz w:val="20"/>
                <w:szCs w:val="20"/>
              </w:rPr>
            </w:pPr>
            <w:r>
              <w:rPr>
                <w:iCs/>
                <w:sz w:val="20"/>
                <w:szCs w:val="20"/>
              </w:rPr>
              <w:t>Upoštevani so bili:</w:t>
            </w:r>
          </w:p>
          <w:p w14:paraId="023C4BDA" w14:textId="77777777" w:rsidR="003B2076" w:rsidRDefault="003B2076" w:rsidP="00D00C78">
            <w:pPr>
              <w:pStyle w:val="Neotevilenodstavek"/>
              <w:widowControl w:val="0"/>
              <w:numPr>
                <w:ilvl w:val="0"/>
                <w:numId w:val="10"/>
              </w:numPr>
              <w:spacing w:before="0" w:after="0" w:line="276" w:lineRule="auto"/>
              <w:ind w:left="244" w:hanging="284"/>
              <w:rPr>
                <w:iCs/>
                <w:sz w:val="20"/>
                <w:szCs w:val="20"/>
              </w:rPr>
            </w:pPr>
            <w:r>
              <w:rPr>
                <w:iCs/>
                <w:sz w:val="20"/>
                <w:szCs w:val="20"/>
              </w:rPr>
              <w:t>v celoti,</w:t>
            </w:r>
          </w:p>
          <w:p w14:paraId="5E368DEF" w14:textId="77777777" w:rsidR="003B2076" w:rsidRDefault="003B2076" w:rsidP="00D00C78">
            <w:pPr>
              <w:pStyle w:val="Neotevilenodstavek"/>
              <w:widowControl w:val="0"/>
              <w:numPr>
                <w:ilvl w:val="0"/>
                <w:numId w:val="10"/>
              </w:numPr>
              <w:spacing w:before="0" w:after="0" w:line="276" w:lineRule="auto"/>
              <w:ind w:left="244" w:hanging="284"/>
              <w:rPr>
                <w:iCs/>
                <w:sz w:val="20"/>
                <w:szCs w:val="20"/>
              </w:rPr>
            </w:pPr>
            <w:r>
              <w:rPr>
                <w:iCs/>
                <w:sz w:val="20"/>
                <w:szCs w:val="20"/>
              </w:rPr>
              <w:t>večinoma,</w:t>
            </w:r>
          </w:p>
          <w:p w14:paraId="6DEFFC51" w14:textId="77777777" w:rsidR="003B2076" w:rsidRDefault="003B2076" w:rsidP="00D00C78">
            <w:pPr>
              <w:pStyle w:val="Neotevilenodstavek"/>
              <w:widowControl w:val="0"/>
              <w:numPr>
                <w:ilvl w:val="0"/>
                <w:numId w:val="10"/>
              </w:numPr>
              <w:spacing w:before="0" w:after="0" w:line="276" w:lineRule="auto"/>
              <w:ind w:left="244" w:hanging="284"/>
              <w:rPr>
                <w:iCs/>
                <w:sz w:val="20"/>
                <w:szCs w:val="20"/>
              </w:rPr>
            </w:pPr>
            <w:r>
              <w:rPr>
                <w:iCs/>
                <w:sz w:val="20"/>
                <w:szCs w:val="20"/>
              </w:rPr>
              <w:t>delno,</w:t>
            </w:r>
          </w:p>
          <w:p w14:paraId="2AAF8EE3" w14:textId="77777777" w:rsidR="003B2076" w:rsidRDefault="003B2076" w:rsidP="00D00C78">
            <w:pPr>
              <w:pStyle w:val="Neotevilenodstavek"/>
              <w:widowControl w:val="0"/>
              <w:numPr>
                <w:ilvl w:val="0"/>
                <w:numId w:val="10"/>
              </w:numPr>
              <w:spacing w:before="0" w:after="0" w:line="276" w:lineRule="auto"/>
              <w:ind w:left="244" w:hanging="284"/>
              <w:rPr>
                <w:iCs/>
                <w:sz w:val="20"/>
                <w:szCs w:val="20"/>
              </w:rPr>
            </w:pPr>
            <w:r>
              <w:rPr>
                <w:iCs/>
                <w:sz w:val="20"/>
                <w:szCs w:val="20"/>
              </w:rPr>
              <w:t>niso bili upoštevani.</w:t>
            </w:r>
          </w:p>
        </w:tc>
      </w:tr>
      <w:tr w:rsidR="003B2076" w:rsidRPr="008D1759" w14:paraId="75CC5CEA"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7E614CCD" w14:textId="77777777" w:rsidR="003B2076" w:rsidRDefault="00FB05AF" w:rsidP="008829C8">
            <w:pPr>
              <w:pStyle w:val="Neotevilenodstavek"/>
              <w:widowControl w:val="0"/>
              <w:spacing w:after="0" w:line="276" w:lineRule="auto"/>
              <w:rPr>
                <w:iCs/>
                <w:sz w:val="20"/>
                <w:szCs w:val="20"/>
              </w:rPr>
            </w:pPr>
            <w:r>
              <w:rPr>
                <w:iCs/>
                <w:sz w:val="20"/>
                <w:szCs w:val="20"/>
              </w:rPr>
              <w:t>Bistvena mnenja, predlogi in pripombe, ki niso bili upoštevani ter razlogi za neupoštevanje:</w:t>
            </w:r>
          </w:p>
        </w:tc>
      </w:tr>
      <w:tr w:rsidR="003B2076" w:rsidRPr="008D1759" w14:paraId="1E1E21A0" w14:textId="77777777" w:rsidTr="008829C8">
        <w:tc>
          <w:tcPr>
            <w:tcW w:w="9217" w:type="dxa"/>
            <w:gridSpan w:val="12"/>
            <w:tcBorders>
              <w:top w:val="dotted" w:sz="4" w:space="0" w:color="auto"/>
              <w:left w:val="single" w:sz="4" w:space="0" w:color="auto"/>
              <w:bottom w:val="dotted" w:sz="4" w:space="0" w:color="auto"/>
              <w:right w:val="single" w:sz="4" w:space="0" w:color="auto"/>
            </w:tcBorders>
            <w:vAlign w:val="center"/>
          </w:tcPr>
          <w:p w14:paraId="3C15745F" w14:textId="77777777" w:rsidR="003B2076" w:rsidRDefault="003B2076" w:rsidP="008829C8">
            <w:pPr>
              <w:pStyle w:val="Neotevilenodstavek"/>
              <w:widowControl w:val="0"/>
              <w:spacing w:after="0" w:line="276" w:lineRule="auto"/>
              <w:rPr>
                <w:iCs/>
                <w:sz w:val="20"/>
                <w:szCs w:val="20"/>
              </w:rPr>
            </w:pPr>
            <w:r>
              <w:rPr>
                <w:iCs/>
                <w:sz w:val="20"/>
                <w:szCs w:val="20"/>
              </w:rPr>
              <w:t>Poročilo je bilo dano …</w:t>
            </w:r>
          </w:p>
        </w:tc>
      </w:tr>
      <w:tr w:rsidR="003B2076" w:rsidRPr="008D1759" w14:paraId="71064F9E" w14:textId="77777777" w:rsidTr="008829C8">
        <w:tc>
          <w:tcPr>
            <w:tcW w:w="9217" w:type="dxa"/>
            <w:gridSpan w:val="12"/>
            <w:tcBorders>
              <w:top w:val="dotted" w:sz="4" w:space="0" w:color="auto"/>
              <w:left w:val="single" w:sz="4" w:space="0" w:color="auto"/>
              <w:bottom w:val="single" w:sz="4" w:space="0" w:color="auto"/>
              <w:right w:val="single" w:sz="4" w:space="0" w:color="auto"/>
            </w:tcBorders>
            <w:vAlign w:val="center"/>
          </w:tcPr>
          <w:p w14:paraId="04FCCB0C" w14:textId="77777777" w:rsidR="003B2076" w:rsidRDefault="003B2076" w:rsidP="008829C8">
            <w:pPr>
              <w:pStyle w:val="Neotevilenodstavek"/>
              <w:widowControl w:val="0"/>
              <w:spacing w:after="0" w:line="276" w:lineRule="auto"/>
              <w:rPr>
                <w:iCs/>
                <w:sz w:val="20"/>
                <w:szCs w:val="20"/>
              </w:rPr>
            </w:pPr>
            <w:r>
              <w:rPr>
                <w:iCs/>
                <w:sz w:val="20"/>
                <w:szCs w:val="20"/>
              </w:rPr>
              <w:t>Javnost je bila vključena v pripravo gradiva v skladu z Zakonom o …, kar je navedeno v predlogu predpisa.</w:t>
            </w:r>
          </w:p>
        </w:tc>
      </w:tr>
      <w:tr w:rsidR="003B2076" w:rsidRPr="008D1759" w14:paraId="219192F1" w14:textId="77777777" w:rsidTr="008829C8">
        <w:tc>
          <w:tcPr>
            <w:tcW w:w="7655"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1A294C73" w14:textId="77777777" w:rsidR="003B2076" w:rsidRDefault="00FB05AF" w:rsidP="008829C8">
            <w:pPr>
              <w:pStyle w:val="Neotevilenodstavek"/>
              <w:widowControl w:val="0"/>
              <w:spacing w:after="0" w:line="276" w:lineRule="auto"/>
              <w:ind w:left="459" w:hanging="459"/>
              <w:rPr>
                <w:iCs/>
                <w:sz w:val="20"/>
                <w:szCs w:val="20"/>
              </w:rPr>
            </w:pPr>
            <w:r w:rsidRPr="00FB05AF">
              <w:rPr>
                <w:b/>
                <w:iCs/>
                <w:sz w:val="20"/>
                <w:szCs w:val="20"/>
              </w:rPr>
              <w:t xml:space="preserve">10. </w:t>
            </w:r>
            <w:r w:rsidR="00223FBE">
              <w:rPr>
                <w:b/>
                <w:iCs/>
                <w:sz w:val="20"/>
                <w:szCs w:val="20"/>
              </w:rPr>
              <w:t xml:space="preserve">  </w:t>
            </w:r>
            <w:r w:rsidRPr="00FB05AF">
              <w:rPr>
                <w:b/>
                <w:iCs/>
                <w:sz w:val="20"/>
                <w:szCs w:val="20"/>
              </w:rPr>
              <w:t>Pri pripravi gradiva so bile upoštevane zahteve iz Resolucije o normativni dejavnosti:</w:t>
            </w:r>
          </w:p>
        </w:tc>
        <w:tc>
          <w:tcPr>
            <w:tcW w:w="1562" w:type="dxa"/>
            <w:gridSpan w:val="2"/>
            <w:shd w:val="clear" w:color="auto" w:fill="F2F2F2"/>
            <w:vAlign w:val="center"/>
          </w:tcPr>
          <w:p w14:paraId="3D66888E" w14:textId="77777777" w:rsidR="003B2076" w:rsidRDefault="00FB05AF" w:rsidP="008829C8">
            <w:pPr>
              <w:pStyle w:val="Oddelek"/>
              <w:widowControl w:val="0"/>
              <w:numPr>
                <w:ilvl w:val="0"/>
                <w:numId w:val="0"/>
              </w:numPr>
              <w:spacing w:before="0" w:after="0" w:line="276" w:lineRule="auto"/>
              <w:rPr>
                <w:b w:val="0"/>
                <w:sz w:val="20"/>
                <w:szCs w:val="20"/>
              </w:rPr>
            </w:pPr>
            <w:r>
              <w:rPr>
                <w:b w:val="0"/>
                <w:sz w:val="20"/>
                <w:szCs w:val="20"/>
              </w:rPr>
              <w:t>DA/</w:t>
            </w:r>
            <w:r w:rsidRPr="00B95E90">
              <w:rPr>
                <w:sz w:val="20"/>
                <w:szCs w:val="20"/>
              </w:rPr>
              <w:t>NE</w:t>
            </w:r>
          </w:p>
        </w:tc>
      </w:tr>
      <w:tr w:rsidR="003B2076" w:rsidRPr="008D1759" w14:paraId="3514DC7B" w14:textId="77777777" w:rsidTr="008829C8">
        <w:tc>
          <w:tcPr>
            <w:tcW w:w="7655"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68BEFBD8" w14:textId="77777777" w:rsidR="003B2076" w:rsidRPr="00FB05AF" w:rsidRDefault="00FB05AF" w:rsidP="008829C8">
            <w:pPr>
              <w:pStyle w:val="Neotevilenodstavek"/>
              <w:widowControl w:val="0"/>
              <w:spacing w:after="0" w:line="276" w:lineRule="auto"/>
              <w:rPr>
                <w:b/>
                <w:iCs/>
                <w:sz w:val="20"/>
                <w:szCs w:val="20"/>
              </w:rPr>
            </w:pPr>
            <w:r w:rsidRPr="00FB05AF">
              <w:rPr>
                <w:b/>
                <w:iCs/>
                <w:sz w:val="20"/>
                <w:szCs w:val="20"/>
              </w:rPr>
              <w:t xml:space="preserve">11.   </w:t>
            </w:r>
            <w:r w:rsidR="00223FBE">
              <w:rPr>
                <w:b/>
                <w:iCs/>
                <w:sz w:val="20"/>
                <w:szCs w:val="20"/>
              </w:rPr>
              <w:t xml:space="preserve"> </w:t>
            </w:r>
            <w:r w:rsidRPr="00FB05AF">
              <w:rPr>
                <w:b/>
                <w:iCs/>
                <w:sz w:val="20"/>
                <w:szCs w:val="20"/>
              </w:rPr>
              <w:t>Gradivo je uvrščeno v delovni program vlade:</w:t>
            </w:r>
          </w:p>
        </w:tc>
        <w:tc>
          <w:tcPr>
            <w:tcW w:w="1562" w:type="dxa"/>
            <w:gridSpan w:val="2"/>
            <w:shd w:val="clear" w:color="auto" w:fill="F2F2F2"/>
            <w:vAlign w:val="center"/>
          </w:tcPr>
          <w:p w14:paraId="01D07493" w14:textId="77777777" w:rsidR="003B2076" w:rsidRDefault="00FB05AF" w:rsidP="008829C8">
            <w:pPr>
              <w:pStyle w:val="Oddelek"/>
              <w:widowControl w:val="0"/>
              <w:numPr>
                <w:ilvl w:val="0"/>
                <w:numId w:val="0"/>
              </w:numPr>
              <w:spacing w:before="0" w:after="0" w:line="276" w:lineRule="auto"/>
              <w:rPr>
                <w:b w:val="0"/>
                <w:sz w:val="20"/>
                <w:szCs w:val="20"/>
              </w:rPr>
            </w:pPr>
            <w:r>
              <w:rPr>
                <w:b w:val="0"/>
                <w:sz w:val="20"/>
                <w:szCs w:val="20"/>
              </w:rPr>
              <w:t>DA/</w:t>
            </w:r>
            <w:r w:rsidRPr="00B95E90">
              <w:rPr>
                <w:sz w:val="20"/>
                <w:szCs w:val="20"/>
              </w:rPr>
              <w:t>NE</w:t>
            </w:r>
          </w:p>
        </w:tc>
      </w:tr>
      <w:tr w:rsidR="001453A9" w:rsidRPr="008D1759" w14:paraId="5D9D25BF" w14:textId="77777777" w:rsidTr="008829C8">
        <w:tc>
          <w:tcPr>
            <w:tcW w:w="9217" w:type="dxa"/>
            <w:gridSpan w:val="12"/>
            <w:tcBorders>
              <w:top w:val="dotted" w:sz="4" w:space="0" w:color="auto"/>
              <w:left w:val="single" w:sz="4" w:space="0" w:color="auto"/>
              <w:bottom w:val="single" w:sz="4" w:space="0" w:color="auto"/>
              <w:right w:val="single" w:sz="4" w:space="0" w:color="auto"/>
            </w:tcBorders>
            <w:vAlign w:val="center"/>
          </w:tcPr>
          <w:p w14:paraId="7C5B338C" w14:textId="77777777" w:rsidR="001453A9" w:rsidRDefault="001453A9" w:rsidP="008829C8"/>
          <w:p w14:paraId="51D58309" w14:textId="77777777" w:rsidR="001453A9" w:rsidRDefault="001453A9" w:rsidP="008829C8"/>
          <w:p w14:paraId="0710CFCF" w14:textId="77777777" w:rsidR="001453A9" w:rsidRDefault="001453A9" w:rsidP="008829C8"/>
          <w:tbl>
            <w:tblPr>
              <w:tblW w:w="0" w:type="auto"/>
              <w:tblLayout w:type="fixed"/>
              <w:tblLook w:val="04A0" w:firstRow="1" w:lastRow="0" w:firstColumn="1" w:lastColumn="0" w:noHBand="0" w:noVBand="1"/>
            </w:tblPr>
            <w:tblGrid>
              <w:gridCol w:w="4343"/>
              <w:gridCol w:w="4371"/>
            </w:tblGrid>
            <w:tr w:rsidR="001453A9" w:rsidRPr="00871794" w14:paraId="35B77DE4" w14:textId="77777777" w:rsidTr="003E70A1">
              <w:tc>
                <w:tcPr>
                  <w:tcW w:w="4343" w:type="dxa"/>
                  <w:shd w:val="clear" w:color="auto" w:fill="auto"/>
                </w:tcPr>
                <w:p w14:paraId="2B00DC04" w14:textId="77777777" w:rsidR="001453A9" w:rsidRPr="00871794" w:rsidRDefault="001453A9" w:rsidP="00434222">
                  <w:pPr>
                    <w:framePr w:hSpace="141" w:wrap="around" w:vAnchor="text" w:hAnchor="text" w:y="1"/>
                    <w:autoSpaceDE w:val="0"/>
                    <w:autoSpaceDN w:val="0"/>
                    <w:adjustRightInd w:val="0"/>
                    <w:spacing w:line="240" w:lineRule="auto"/>
                    <w:suppressOverlap/>
                    <w:jc w:val="both"/>
                    <w:rPr>
                      <w:rFonts w:cs="Arial"/>
                      <w:szCs w:val="20"/>
                    </w:rPr>
                  </w:pPr>
                </w:p>
              </w:tc>
              <w:tc>
                <w:tcPr>
                  <w:tcW w:w="4371" w:type="dxa"/>
                  <w:shd w:val="clear" w:color="auto" w:fill="auto"/>
                </w:tcPr>
                <w:p w14:paraId="5B05588C" w14:textId="77777777" w:rsidR="001453A9" w:rsidRPr="00871794" w:rsidRDefault="001B12CF" w:rsidP="00434222">
                  <w:pPr>
                    <w:framePr w:hSpace="141" w:wrap="around" w:vAnchor="text" w:hAnchor="text" w:y="1"/>
                    <w:autoSpaceDE w:val="0"/>
                    <w:autoSpaceDN w:val="0"/>
                    <w:adjustRightInd w:val="0"/>
                    <w:spacing w:line="240" w:lineRule="auto"/>
                    <w:suppressOverlap/>
                    <w:jc w:val="center"/>
                    <w:rPr>
                      <w:rFonts w:cs="Arial"/>
                      <w:szCs w:val="20"/>
                    </w:rPr>
                  </w:pPr>
                  <w:r>
                    <w:rPr>
                      <w:rFonts w:cs="Arial"/>
                      <w:szCs w:val="20"/>
                    </w:rPr>
                    <w:t>Matjaž Han</w:t>
                  </w:r>
                </w:p>
                <w:p w14:paraId="7722DD8E" w14:textId="77777777" w:rsidR="001453A9" w:rsidRPr="00871794" w:rsidRDefault="001B12CF" w:rsidP="00434222">
                  <w:pPr>
                    <w:framePr w:hSpace="141" w:wrap="around" w:vAnchor="text" w:hAnchor="text" w:y="1"/>
                    <w:autoSpaceDE w:val="0"/>
                    <w:autoSpaceDN w:val="0"/>
                    <w:adjustRightInd w:val="0"/>
                    <w:spacing w:line="240" w:lineRule="auto"/>
                    <w:suppressOverlap/>
                    <w:jc w:val="center"/>
                    <w:rPr>
                      <w:rFonts w:cs="Arial"/>
                      <w:szCs w:val="20"/>
                    </w:rPr>
                  </w:pPr>
                  <w:r>
                    <w:rPr>
                      <w:rFonts w:cs="Arial"/>
                      <w:szCs w:val="20"/>
                    </w:rPr>
                    <w:t>m</w:t>
                  </w:r>
                  <w:r w:rsidR="001453A9" w:rsidRPr="00871794">
                    <w:rPr>
                      <w:rFonts w:cs="Arial"/>
                      <w:szCs w:val="20"/>
                    </w:rPr>
                    <w:t>inister</w:t>
                  </w:r>
                </w:p>
                <w:p w14:paraId="0F9A839B" w14:textId="77777777" w:rsidR="001453A9" w:rsidRPr="00871794" w:rsidRDefault="001453A9" w:rsidP="00434222">
                  <w:pPr>
                    <w:framePr w:hSpace="141" w:wrap="around" w:vAnchor="text" w:hAnchor="text" w:y="1"/>
                    <w:autoSpaceDE w:val="0"/>
                    <w:autoSpaceDN w:val="0"/>
                    <w:adjustRightInd w:val="0"/>
                    <w:spacing w:line="240" w:lineRule="auto"/>
                    <w:suppressOverlap/>
                    <w:jc w:val="center"/>
                    <w:rPr>
                      <w:rFonts w:cs="Arial"/>
                      <w:szCs w:val="20"/>
                    </w:rPr>
                  </w:pPr>
                </w:p>
              </w:tc>
            </w:tr>
          </w:tbl>
          <w:p w14:paraId="5B657097" w14:textId="77777777" w:rsidR="001453A9" w:rsidRDefault="001453A9" w:rsidP="008829C8">
            <w:pPr>
              <w:pStyle w:val="Neotevilenodstavek"/>
              <w:widowControl w:val="0"/>
              <w:spacing w:after="0" w:line="276" w:lineRule="auto"/>
              <w:rPr>
                <w:iCs/>
                <w:sz w:val="20"/>
                <w:szCs w:val="20"/>
              </w:rPr>
            </w:pPr>
          </w:p>
        </w:tc>
      </w:tr>
      <w:tr w:rsidR="00223FBE" w:rsidRPr="008D1759" w14:paraId="22A373C5" w14:textId="77777777" w:rsidTr="008829C8">
        <w:trPr>
          <w:gridBefore w:val="4"/>
          <w:wBefore w:w="4395" w:type="dxa"/>
        </w:trPr>
        <w:tc>
          <w:tcPr>
            <w:tcW w:w="4822" w:type="dxa"/>
            <w:gridSpan w:val="8"/>
            <w:tcBorders>
              <w:top w:val="nil"/>
              <w:left w:val="nil"/>
              <w:bottom w:val="nil"/>
              <w:right w:val="nil"/>
            </w:tcBorders>
            <w:shd w:val="clear" w:color="auto" w:fill="FFFFFF"/>
            <w:vAlign w:val="center"/>
          </w:tcPr>
          <w:p w14:paraId="70BE08DE" w14:textId="77777777" w:rsidR="00223FBE" w:rsidRDefault="00223FBE" w:rsidP="008829C8">
            <w:pPr>
              <w:pStyle w:val="Neotevilenodstavek"/>
              <w:widowControl w:val="0"/>
              <w:spacing w:after="0" w:line="276" w:lineRule="auto"/>
              <w:rPr>
                <w:iCs/>
                <w:sz w:val="20"/>
                <w:szCs w:val="20"/>
              </w:rPr>
            </w:pPr>
          </w:p>
          <w:p w14:paraId="45672FD9" w14:textId="77777777" w:rsidR="00223FBE" w:rsidRPr="00FB05AF" w:rsidRDefault="00223FBE" w:rsidP="008829C8">
            <w:pPr>
              <w:pStyle w:val="Neotevilenodstavek"/>
              <w:widowControl w:val="0"/>
              <w:spacing w:before="0" w:after="0" w:line="276" w:lineRule="auto"/>
              <w:rPr>
                <w:b/>
                <w:iCs/>
                <w:sz w:val="20"/>
                <w:szCs w:val="20"/>
              </w:rPr>
            </w:pPr>
          </w:p>
        </w:tc>
      </w:tr>
    </w:tbl>
    <w:p w14:paraId="739D2188" w14:textId="2330E294" w:rsidR="00D731F3" w:rsidRPr="008D1759" w:rsidRDefault="008829C8" w:rsidP="002A667B">
      <w:pPr>
        <w:spacing w:line="276" w:lineRule="auto"/>
        <w:rPr>
          <w:rFonts w:cs="Arial"/>
          <w:vanish/>
          <w:szCs w:val="20"/>
        </w:rPr>
      </w:pPr>
      <w:r>
        <w:rPr>
          <w:rFonts w:cs="Arial"/>
          <w:vanish/>
          <w:szCs w:val="20"/>
        </w:rPr>
        <w:br w:type="textWrapping" w:clear="all"/>
      </w:r>
    </w:p>
    <w:p w14:paraId="6E1C5DDB" w14:textId="77777777" w:rsidR="00D731F3" w:rsidRPr="008D1759" w:rsidRDefault="00D731F3" w:rsidP="00D731F3">
      <w:pPr>
        <w:keepLines/>
        <w:framePr w:w="9962" w:wrap="auto" w:hAnchor="text" w:x="1300"/>
        <w:rPr>
          <w:rFonts w:cs="Arial"/>
          <w:szCs w:val="20"/>
        </w:rPr>
        <w:sectPr w:rsidR="00D731F3" w:rsidRPr="008D1759" w:rsidSect="00AA256D">
          <w:footerReference w:type="default" r:id="rId12"/>
          <w:headerReference w:type="first" r:id="rId13"/>
          <w:footerReference w:type="first" r:id="rId14"/>
          <w:pgSz w:w="11906" w:h="16838"/>
          <w:pgMar w:top="1418" w:right="1418" w:bottom="1418" w:left="1418" w:header="708" w:footer="708" w:gutter="0"/>
          <w:cols w:space="708"/>
          <w:titlePg/>
          <w:docGrid w:linePitch="360"/>
        </w:sectPr>
      </w:pPr>
    </w:p>
    <w:p w14:paraId="514999B6" w14:textId="77777777" w:rsidR="00E83827" w:rsidRDefault="00E83827" w:rsidP="00C63A22">
      <w:pPr>
        <w:pStyle w:val="podpisi"/>
        <w:ind w:left="360"/>
        <w:jc w:val="right"/>
        <w:rPr>
          <w:b/>
          <w:lang w:val="sl-SI"/>
        </w:rPr>
      </w:pPr>
    </w:p>
    <w:p w14:paraId="0F9ABE67" w14:textId="77777777" w:rsidR="00A3507C" w:rsidRDefault="00A3507C" w:rsidP="00C63A22">
      <w:pPr>
        <w:pStyle w:val="podpisi"/>
        <w:ind w:left="360"/>
        <w:jc w:val="right"/>
        <w:rPr>
          <w:b/>
          <w:lang w:val="sl-SI"/>
        </w:rPr>
      </w:pPr>
    </w:p>
    <w:p w14:paraId="3E871C62" w14:textId="77777777" w:rsidR="00A3507C" w:rsidRDefault="00A3507C" w:rsidP="00C63A22">
      <w:pPr>
        <w:pStyle w:val="podpisi"/>
        <w:ind w:left="360"/>
        <w:jc w:val="right"/>
        <w:rPr>
          <w:lang w:val="sl-SI"/>
        </w:rPr>
      </w:pPr>
      <w:r w:rsidRPr="00A3507C">
        <w:rPr>
          <w:lang w:val="sl-SI"/>
        </w:rPr>
        <w:t>PREDLOG SKLEPA</w:t>
      </w:r>
    </w:p>
    <w:p w14:paraId="6058A076" w14:textId="77777777" w:rsidR="00A3507C" w:rsidRDefault="00A3507C" w:rsidP="00C63A22">
      <w:pPr>
        <w:pStyle w:val="podpisi"/>
        <w:ind w:left="360"/>
        <w:jc w:val="right"/>
        <w:rPr>
          <w:lang w:val="sl-SI"/>
        </w:rPr>
      </w:pPr>
    </w:p>
    <w:p w14:paraId="4310A5EF" w14:textId="77777777" w:rsidR="00341EBA" w:rsidRDefault="00341EBA" w:rsidP="00C63A22">
      <w:pPr>
        <w:pStyle w:val="podpisi"/>
        <w:ind w:left="360"/>
        <w:jc w:val="right"/>
        <w:rPr>
          <w:lang w:val="sl-SI"/>
        </w:rPr>
      </w:pPr>
    </w:p>
    <w:p w14:paraId="70BA9E35" w14:textId="77777777" w:rsidR="00341EBA" w:rsidRPr="00341EBA" w:rsidRDefault="00341EBA" w:rsidP="00341EBA"/>
    <w:p w14:paraId="37302071" w14:textId="00E811E6" w:rsidR="00BB0E08" w:rsidRDefault="00BB0E08" w:rsidP="00BB0E08">
      <w:pPr>
        <w:jc w:val="both"/>
        <w:rPr>
          <w:iCs/>
          <w:color w:val="000000"/>
        </w:rPr>
      </w:pPr>
      <w:r w:rsidRPr="005324B0">
        <w:rPr>
          <w:iCs/>
          <w:color w:val="000000"/>
        </w:rPr>
        <w:t>Na podlagi šestega odstavka 21. člena Zakona o Vladi Republike Slovenije (Uradni list RS, št. 24/05 – uradno prečiščeno besedilo, 109/08, 38/10 – ZUKN, 8/12, 21/13, 47/13 – ZDU-1G, 65/14</w:t>
      </w:r>
      <w:r>
        <w:rPr>
          <w:iCs/>
          <w:color w:val="000000"/>
        </w:rPr>
        <w:t>,</w:t>
      </w:r>
      <w:r w:rsidRPr="005324B0">
        <w:rPr>
          <w:iCs/>
          <w:color w:val="000000"/>
        </w:rPr>
        <w:t xml:space="preserve"> 55/17</w:t>
      </w:r>
      <w:r>
        <w:rPr>
          <w:iCs/>
          <w:color w:val="000000"/>
        </w:rPr>
        <w:t xml:space="preserve"> in 163/22</w:t>
      </w:r>
      <w:r w:rsidRPr="005324B0">
        <w:rPr>
          <w:iCs/>
          <w:color w:val="000000"/>
        </w:rPr>
        <w:t>) je Vlada Republike Slovenije na …… seji dne …… sprejela sklep:</w:t>
      </w:r>
    </w:p>
    <w:p w14:paraId="6FC7F6A9" w14:textId="77777777" w:rsidR="00177504" w:rsidRDefault="00177504" w:rsidP="00177504">
      <w:pPr>
        <w:pStyle w:val="datumtevilka"/>
        <w:jc w:val="both"/>
        <w:rPr>
          <w:rFonts w:cs="Arial"/>
        </w:rPr>
      </w:pPr>
    </w:p>
    <w:p w14:paraId="25062685" w14:textId="45212F04" w:rsidR="00B921C3" w:rsidRPr="00A345DB" w:rsidRDefault="00B921C3" w:rsidP="00105B08">
      <w:pPr>
        <w:pStyle w:val="datumtevilka"/>
        <w:jc w:val="both"/>
        <w:rPr>
          <w:rFonts w:cs="Arial"/>
        </w:rPr>
      </w:pPr>
      <w:r>
        <w:rPr>
          <w:rFonts w:cs="Arial"/>
        </w:rPr>
        <w:t>Vlada se je seznanila z Informacijo glede načrtovanih aktivnostih Ministrstva za gospodarstvo, turizem in šport</w:t>
      </w:r>
      <w:r w:rsidR="00FD109A">
        <w:rPr>
          <w:rFonts w:cs="Arial"/>
        </w:rPr>
        <w:t xml:space="preserve">, Ministrstva za kohezijo in regionalni razvoj </w:t>
      </w:r>
      <w:r>
        <w:rPr>
          <w:rFonts w:cs="Arial"/>
        </w:rPr>
        <w:t>ter Ministrstva za naravne vire in prostor pri izvedbi strateškega projekta umeščanja industrijsko - poslovnih con nacionalnega in regionalnega pomena preko izvedbe tematskega akcijskega programa in regionalnih prostorskih planov</w:t>
      </w:r>
    </w:p>
    <w:p w14:paraId="12AE2E98" w14:textId="77777777" w:rsidR="00AE028A" w:rsidRDefault="00AE028A" w:rsidP="00F32E81">
      <w:pPr>
        <w:jc w:val="both"/>
        <w:rPr>
          <w:iCs/>
          <w:color w:val="000000"/>
        </w:rPr>
      </w:pPr>
    </w:p>
    <w:p w14:paraId="3F3E278E" w14:textId="77777777" w:rsidR="00F32E81" w:rsidRDefault="00F32E81" w:rsidP="00F32E81">
      <w:pPr>
        <w:jc w:val="both"/>
        <w:rPr>
          <w:iCs/>
          <w:color w:val="000000"/>
        </w:rPr>
      </w:pPr>
    </w:p>
    <w:p w14:paraId="4E803E1D" w14:textId="77777777" w:rsidR="00F32E81" w:rsidRDefault="00F32E81" w:rsidP="00F32E81">
      <w:pPr>
        <w:jc w:val="both"/>
        <w:rPr>
          <w:iCs/>
          <w:color w:val="000000"/>
        </w:rPr>
      </w:pPr>
    </w:p>
    <w:p w14:paraId="28DBBBF9" w14:textId="77777777" w:rsidR="00F32E81" w:rsidRPr="004643B0" w:rsidRDefault="00F32E81" w:rsidP="00F32E81">
      <w:pPr>
        <w:jc w:val="both"/>
        <w:rPr>
          <w:iCs/>
          <w:color w:val="000000"/>
        </w:rPr>
      </w:pPr>
    </w:p>
    <w:p w14:paraId="10C70658" w14:textId="77777777" w:rsidR="009A50F3" w:rsidRDefault="009A50F3" w:rsidP="00325BC1">
      <w:pPr>
        <w:tabs>
          <w:tab w:val="left" w:pos="1134"/>
        </w:tabs>
        <w:autoSpaceDE w:val="0"/>
        <w:autoSpaceDN w:val="0"/>
        <w:adjustRightInd w:val="0"/>
        <w:spacing w:line="276" w:lineRule="auto"/>
        <w:ind w:left="4248"/>
        <w:jc w:val="center"/>
        <w:rPr>
          <w:rFonts w:cs="Arial"/>
          <w:color w:val="000000"/>
        </w:rPr>
      </w:pPr>
      <w:r w:rsidRPr="009A50F3">
        <w:rPr>
          <w:rFonts w:cs="Arial"/>
          <w:color w:val="000000"/>
        </w:rPr>
        <w:t xml:space="preserve">Barbara Kolenko </w:t>
      </w:r>
      <w:proofErr w:type="spellStart"/>
      <w:r w:rsidRPr="009A50F3">
        <w:rPr>
          <w:rFonts w:cs="Arial"/>
          <w:color w:val="000000"/>
        </w:rPr>
        <w:t>Helbl</w:t>
      </w:r>
      <w:proofErr w:type="spellEnd"/>
    </w:p>
    <w:p w14:paraId="3E4B0B00" w14:textId="77777777" w:rsidR="00F32E81" w:rsidRPr="001B19C0" w:rsidRDefault="009A50F3" w:rsidP="00325BC1">
      <w:pPr>
        <w:tabs>
          <w:tab w:val="left" w:pos="-6629"/>
        </w:tabs>
        <w:autoSpaceDE w:val="0"/>
        <w:autoSpaceDN w:val="0"/>
        <w:adjustRightInd w:val="0"/>
        <w:spacing w:line="276" w:lineRule="auto"/>
        <w:ind w:left="4248"/>
        <w:jc w:val="center"/>
        <w:rPr>
          <w:rFonts w:cs="Arial"/>
          <w:iCs/>
          <w:color w:val="000000"/>
        </w:rPr>
      </w:pPr>
      <w:r>
        <w:rPr>
          <w:rFonts w:cs="Arial"/>
          <w:color w:val="000000"/>
        </w:rPr>
        <w:t>GENERALNA SEKRETARKA</w:t>
      </w:r>
    </w:p>
    <w:p w14:paraId="5FF1DF35" w14:textId="77777777" w:rsidR="00F32E81" w:rsidRPr="004643B0" w:rsidRDefault="00F32E81" w:rsidP="00F32E81">
      <w:pPr>
        <w:jc w:val="both"/>
        <w:rPr>
          <w:iCs/>
          <w:color w:val="000000"/>
        </w:rPr>
      </w:pPr>
    </w:p>
    <w:p w14:paraId="5D0CD6C8" w14:textId="77777777" w:rsidR="00F32E81" w:rsidRDefault="00F32E81" w:rsidP="00F32E81">
      <w:pPr>
        <w:jc w:val="both"/>
        <w:rPr>
          <w:iCs/>
          <w:color w:val="000000"/>
        </w:rPr>
      </w:pPr>
    </w:p>
    <w:p w14:paraId="5098B163" w14:textId="77777777" w:rsidR="00F32E81" w:rsidRDefault="00F32E81" w:rsidP="00F32E81">
      <w:pPr>
        <w:jc w:val="both"/>
        <w:rPr>
          <w:iCs/>
          <w:color w:val="000000"/>
        </w:rPr>
      </w:pPr>
    </w:p>
    <w:p w14:paraId="0CDA110A" w14:textId="77777777" w:rsidR="00F32E81" w:rsidRDefault="00F32E81" w:rsidP="00F32E81">
      <w:pPr>
        <w:jc w:val="both"/>
        <w:rPr>
          <w:iCs/>
          <w:color w:val="000000"/>
        </w:rPr>
      </w:pPr>
    </w:p>
    <w:p w14:paraId="24CC5997" w14:textId="77777777" w:rsidR="00F32E81" w:rsidRDefault="00F32E81" w:rsidP="00F32E81">
      <w:pPr>
        <w:jc w:val="both"/>
        <w:rPr>
          <w:iCs/>
          <w:color w:val="000000"/>
        </w:rPr>
      </w:pPr>
    </w:p>
    <w:p w14:paraId="4E95CF18" w14:textId="77777777" w:rsidR="00F32E81" w:rsidRDefault="00F32E81" w:rsidP="00F32E81">
      <w:pPr>
        <w:jc w:val="both"/>
        <w:rPr>
          <w:iCs/>
          <w:color w:val="000000"/>
        </w:rPr>
      </w:pPr>
    </w:p>
    <w:p w14:paraId="6436B25E" w14:textId="77777777" w:rsidR="002B4664" w:rsidRDefault="002B4664" w:rsidP="00F32E81">
      <w:pPr>
        <w:jc w:val="both"/>
        <w:rPr>
          <w:iCs/>
          <w:color w:val="000000"/>
        </w:rPr>
      </w:pPr>
    </w:p>
    <w:p w14:paraId="2165BA82" w14:textId="77777777" w:rsidR="002B4664" w:rsidRDefault="002B4664" w:rsidP="00F32E81">
      <w:pPr>
        <w:jc w:val="both"/>
        <w:rPr>
          <w:iCs/>
          <w:color w:val="000000"/>
        </w:rPr>
      </w:pPr>
    </w:p>
    <w:p w14:paraId="56B0D874" w14:textId="77777777" w:rsidR="002B4664" w:rsidRDefault="002B4664" w:rsidP="00F32E81">
      <w:pPr>
        <w:jc w:val="both"/>
        <w:rPr>
          <w:iCs/>
          <w:color w:val="000000"/>
        </w:rPr>
      </w:pPr>
    </w:p>
    <w:p w14:paraId="596CC211" w14:textId="77777777" w:rsidR="002B4664" w:rsidRDefault="002B4664" w:rsidP="00F32E81">
      <w:pPr>
        <w:jc w:val="both"/>
        <w:rPr>
          <w:iCs/>
          <w:color w:val="000000"/>
        </w:rPr>
      </w:pPr>
    </w:p>
    <w:p w14:paraId="3C5DDD8B" w14:textId="77777777" w:rsidR="002B4664" w:rsidRDefault="002B4664" w:rsidP="00F32E81">
      <w:pPr>
        <w:jc w:val="both"/>
        <w:rPr>
          <w:iCs/>
          <w:color w:val="000000"/>
        </w:rPr>
      </w:pPr>
    </w:p>
    <w:p w14:paraId="7808EF64" w14:textId="77777777" w:rsidR="002B4664" w:rsidRDefault="002B4664" w:rsidP="00F32E81">
      <w:pPr>
        <w:jc w:val="both"/>
        <w:rPr>
          <w:iCs/>
          <w:color w:val="000000"/>
        </w:rPr>
      </w:pPr>
    </w:p>
    <w:p w14:paraId="09D4BDA0" w14:textId="77777777" w:rsidR="002B4664" w:rsidRDefault="002B4664" w:rsidP="00F32E81">
      <w:pPr>
        <w:jc w:val="both"/>
        <w:rPr>
          <w:iCs/>
          <w:color w:val="000000"/>
        </w:rPr>
      </w:pPr>
    </w:p>
    <w:p w14:paraId="417B64FD" w14:textId="77777777" w:rsidR="00F32E81" w:rsidRPr="004643B0" w:rsidRDefault="00F32E81" w:rsidP="00F32E81">
      <w:pPr>
        <w:jc w:val="both"/>
        <w:rPr>
          <w:iCs/>
          <w:color w:val="000000"/>
        </w:rPr>
      </w:pPr>
    </w:p>
    <w:p w14:paraId="35DE0ACA" w14:textId="77777777" w:rsidR="00F32E81" w:rsidRDefault="00F32E81" w:rsidP="00F32E81">
      <w:pPr>
        <w:jc w:val="both"/>
        <w:rPr>
          <w:iCs/>
          <w:color w:val="000000"/>
        </w:rPr>
      </w:pPr>
      <w:r w:rsidRPr="004643B0">
        <w:rPr>
          <w:iCs/>
          <w:color w:val="000000"/>
        </w:rPr>
        <w:t xml:space="preserve">Prejemniki: </w:t>
      </w:r>
    </w:p>
    <w:p w14:paraId="734CBCC4" w14:textId="77777777" w:rsidR="00DB7704" w:rsidRPr="004643B0" w:rsidRDefault="00DB7704" w:rsidP="00F32E81">
      <w:pPr>
        <w:jc w:val="both"/>
        <w:rPr>
          <w:iCs/>
          <w:color w:val="000000"/>
        </w:rPr>
      </w:pPr>
    </w:p>
    <w:p w14:paraId="27D08E5E" w14:textId="77777777" w:rsidR="00DB7704" w:rsidRDefault="00DB7704" w:rsidP="00DB7704">
      <w:pPr>
        <w:numPr>
          <w:ilvl w:val="0"/>
          <w:numId w:val="13"/>
        </w:numPr>
        <w:jc w:val="both"/>
        <w:rPr>
          <w:iCs/>
          <w:color w:val="000000"/>
        </w:rPr>
      </w:pPr>
      <w:r w:rsidRPr="004643B0">
        <w:rPr>
          <w:iCs/>
          <w:color w:val="000000"/>
        </w:rPr>
        <w:t>Generalni sekretariat Vlade RS,</w:t>
      </w:r>
    </w:p>
    <w:p w14:paraId="06F2707D" w14:textId="77777777" w:rsidR="00DB7704" w:rsidRDefault="00DB7704" w:rsidP="00DB7704">
      <w:pPr>
        <w:numPr>
          <w:ilvl w:val="0"/>
          <w:numId w:val="13"/>
        </w:numPr>
        <w:jc w:val="both"/>
        <w:rPr>
          <w:iCs/>
          <w:color w:val="000000"/>
        </w:rPr>
      </w:pPr>
      <w:r>
        <w:rPr>
          <w:iCs/>
          <w:color w:val="000000"/>
        </w:rPr>
        <w:t>Ministrstvo za naravne vire in prostor,</w:t>
      </w:r>
    </w:p>
    <w:p w14:paraId="1DD211B3" w14:textId="77777777" w:rsidR="00DB7704" w:rsidRDefault="00DB7704" w:rsidP="00DB7704">
      <w:pPr>
        <w:numPr>
          <w:ilvl w:val="0"/>
          <w:numId w:val="13"/>
        </w:numPr>
        <w:jc w:val="both"/>
        <w:rPr>
          <w:iCs/>
          <w:color w:val="000000"/>
        </w:rPr>
      </w:pPr>
      <w:r>
        <w:rPr>
          <w:iCs/>
          <w:color w:val="000000"/>
        </w:rPr>
        <w:t>Ministrstvo za okolje, podnebje in energijo,</w:t>
      </w:r>
    </w:p>
    <w:p w14:paraId="1EFDD2E6" w14:textId="77777777" w:rsidR="00DB7704" w:rsidRDefault="00DB7704" w:rsidP="00DB7704">
      <w:pPr>
        <w:numPr>
          <w:ilvl w:val="0"/>
          <w:numId w:val="13"/>
        </w:numPr>
        <w:jc w:val="both"/>
        <w:rPr>
          <w:iCs/>
          <w:color w:val="000000"/>
        </w:rPr>
      </w:pPr>
      <w:r w:rsidRPr="00CF7542">
        <w:rPr>
          <w:iCs/>
          <w:color w:val="000000"/>
        </w:rPr>
        <w:t>Ministrstvo za delo, družino, socialne zadeve in enake možnosti</w:t>
      </w:r>
    </w:p>
    <w:p w14:paraId="0A90975A" w14:textId="77777777" w:rsidR="00DB7704" w:rsidRPr="004643B0" w:rsidRDefault="00DB7704" w:rsidP="00DB7704">
      <w:pPr>
        <w:numPr>
          <w:ilvl w:val="0"/>
          <w:numId w:val="13"/>
        </w:numPr>
        <w:jc w:val="both"/>
        <w:rPr>
          <w:iCs/>
          <w:color w:val="000000"/>
        </w:rPr>
      </w:pPr>
      <w:r w:rsidRPr="004643B0">
        <w:rPr>
          <w:iCs/>
          <w:color w:val="000000"/>
        </w:rPr>
        <w:t>Ministrstvo za gospod</w:t>
      </w:r>
      <w:r>
        <w:rPr>
          <w:iCs/>
          <w:color w:val="000000"/>
        </w:rPr>
        <w:t>arstvo, turizem in šport,</w:t>
      </w:r>
    </w:p>
    <w:p w14:paraId="680B0A58" w14:textId="77777777" w:rsidR="00DB7704" w:rsidRPr="00CF7542" w:rsidRDefault="00DB7704" w:rsidP="00DB7704">
      <w:pPr>
        <w:numPr>
          <w:ilvl w:val="0"/>
          <w:numId w:val="13"/>
        </w:numPr>
        <w:jc w:val="both"/>
        <w:rPr>
          <w:iCs/>
          <w:color w:val="000000"/>
        </w:rPr>
      </w:pPr>
      <w:r w:rsidRPr="004643B0">
        <w:rPr>
          <w:iCs/>
          <w:color w:val="000000"/>
        </w:rPr>
        <w:t>Ministrstvo za finance,</w:t>
      </w:r>
      <w:r>
        <w:t xml:space="preserve"> </w:t>
      </w:r>
    </w:p>
    <w:p w14:paraId="0A98CA15" w14:textId="77777777" w:rsidR="00DB7704" w:rsidRDefault="00DB7704" w:rsidP="00DB7704">
      <w:pPr>
        <w:numPr>
          <w:ilvl w:val="0"/>
          <w:numId w:val="13"/>
        </w:numPr>
        <w:jc w:val="both"/>
        <w:rPr>
          <w:iCs/>
          <w:color w:val="000000"/>
        </w:rPr>
      </w:pPr>
      <w:r w:rsidRPr="00CF7542">
        <w:rPr>
          <w:iCs/>
          <w:color w:val="000000"/>
        </w:rPr>
        <w:t xml:space="preserve">Ministrstvo za </w:t>
      </w:r>
      <w:r>
        <w:rPr>
          <w:iCs/>
          <w:color w:val="000000"/>
        </w:rPr>
        <w:t>infrastrukturo,</w:t>
      </w:r>
    </w:p>
    <w:p w14:paraId="228D41A0" w14:textId="77777777" w:rsidR="00DB7704" w:rsidRDefault="00DB7704" w:rsidP="00DB7704">
      <w:pPr>
        <w:numPr>
          <w:ilvl w:val="0"/>
          <w:numId w:val="13"/>
        </w:numPr>
        <w:jc w:val="both"/>
        <w:rPr>
          <w:iCs/>
          <w:color w:val="000000"/>
        </w:rPr>
      </w:pPr>
      <w:r>
        <w:rPr>
          <w:iCs/>
          <w:color w:val="000000"/>
        </w:rPr>
        <w:t xml:space="preserve">Ministrstvo za kohezijo in regionalni razvoj, </w:t>
      </w:r>
    </w:p>
    <w:p w14:paraId="201B613B" w14:textId="77777777" w:rsidR="00DB7704" w:rsidRPr="004643B0" w:rsidRDefault="00DB7704" w:rsidP="00DB7704">
      <w:pPr>
        <w:numPr>
          <w:ilvl w:val="0"/>
          <w:numId w:val="13"/>
        </w:numPr>
        <w:jc w:val="both"/>
        <w:rPr>
          <w:iCs/>
          <w:color w:val="000000"/>
        </w:rPr>
      </w:pPr>
      <w:r>
        <w:rPr>
          <w:iCs/>
          <w:color w:val="000000"/>
        </w:rPr>
        <w:t>Služba Vlade Republike Slovenije za zakonodajo.</w:t>
      </w:r>
    </w:p>
    <w:p w14:paraId="4CCDBAF1" w14:textId="77777777" w:rsidR="00264A13" w:rsidRDefault="00264A13" w:rsidP="004F3676">
      <w:pPr>
        <w:autoSpaceDE w:val="0"/>
        <w:autoSpaceDN w:val="0"/>
        <w:adjustRightInd w:val="0"/>
        <w:spacing w:line="276" w:lineRule="auto"/>
        <w:jc w:val="both"/>
        <w:rPr>
          <w:iCs/>
          <w:szCs w:val="20"/>
        </w:rPr>
      </w:pPr>
    </w:p>
    <w:p w14:paraId="0B897F47" w14:textId="77777777" w:rsidR="00A11F23" w:rsidRDefault="00341EBA" w:rsidP="00341EBA">
      <w:pPr>
        <w:tabs>
          <w:tab w:val="left" w:pos="1970"/>
        </w:tabs>
      </w:pPr>
      <w:r>
        <w:br w:type="page"/>
      </w:r>
    </w:p>
    <w:p w14:paraId="34E48476" w14:textId="3557DC73" w:rsidR="00A3507C" w:rsidRDefault="00DC408E" w:rsidP="00341EBA">
      <w:pPr>
        <w:tabs>
          <w:tab w:val="left" w:pos="1970"/>
        </w:tabs>
        <w:rPr>
          <w:b/>
          <w:szCs w:val="20"/>
        </w:rPr>
      </w:pPr>
      <w:r>
        <w:rPr>
          <w:rFonts w:cs="Arial"/>
        </w:rPr>
        <w:lastRenderedPageBreak/>
        <w:t>Informacija glede načrtovanih aktivnostih Ministrstva za gospodarstvo, turizem in šport</w:t>
      </w:r>
      <w:r w:rsidR="00FD109A">
        <w:rPr>
          <w:rFonts w:cs="Arial"/>
        </w:rPr>
        <w:t xml:space="preserve">, Ministrstva za kohezijo in regionalni razvoj </w:t>
      </w:r>
      <w:r>
        <w:rPr>
          <w:rFonts w:cs="Arial"/>
        </w:rPr>
        <w:t>ter Ministrstva za naravne vire in prostor pri izvedbi strateškega projekta umeščanja industrijsko - poslovnih con nacionalnega in regionalnega pomena preko izvedbe tematskega akcijskega programa in regionalnih prostorskih planov</w:t>
      </w:r>
    </w:p>
    <w:p w14:paraId="5DEBC569" w14:textId="77777777" w:rsidR="00D00C78" w:rsidRDefault="00D00C78" w:rsidP="00341EBA">
      <w:pPr>
        <w:tabs>
          <w:tab w:val="left" w:pos="1970"/>
        </w:tabs>
        <w:rPr>
          <w:b/>
          <w:szCs w:val="20"/>
        </w:rPr>
      </w:pPr>
    </w:p>
    <w:p w14:paraId="7041BBA4" w14:textId="77777777" w:rsidR="00BB0E08" w:rsidRDefault="00BB0E08" w:rsidP="00BB0E08">
      <w:pPr>
        <w:pStyle w:val="Poglavje"/>
        <w:widowControl w:val="0"/>
        <w:numPr>
          <w:ilvl w:val="0"/>
          <w:numId w:val="22"/>
        </w:numPr>
        <w:spacing w:before="0" w:after="0" w:line="260" w:lineRule="exact"/>
        <w:jc w:val="left"/>
        <w:rPr>
          <w:bCs/>
          <w:sz w:val="20"/>
          <w:szCs w:val="20"/>
        </w:rPr>
      </w:pPr>
      <w:r w:rsidRPr="00C01E3E">
        <w:rPr>
          <w:bCs/>
          <w:sz w:val="20"/>
          <w:szCs w:val="20"/>
        </w:rPr>
        <w:t>P</w:t>
      </w:r>
      <w:r>
        <w:rPr>
          <w:bCs/>
          <w:sz w:val="20"/>
          <w:szCs w:val="20"/>
        </w:rPr>
        <w:t>REDNOSTI GEOSTRATEŠKE LOKACIJE SLOVENIJE</w:t>
      </w:r>
    </w:p>
    <w:p w14:paraId="24C886C1" w14:textId="77777777" w:rsidR="00BB0E08" w:rsidRPr="00C648AB" w:rsidRDefault="00BB0E08" w:rsidP="00BB0E08">
      <w:pPr>
        <w:pStyle w:val="Poglavje"/>
        <w:widowControl w:val="0"/>
        <w:spacing w:before="0" w:after="0" w:line="260" w:lineRule="exact"/>
        <w:ind w:left="360"/>
        <w:jc w:val="left"/>
        <w:rPr>
          <w:bCs/>
          <w:sz w:val="20"/>
          <w:szCs w:val="20"/>
        </w:rPr>
      </w:pPr>
      <w:r w:rsidRPr="00C648AB">
        <w:rPr>
          <w:b w:val="0"/>
          <w:sz w:val="20"/>
          <w:szCs w:val="20"/>
        </w:rPr>
        <w:t xml:space="preserve"> </w:t>
      </w:r>
    </w:p>
    <w:p w14:paraId="3BE65D79" w14:textId="77777777" w:rsidR="00BB0E08" w:rsidRPr="00C01E3E" w:rsidRDefault="00BB0E08" w:rsidP="00BB0E08">
      <w:pPr>
        <w:pStyle w:val="Navadensplet"/>
        <w:jc w:val="both"/>
        <w:rPr>
          <w:rFonts w:ascii="Arial" w:hAnsi="Arial" w:cs="Arial"/>
          <w:sz w:val="20"/>
          <w:szCs w:val="20"/>
        </w:rPr>
      </w:pPr>
      <w:r w:rsidRPr="00C01E3E">
        <w:rPr>
          <w:rFonts w:ascii="Arial" w:hAnsi="Arial" w:cs="Arial"/>
          <w:sz w:val="20"/>
          <w:szCs w:val="20"/>
        </w:rPr>
        <w:t>Geostrateška lokacija Slovenije ima pomemben gospodarski pomen zaradi več dejavnikov, ki vključujejo njeno lego, prometno infrastrukturo in zgodovinske povezave, med drugim:</w:t>
      </w:r>
    </w:p>
    <w:p w14:paraId="0F9CD01D" w14:textId="77777777" w:rsidR="00BB0E08" w:rsidRDefault="00BB0E08" w:rsidP="00BB0E08">
      <w:pPr>
        <w:pStyle w:val="Naslov3"/>
        <w:jc w:val="both"/>
        <w:rPr>
          <w:rFonts w:ascii="Arial" w:eastAsia="Times New Roman" w:hAnsi="Arial" w:cs="Arial"/>
          <w:strike/>
          <w:color w:val="auto"/>
          <w:sz w:val="20"/>
          <w:szCs w:val="20"/>
          <w:lang w:eastAsia="sl-SI"/>
        </w:rPr>
      </w:pPr>
      <w:r>
        <w:rPr>
          <w:rFonts w:ascii="Arial" w:eastAsia="Times New Roman" w:hAnsi="Arial" w:cs="Arial"/>
          <w:color w:val="auto"/>
          <w:sz w:val="20"/>
          <w:szCs w:val="20"/>
          <w:lang w:eastAsia="sl-SI"/>
        </w:rPr>
        <w:t xml:space="preserve">- Križišče prometnih povezav in Evropskih koridorjev v smeri Sever – Jug in Vzhod – Zahod, kar predstavlja strateško lego za obvladovanje vseh tranzitnih tokov do skoraj vseh trgov Evropskega kontinenta in širše. </w:t>
      </w:r>
    </w:p>
    <w:p w14:paraId="0DE8A442" w14:textId="77777777" w:rsidR="00BB0E08" w:rsidRPr="00397976" w:rsidRDefault="00BB0E08" w:rsidP="00BB0E08">
      <w:pPr>
        <w:rPr>
          <w:lang w:eastAsia="sl-SI"/>
        </w:rPr>
      </w:pPr>
    </w:p>
    <w:p w14:paraId="30F22289" w14:textId="77777777" w:rsidR="00BB0E08" w:rsidRPr="00C01E3E" w:rsidRDefault="00BB0E08" w:rsidP="00BB0E08">
      <w:pPr>
        <w:pStyle w:val="Naslov3"/>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 xml:space="preserve">- </w:t>
      </w:r>
      <w:r w:rsidRPr="00C01E3E">
        <w:rPr>
          <w:rFonts w:ascii="Arial" w:eastAsia="Times New Roman" w:hAnsi="Arial" w:cs="Arial"/>
          <w:color w:val="auto"/>
          <w:sz w:val="20"/>
          <w:szCs w:val="20"/>
          <w:lang w:eastAsia="sl-SI"/>
        </w:rPr>
        <w:t>Prometni koridorji</w:t>
      </w:r>
    </w:p>
    <w:p w14:paraId="5423C234" w14:textId="77777777" w:rsidR="00BB0E08" w:rsidRPr="00C01E3E" w:rsidRDefault="00BB0E08" w:rsidP="00BB0E08">
      <w:pPr>
        <w:pStyle w:val="Navadensplet"/>
        <w:jc w:val="both"/>
        <w:rPr>
          <w:rFonts w:ascii="Arial" w:hAnsi="Arial" w:cs="Arial"/>
          <w:sz w:val="20"/>
          <w:szCs w:val="20"/>
        </w:rPr>
      </w:pPr>
      <w:r w:rsidRPr="00586E49">
        <w:rPr>
          <w:rFonts w:ascii="Arial" w:hAnsi="Arial" w:cs="Arial"/>
          <w:sz w:val="20"/>
          <w:szCs w:val="20"/>
        </w:rPr>
        <w:t>Trans-</w:t>
      </w:r>
      <w:proofErr w:type="spellStart"/>
      <w:r w:rsidRPr="00586E49">
        <w:rPr>
          <w:rFonts w:ascii="Arial" w:hAnsi="Arial" w:cs="Arial"/>
          <w:sz w:val="20"/>
          <w:szCs w:val="20"/>
        </w:rPr>
        <w:t>European</w:t>
      </w:r>
      <w:proofErr w:type="spellEnd"/>
      <w:r w:rsidRPr="00586E49">
        <w:rPr>
          <w:rFonts w:ascii="Arial" w:hAnsi="Arial" w:cs="Arial"/>
          <w:sz w:val="20"/>
          <w:szCs w:val="20"/>
        </w:rPr>
        <w:t xml:space="preserve"> Transport </w:t>
      </w:r>
      <w:proofErr w:type="spellStart"/>
      <w:r w:rsidRPr="00586E49">
        <w:rPr>
          <w:rFonts w:ascii="Arial" w:hAnsi="Arial" w:cs="Arial"/>
          <w:sz w:val="20"/>
          <w:szCs w:val="20"/>
        </w:rPr>
        <w:t>Network</w:t>
      </w:r>
      <w:proofErr w:type="spellEnd"/>
      <w:r>
        <w:rPr>
          <w:rFonts w:ascii="Arial" w:hAnsi="Arial" w:cs="Arial"/>
          <w:sz w:val="20"/>
          <w:szCs w:val="20"/>
        </w:rPr>
        <w:t xml:space="preserve"> (v nadaljevanju: TEN-T)</w:t>
      </w:r>
      <w:r w:rsidRPr="00586E49">
        <w:rPr>
          <w:rFonts w:ascii="Arial" w:hAnsi="Arial" w:cs="Arial"/>
          <w:sz w:val="20"/>
          <w:szCs w:val="20"/>
        </w:rPr>
        <w:t xml:space="preserve"> je evropska iniciativa za razvoj vseevropske prometne mreže, ki vključuje cestne, železniške, pomorske in letalske povezave. Slovensko ozemlje prečkajo trije pomembni koridorji iz tako imenovane </w:t>
      </w:r>
      <w:proofErr w:type="spellStart"/>
      <w:r w:rsidRPr="00586E49">
        <w:rPr>
          <w:rFonts w:ascii="Arial" w:hAnsi="Arial" w:cs="Arial"/>
          <w:b/>
          <w:bCs/>
          <w:sz w:val="20"/>
          <w:szCs w:val="20"/>
        </w:rPr>
        <w:t>Core</w:t>
      </w:r>
      <w:proofErr w:type="spellEnd"/>
      <w:r w:rsidRPr="00586E49">
        <w:rPr>
          <w:rFonts w:ascii="Arial" w:hAnsi="Arial" w:cs="Arial"/>
          <w:b/>
          <w:bCs/>
          <w:sz w:val="20"/>
          <w:szCs w:val="20"/>
        </w:rPr>
        <w:t xml:space="preserve"> </w:t>
      </w:r>
      <w:proofErr w:type="spellStart"/>
      <w:r w:rsidRPr="00586E49">
        <w:rPr>
          <w:rFonts w:ascii="Arial" w:hAnsi="Arial" w:cs="Arial"/>
          <w:b/>
          <w:bCs/>
          <w:sz w:val="20"/>
          <w:szCs w:val="20"/>
        </w:rPr>
        <w:t>Network</w:t>
      </w:r>
      <w:proofErr w:type="spellEnd"/>
      <w:r w:rsidRPr="00586E49">
        <w:rPr>
          <w:rFonts w:ascii="Arial" w:hAnsi="Arial" w:cs="Arial"/>
          <w:sz w:val="20"/>
          <w:szCs w:val="20"/>
        </w:rPr>
        <w:t>, ki je osrednji del tega omrežja</w:t>
      </w:r>
      <w:r>
        <w:rPr>
          <w:rFonts w:ascii="Arial" w:hAnsi="Arial" w:cs="Arial"/>
          <w:sz w:val="20"/>
          <w:szCs w:val="20"/>
        </w:rPr>
        <w:t xml:space="preserve"> (Baltsko - Jadranski, Mediteranski in Z</w:t>
      </w:r>
      <w:r w:rsidRPr="00586E49">
        <w:rPr>
          <w:rFonts w:ascii="Arial" w:hAnsi="Arial" w:cs="Arial"/>
          <w:sz w:val="20"/>
          <w:szCs w:val="20"/>
        </w:rPr>
        <w:t>ahodno</w:t>
      </w:r>
      <w:r>
        <w:rPr>
          <w:rFonts w:ascii="Arial" w:hAnsi="Arial" w:cs="Arial"/>
          <w:sz w:val="20"/>
          <w:szCs w:val="20"/>
        </w:rPr>
        <w:t xml:space="preserve"> </w:t>
      </w:r>
      <w:r w:rsidRPr="00586E49">
        <w:rPr>
          <w:rFonts w:ascii="Arial" w:hAnsi="Arial" w:cs="Arial"/>
          <w:sz w:val="20"/>
          <w:szCs w:val="20"/>
        </w:rPr>
        <w:t xml:space="preserve">balkanski </w:t>
      </w:r>
      <w:r>
        <w:rPr>
          <w:rFonts w:ascii="Arial" w:hAnsi="Arial" w:cs="Arial"/>
          <w:sz w:val="20"/>
          <w:szCs w:val="20"/>
        </w:rPr>
        <w:t xml:space="preserve">– Vzhodno Mediteranski </w:t>
      </w:r>
      <w:r w:rsidRPr="00586E49">
        <w:rPr>
          <w:rFonts w:ascii="Arial" w:hAnsi="Arial" w:cs="Arial"/>
          <w:sz w:val="20"/>
          <w:szCs w:val="20"/>
        </w:rPr>
        <w:t>koridor</w:t>
      </w:r>
      <w:r>
        <w:rPr>
          <w:rFonts w:ascii="Arial" w:hAnsi="Arial" w:cs="Arial"/>
          <w:sz w:val="20"/>
          <w:szCs w:val="20"/>
        </w:rPr>
        <w:t>)</w:t>
      </w:r>
      <w:r w:rsidRPr="00586E49">
        <w:rPr>
          <w:rFonts w:ascii="Arial" w:hAnsi="Arial" w:cs="Arial"/>
          <w:sz w:val="20"/>
          <w:szCs w:val="20"/>
        </w:rPr>
        <w:t>. Ti koridorji so ključni za povezovanje evropskih držav in regij</w:t>
      </w:r>
      <w:r>
        <w:rPr>
          <w:rFonts w:ascii="Arial" w:hAnsi="Arial" w:cs="Arial"/>
          <w:sz w:val="20"/>
          <w:szCs w:val="20"/>
        </w:rPr>
        <w:t>.</w:t>
      </w:r>
    </w:p>
    <w:p w14:paraId="7ADE15F6" w14:textId="5CAA1B95" w:rsidR="00BB0E08" w:rsidRPr="00C01E3E" w:rsidRDefault="00BB0E08" w:rsidP="00BB0E08">
      <w:pPr>
        <w:pStyle w:val="Naslov3"/>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 xml:space="preserve">- </w:t>
      </w:r>
      <w:r w:rsidR="00E41129">
        <w:rPr>
          <w:rFonts w:ascii="Arial" w:eastAsia="Times New Roman" w:hAnsi="Arial" w:cs="Arial"/>
          <w:color w:val="auto"/>
          <w:sz w:val="20"/>
          <w:szCs w:val="20"/>
          <w:lang w:eastAsia="sl-SI"/>
        </w:rPr>
        <w:t>Pristanišče</w:t>
      </w:r>
      <w:r>
        <w:rPr>
          <w:rFonts w:ascii="Arial" w:eastAsia="Times New Roman" w:hAnsi="Arial" w:cs="Arial"/>
          <w:color w:val="auto"/>
          <w:sz w:val="20"/>
          <w:szCs w:val="20"/>
          <w:lang w:eastAsia="sl-SI"/>
        </w:rPr>
        <w:t xml:space="preserve"> Koper</w:t>
      </w:r>
    </w:p>
    <w:p w14:paraId="34FD6CBD" w14:textId="2F9ADFEF" w:rsidR="00BB0E08" w:rsidRPr="00EB5D64" w:rsidRDefault="00BB0E08" w:rsidP="00BB0E08">
      <w:pPr>
        <w:pStyle w:val="Navadensplet"/>
        <w:jc w:val="both"/>
        <w:rPr>
          <w:rFonts w:ascii="Arial" w:hAnsi="Arial" w:cs="Arial"/>
          <w:sz w:val="20"/>
          <w:szCs w:val="20"/>
        </w:rPr>
      </w:pPr>
      <w:r>
        <w:rPr>
          <w:rFonts w:ascii="Arial" w:hAnsi="Arial" w:cs="Arial"/>
          <w:sz w:val="20"/>
          <w:szCs w:val="20"/>
        </w:rPr>
        <w:t>Koprsko pristanišče</w:t>
      </w:r>
      <w:r w:rsidRPr="00EB5D64">
        <w:rPr>
          <w:rFonts w:ascii="Arial" w:hAnsi="Arial" w:cs="Arial"/>
          <w:sz w:val="20"/>
          <w:szCs w:val="20"/>
        </w:rPr>
        <w:t xml:space="preserve"> je en</w:t>
      </w:r>
      <w:r w:rsidR="00DC408E">
        <w:rPr>
          <w:rFonts w:ascii="Arial" w:hAnsi="Arial" w:cs="Arial"/>
          <w:sz w:val="20"/>
          <w:szCs w:val="20"/>
        </w:rPr>
        <w:t>o</w:t>
      </w:r>
      <w:r w:rsidRPr="00EB5D64">
        <w:rPr>
          <w:rFonts w:ascii="Arial" w:hAnsi="Arial" w:cs="Arial"/>
          <w:sz w:val="20"/>
          <w:szCs w:val="20"/>
        </w:rPr>
        <w:t xml:space="preserve"> izmed najpomembnejših pristanišč v severnem Jadranu. </w:t>
      </w:r>
      <w:proofErr w:type="spellStart"/>
      <w:r w:rsidRPr="00EB5D64">
        <w:rPr>
          <w:rFonts w:ascii="Arial" w:hAnsi="Arial" w:cs="Arial"/>
          <w:sz w:val="20"/>
          <w:szCs w:val="20"/>
        </w:rPr>
        <w:t>Nje</w:t>
      </w:r>
      <w:r w:rsidR="00CF603A">
        <w:rPr>
          <w:rFonts w:ascii="Arial" w:hAnsi="Arial" w:cs="Arial"/>
          <w:sz w:val="20"/>
          <w:szCs w:val="20"/>
        </w:rPr>
        <w:t>gova</w:t>
      </w:r>
      <w:r w:rsidRPr="00EB5D64">
        <w:rPr>
          <w:rFonts w:ascii="Arial" w:hAnsi="Arial" w:cs="Arial"/>
          <w:sz w:val="20"/>
          <w:szCs w:val="20"/>
        </w:rPr>
        <w:t>a</w:t>
      </w:r>
      <w:proofErr w:type="spellEnd"/>
      <w:r w:rsidRPr="00EB5D64">
        <w:rPr>
          <w:rFonts w:ascii="Arial" w:hAnsi="Arial" w:cs="Arial"/>
          <w:sz w:val="20"/>
          <w:szCs w:val="20"/>
        </w:rPr>
        <w:t xml:space="preserve"> geografska lega omogoča hitro povezavo z </w:t>
      </w:r>
      <w:r>
        <w:rPr>
          <w:rFonts w:ascii="Arial" w:hAnsi="Arial" w:cs="Arial"/>
          <w:sz w:val="20"/>
          <w:szCs w:val="20"/>
        </w:rPr>
        <w:t xml:space="preserve">zalednimi trgi </w:t>
      </w:r>
      <w:r w:rsidRPr="00EB5D64">
        <w:rPr>
          <w:rFonts w:ascii="Arial" w:hAnsi="Arial" w:cs="Arial"/>
          <w:sz w:val="20"/>
          <w:szCs w:val="20"/>
        </w:rPr>
        <w:t>osrednj</w:t>
      </w:r>
      <w:r>
        <w:rPr>
          <w:rFonts w:ascii="Arial" w:hAnsi="Arial" w:cs="Arial"/>
          <w:sz w:val="20"/>
          <w:szCs w:val="20"/>
        </w:rPr>
        <w:t>e</w:t>
      </w:r>
      <w:r w:rsidRPr="00EB5D64">
        <w:rPr>
          <w:rFonts w:ascii="Arial" w:hAnsi="Arial" w:cs="Arial"/>
          <w:sz w:val="20"/>
          <w:szCs w:val="20"/>
        </w:rPr>
        <w:t xml:space="preserve"> Evrop</w:t>
      </w:r>
      <w:r>
        <w:rPr>
          <w:rFonts w:ascii="Arial" w:hAnsi="Arial" w:cs="Arial"/>
          <w:sz w:val="20"/>
          <w:szCs w:val="20"/>
        </w:rPr>
        <w:t>e</w:t>
      </w:r>
      <w:r w:rsidRPr="00EB5D64">
        <w:rPr>
          <w:rFonts w:ascii="Arial" w:hAnsi="Arial" w:cs="Arial"/>
          <w:sz w:val="20"/>
          <w:szCs w:val="20"/>
        </w:rPr>
        <w:t xml:space="preserve">, kar je še posebej pomembno za pretovor blaga, vključno s kontejnerji, avtomobili in </w:t>
      </w:r>
      <w:r>
        <w:rPr>
          <w:rFonts w:ascii="Arial" w:hAnsi="Arial" w:cs="Arial"/>
          <w:sz w:val="20"/>
          <w:szCs w:val="20"/>
        </w:rPr>
        <w:t xml:space="preserve">ostalimi konvencionalnimi </w:t>
      </w:r>
      <w:r w:rsidRPr="00EB5D64">
        <w:rPr>
          <w:rFonts w:ascii="Arial" w:hAnsi="Arial" w:cs="Arial"/>
          <w:sz w:val="20"/>
          <w:szCs w:val="20"/>
        </w:rPr>
        <w:t>tovori.</w:t>
      </w:r>
    </w:p>
    <w:p w14:paraId="79415790" w14:textId="77777777" w:rsidR="00BB0E08" w:rsidRPr="00EB5D64" w:rsidRDefault="00BB0E08" w:rsidP="00BB0E08">
      <w:pPr>
        <w:pStyle w:val="Naslov3"/>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 xml:space="preserve">- </w:t>
      </w:r>
      <w:r w:rsidRPr="00EB5D64">
        <w:rPr>
          <w:rFonts w:ascii="Arial" w:eastAsia="Times New Roman" w:hAnsi="Arial" w:cs="Arial"/>
          <w:color w:val="auto"/>
          <w:sz w:val="20"/>
          <w:szCs w:val="20"/>
          <w:lang w:eastAsia="sl-SI"/>
        </w:rPr>
        <w:t>Železniška in cestna infrastruktura</w:t>
      </w:r>
    </w:p>
    <w:p w14:paraId="0B406A3F" w14:textId="50A0502C" w:rsidR="00137AA2" w:rsidRPr="00EB5D64" w:rsidRDefault="00BB0E08" w:rsidP="00BB0E08">
      <w:pPr>
        <w:pStyle w:val="Navadensplet"/>
        <w:jc w:val="both"/>
        <w:rPr>
          <w:rFonts w:ascii="Arial" w:hAnsi="Arial" w:cs="Arial"/>
          <w:sz w:val="20"/>
          <w:szCs w:val="20"/>
        </w:rPr>
      </w:pPr>
      <w:r w:rsidRPr="00EB5D64">
        <w:rPr>
          <w:rFonts w:ascii="Arial" w:hAnsi="Arial" w:cs="Arial"/>
          <w:sz w:val="20"/>
          <w:szCs w:val="20"/>
        </w:rPr>
        <w:t xml:space="preserve">Slovenija </w:t>
      </w:r>
      <w:r w:rsidR="00137AA2">
        <w:rPr>
          <w:rFonts w:ascii="Arial" w:hAnsi="Arial" w:cs="Arial"/>
          <w:sz w:val="20"/>
          <w:szCs w:val="20"/>
        </w:rPr>
        <w:t xml:space="preserve">se prizadeva za </w:t>
      </w:r>
      <w:r w:rsidRPr="00EB5D64">
        <w:rPr>
          <w:rFonts w:ascii="Arial" w:hAnsi="Arial" w:cs="Arial"/>
          <w:sz w:val="20"/>
          <w:szCs w:val="20"/>
        </w:rPr>
        <w:t>dobro razvito železniško in cestno infrastrukturo, k</w:t>
      </w:r>
      <w:r w:rsidR="00137AA2">
        <w:rPr>
          <w:rFonts w:ascii="Arial" w:hAnsi="Arial" w:cs="Arial"/>
          <w:sz w:val="20"/>
          <w:szCs w:val="20"/>
        </w:rPr>
        <w:t>ar</w:t>
      </w:r>
      <w:r w:rsidRPr="00EB5D64">
        <w:rPr>
          <w:rFonts w:ascii="Arial" w:hAnsi="Arial" w:cs="Arial"/>
          <w:sz w:val="20"/>
          <w:szCs w:val="20"/>
        </w:rPr>
        <w:t xml:space="preserve"> omogoča učinkovito povezavo z drugimi evropskimi državami. Modernizacija teh omrežij prispeva k večji konkurenčnosti slovenskega gospodarstva in omogoča hitrejši prevoz blaga.</w:t>
      </w:r>
    </w:p>
    <w:p w14:paraId="71AC9E15" w14:textId="77777777" w:rsidR="00BB0E08" w:rsidRPr="00EB5D64" w:rsidRDefault="00BB0E08" w:rsidP="00BB0E08">
      <w:pPr>
        <w:pStyle w:val="Naslov3"/>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w:t>
      </w:r>
      <w:r w:rsidRPr="00EB5D64">
        <w:rPr>
          <w:rFonts w:ascii="Arial" w:eastAsia="Times New Roman" w:hAnsi="Arial" w:cs="Arial"/>
          <w:color w:val="auto"/>
          <w:sz w:val="20"/>
          <w:szCs w:val="20"/>
          <w:lang w:eastAsia="sl-SI"/>
        </w:rPr>
        <w:t>Trgovinske povezave</w:t>
      </w:r>
    </w:p>
    <w:p w14:paraId="06397847" w14:textId="77777777" w:rsidR="00BB0E08" w:rsidRPr="00EB5D64" w:rsidRDefault="00BB0E08" w:rsidP="00BB0E08">
      <w:pPr>
        <w:pStyle w:val="Navadensplet"/>
        <w:jc w:val="both"/>
        <w:rPr>
          <w:rFonts w:ascii="Arial" w:hAnsi="Arial" w:cs="Arial"/>
          <w:sz w:val="20"/>
          <w:szCs w:val="20"/>
        </w:rPr>
      </w:pPr>
      <w:r w:rsidRPr="00EB5D64">
        <w:rPr>
          <w:rFonts w:ascii="Arial" w:hAnsi="Arial" w:cs="Arial"/>
          <w:sz w:val="20"/>
          <w:szCs w:val="20"/>
        </w:rPr>
        <w:t>Zaradi svoje lege Slovenija igra pomembno vlogo v mednarodni trgovini, saj je tranzitna točka za izvoz in uvoz blaga med Evropo in drugimi regijami. To spodbuja razvoj logističnih in transportnih storitev, ki so ključne za slovensko gospodarstvo.</w:t>
      </w:r>
    </w:p>
    <w:p w14:paraId="65C7FDF4" w14:textId="77777777" w:rsidR="00BB0E08" w:rsidRPr="00EB5D64" w:rsidRDefault="00BB0E08" w:rsidP="00BB0E08">
      <w:pPr>
        <w:pStyle w:val="Naslov3"/>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 xml:space="preserve">- </w:t>
      </w:r>
      <w:r w:rsidRPr="00EB5D64">
        <w:rPr>
          <w:rFonts w:ascii="Arial" w:eastAsia="Times New Roman" w:hAnsi="Arial" w:cs="Arial"/>
          <w:color w:val="auto"/>
          <w:sz w:val="20"/>
          <w:szCs w:val="20"/>
          <w:lang w:eastAsia="sl-SI"/>
        </w:rPr>
        <w:t>Regionalno sodelovanje</w:t>
      </w:r>
    </w:p>
    <w:p w14:paraId="44666264" w14:textId="590B7DF2" w:rsidR="00BB0E08" w:rsidRPr="00EB5D64" w:rsidRDefault="00BB0E08" w:rsidP="00BB0E08">
      <w:pPr>
        <w:pStyle w:val="Navadensplet"/>
        <w:jc w:val="both"/>
        <w:rPr>
          <w:rFonts w:ascii="Arial" w:hAnsi="Arial" w:cs="Arial"/>
          <w:sz w:val="20"/>
          <w:szCs w:val="20"/>
        </w:rPr>
      </w:pPr>
      <w:r w:rsidRPr="00EB5D64">
        <w:rPr>
          <w:rFonts w:ascii="Arial" w:hAnsi="Arial" w:cs="Arial"/>
          <w:sz w:val="20"/>
          <w:szCs w:val="20"/>
        </w:rPr>
        <w:t xml:space="preserve">Slovenija je članica Evropske unije, kar ji omogoča dostop do enotnega trga in </w:t>
      </w:r>
      <w:r>
        <w:rPr>
          <w:rFonts w:ascii="Arial" w:hAnsi="Arial" w:cs="Arial"/>
          <w:sz w:val="20"/>
          <w:szCs w:val="20"/>
        </w:rPr>
        <w:t xml:space="preserve">koriščenje EU sredstev preko </w:t>
      </w:r>
      <w:r w:rsidRPr="00EB5D64">
        <w:rPr>
          <w:rFonts w:ascii="Arial" w:hAnsi="Arial" w:cs="Arial"/>
          <w:sz w:val="20"/>
          <w:szCs w:val="20"/>
        </w:rPr>
        <w:t xml:space="preserve">strukturnih skladov. Poleg tega sodeluje v </w:t>
      </w:r>
      <w:r>
        <w:rPr>
          <w:rFonts w:ascii="Arial" w:hAnsi="Arial" w:cs="Arial"/>
          <w:sz w:val="20"/>
          <w:szCs w:val="20"/>
        </w:rPr>
        <w:t xml:space="preserve">številnih </w:t>
      </w:r>
      <w:r w:rsidRPr="00EB5D64">
        <w:rPr>
          <w:rFonts w:ascii="Arial" w:hAnsi="Arial" w:cs="Arial"/>
          <w:sz w:val="20"/>
          <w:szCs w:val="20"/>
        </w:rPr>
        <w:t xml:space="preserve">regionalnih iniciativah, kot </w:t>
      </w:r>
      <w:r>
        <w:rPr>
          <w:rFonts w:ascii="Arial" w:hAnsi="Arial" w:cs="Arial"/>
          <w:sz w:val="20"/>
          <w:szCs w:val="20"/>
        </w:rPr>
        <w:t>sta npr</w:t>
      </w:r>
      <w:r w:rsidR="006D250D">
        <w:rPr>
          <w:rFonts w:ascii="Arial" w:hAnsi="Arial" w:cs="Arial"/>
          <w:sz w:val="20"/>
          <w:szCs w:val="20"/>
        </w:rPr>
        <w:t>.</w:t>
      </w:r>
      <w:r>
        <w:rPr>
          <w:rFonts w:ascii="Arial" w:hAnsi="Arial" w:cs="Arial"/>
          <w:sz w:val="20"/>
          <w:szCs w:val="20"/>
        </w:rPr>
        <w:t xml:space="preserve"> alpska in jadransko- jonska </w:t>
      </w:r>
      <w:r w:rsidRPr="00EB5D64">
        <w:rPr>
          <w:rFonts w:ascii="Arial" w:hAnsi="Arial" w:cs="Arial"/>
          <w:sz w:val="20"/>
          <w:szCs w:val="20"/>
        </w:rPr>
        <w:t>regija, kar krepi gospodarske vezi z okoliškimi državami.</w:t>
      </w:r>
    </w:p>
    <w:p w14:paraId="26D96D9F" w14:textId="77777777" w:rsidR="00BB0E08" w:rsidRPr="00EB5D64" w:rsidRDefault="00BB0E08" w:rsidP="00BB0E08">
      <w:pPr>
        <w:pStyle w:val="Naslov3"/>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 xml:space="preserve">- </w:t>
      </w:r>
      <w:r w:rsidRPr="00EB5D64">
        <w:rPr>
          <w:rFonts w:ascii="Arial" w:eastAsia="Times New Roman" w:hAnsi="Arial" w:cs="Arial"/>
          <w:color w:val="auto"/>
          <w:sz w:val="20"/>
          <w:szCs w:val="20"/>
          <w:lang w:eastAsia="sl-SI"/>
        </w:rPr>
        <w:t xml:space="preserve">Privlačnost za </w:t>
      </w:r>
      <w:r>
        <w:rPr>
          <w:rFonts w:ascii="Arial" w:eastAsia="Times New Roman" w:hAnsi="Arial" w:cs="Arial"/>
          <w:color w:val="auto"/>
          <w:sz w:val="20"/>
          <w:szCs w:val="20"/>
          <w:lang w:eastAsia="sl-SI"/>
        </w:rPr>
        <w:t xml:space="preserve">neposredne </w:t>
      </w:r>
      <w:r w:rsidRPr="00EB5D64">
        <w:rPr>
          <w:rFonts w:ascii="Arial" w:eastAsia="Times New Roman" w:hAnsi="Arial" w:cs="Arial"/>
          <w:color w:val="auto"/>
          <w:sz w:val="20"/>
          <w:szCs w:val="20"/>
          <w:lang w:eastAsia="sl-SI"/>
        </w:rPr>
        <w:t>tuje investicije</w:t>
      </w:r>
    </w:p>
    <w:p w14:paraId="7E4F37B0" w14:textId="77777777" w:rsidR="00BB0E08" w:rsidRPr="00EB5D64" w:rsidRDefault="00BB0E08" w:rsidP="00BB0E08">
      <w:pPr>
        <w:pStyle w:val="Navadensplet"/>
        <w:jc w:val="both"/>
        <w:rPr>
          <w:rFonts w:ascii="Arial" w:hAnsi="Arial" w:cs="Arial"/>
          <w:sz w:val="20"/>
          <w:szCs w:val="20"/>
        </w:rPr>
      </w:pPr>
      <w:r w:rsidRPr="00EB5D64">
        <w:rPr>
          <w:rFonts w:ascii="Arial" w:hAnsi="Arial" w:cs="Arial"/>
          <w:sz w:val="20"/>
          <w:szCs w:val="20"/>
        </w:rPr>
        <w:t>Geostrateška lega, dobra infrastruktura in politična stabilnost</w:t>
      </w:r>
      <w:r>
        <w:rPr>
          <w:rFonts w:ascii="Arial" w:hAnsi="Arial" w:cs="Arial"/>
          <w:sz w:val="20"/>
          <w:szCs w:val="20"/>
        </w:rPr>
        <w:t xml:space="preserve"> dvigujejo</w:t>
      </w:r>
      <w:r w:rsidRPr="00EB5D64">
        <w:rPr>
          <w:rFonts w:ascii="Arial" w:hAnsi="Arial" w:cs="Arial"/>
          <w:sz w:val="20"/>
          <w:szCs w:val="20"/>
        </w:rPr>
        <w:t xml:space="preserve"> </w:t>
      </w:r>
      <w:r>
        <w:rPr>
          <w:rFonts w:ascii="Arial" w:hAnsi="Arial" w:cs="Arial"/>
          <w:sz w:val="20"/>
          <w:szCs w:val="20"/>
        </w:rPr>
        <w:t xml:space="preserve">privlačnost </w:t>
      </w:r>
      <w:r w:rsidRPr="00EB5D64">
        <w:rPr>
          <w:rFonts w:ascii="Arial" w:hAnsi="Arial" w:cs="Arial"/>
          <w:sz w:val="20"/>
          <w:szCs w:val="20"/>
        </w:rPr>
        <w:t>Slovenij</w:t>
      </w:r>
      <w:r>
        <w:rPr>
          <w:rFonts w:ascii="Arial" w:hAnsi="Arial" w:cs="Arial"/>
          <w:sz w:val="20"/>
          <w:szCs w:val="20"/>
        </w:rPr>
        <w:t xml:space="preserve">e </w:t>
      </w:r>
      <w:r w:rsidRPr="00EB5D64">
        <w:rPr>
          <w:rFonts w:ascii="Arial" w:hAnsi="Arial" w:cs="Arial"/>
          <w:sz w:val="20"/>
          <w:szCs w:val="20"/>
        </w:rPr>
        <w:t>za tuje investitorje. Številna mednarodna podjetja so ustanovila podružnice ali proizvodne obrate v Sloveniji, kar prispeva k ustvarjanju delovnih mest in gospodarskemu razvoju.</w:t>
      </w:r>
    </w:p>
    <w:p w14:paraId="40184D5A" w14:textId="77777777" w:rsidR="00BB0E08" w:rsidRDefault="00BB0E08" w:rsidP="00BB0E08">
      <w:pPr>
        <w:jc w:val="both"/>
        <w:rPr>
          <w:rFonts w:cs="Arial"/>
          <w:noProof/>
          <w:szCs w:val="20"/>
          <w:lang w:eastAsia="ar-SA"/>
        </w:rPr>
      </w:pPr>
    </w:p>
    <w:p w14:paraId="7F5C5D9E" w14:textId="77777777" w:rsidR="00BB0E08" w:rsidRPr="008C3724" w:rsidRDefault="00BB0E08" w:rsidP="00BB0E08">
      <w:pPr>
        <w:pStyle w:val="Odstavekseznama"/>
        <w:numPr>
          <w:ilvl w:val="0"/>
          <w:numId w:val="22"/>
        </w:numPr>
        <w:spacing w:after="0" w:line="240" w:lineRule="auto"/>
        <w:contextualSpacing w:val="0"/>
        <w:jc w:val="both"/>
        <w:rPr>
          <w:rFonts w:ascii="Arial" w:hAnsi="Arial" w:cs="Arial"/>
          <w:b/>
          <w:bCs/>
          <w:noProof/>
          <w:sz w:val="20"/>
          <w:szCs w:val="20"/>
          <w:lang w:eastAsia="ar-SA"/>
        </w:rPr>
      </w:pPr>
      <w:r w:rsidRPr="008C3724">
        <w:rPr>
          <w:rFonts w:ascii="Arial" w:hAnsi="Arial" w:cs="Arial"/>
          <w:b/>
          <w:bCs/>
          <w:noProof/>
          <w:sz w:val="20"/>
          <w:szCs w:val="20"/>
          <w:lang w:eastAsia="ar-SA"/>
        </w:rPr>
        <w:t>P</w:t>
      </w:r>
      <w:r>
        <w:rPr>
          <w:rFonts w:ascii="Arial" w:hAnsi="Arial" w:cs="Arial"/>
          <w:b/>
          <w:bCs/>
          <w:noProof/>
          <w:sz w:val="20"/>
          <w:szCs w:val="20"/>
          <w:lang w:eastAsia="ar-SA"/>
        </w:rPr>
        <w:t xml:space="preserve">OMEN STRATEŠKIH INDUSTRIJSKO - POSLOVNIH CON NACIONALNEGA IN REGIONALNEGA POMENA </w:t>
      </w:r>
    </w:p>
    <w:p w14:paraId="15807422" w14:textId="77777777" w:rsidR="00BB0E08" w:rsidRDefault="00BB0E08" w:rsidP="00BB0E08">
      <w:pPr>
        <w:jc w:val="both"/>
        <w:rPr>
          <w:rFonts w:cs="Arial"/>
          <w:noProof/>
          <w:szCs w:val="20"/>
          <w:lang w:eastAsia="ar-SA"/>
        </w:rPr>
      </w:pPr>
    </w:p>
    <w:p w14:paraId="7BF3E808" w14:textId="77777777" w:rsidR="00BB0E08" w:rsidRDefault="00BB0E08" w:rsidP="00BB0E08">
      <w:pPr>
        <w:jc w:val="both"/>
        <w:rPr>
          <w:rFonts w:cs="Arial"/>
          <w:noProof/>
          <w:szCs w:val="20"/>
          <w:lang w:eastAsia="ar-SA"/>
        </w:rPr>
      </w:pPr>
      <w:r>
        <w:rPr>
          <w:rFonts w:cs="Arial"/>
          <w:noProof/>
          <w:szCs w:val="20"/>
          <w:lang w:eastAsia="ar-SA"/>
        </w:rPr>
        <w:t>Zaradi izjemnega geostrateškega položaja Slovenije in stopnje mednarodne povezanosti prometnega omrežja ima Slovenija potencial za razvoj v logistično središče za Srednjo in Vzhodno Evropo. To lahko zajema vrsto industrijskih kot tudi logističnih dejavnosti.</w:t>
      </w:r>
    </w:p>
    <w:p w14:paraId="57197723" w14:textId="638DA9EA" w:rsidR="00BB0E08" w:rsidRDefault="00BB0E08" w:rsidP="00BB0E08">
      <w:pPr>
        <w:jc w:val="both"/>
        <w:rPr>
          <w:rFonts w:cs="Arial"/>
          <w:noProof/>
          <w:szCs w:val="20"/>
          <w:lang w:eastAsia="ar-SA"/>
        </w:rPr>
      </w:pPr>
      <w:r>
        <w:rPr>
          <w:rFonts w:cs="Arial"/>
          <w:noProof/>
          <w:szCs w:val="20"/>
          <w:lang w:eastAsia="ar-SA"/>
        </w:rPr>
        <w:t xml:space="preserve">Z načrtnim nacionalnim razvojem </w:t>
      </w:r>
      <w:r w:rsidRPr="003B60B0">
        <w:rPr>
          <w:rFonts w:cs="Arial"/>
          <w:noProof/>
          <w:szCs w:val="20"/>
          <w:lang w:eastAsia="ar-SA"/>
        </w:rPr>
        <w:t>strateških  industrijsko-poslovnih con</w:t>
      </w:r>
      <w:r>
        <w:rPr>
          <w:rFonts w:cs="Arial"/>
          <w:noProof/>
          <w:szCs w:val="20"/>
          <w:lang w:eastAsia="ar-SA"/>
        </w:rPr>
        <w:t xml:space="preserve"> nacionalnega pomena, želimo spodbuditi umeščanje ključnih industrijskih in logističnih dejavnosti </w:t>
      </w:r>
      <w:r w:rsidR="00E41129">
        <w:rPr>
          <w:rFonts w:cs="Arial"/>
          <w:noProof/>
          <w:szCs w:val="20"/>
          <w:lang w:eastAsia="ar-SA"/>
        </w:rPr>
        <w:t xml:space="preserve">v okviru širših mestnih območij </w:t>
      </w:r>
      <w:r>
        <w:rPr>
          <w:rFonts w:cs="Arial"/>
          <w:noProof/>
          <w:szCs w:val="20"/>
          <w:lang w:eastAsia="ar-SA"/>
        </w:rPr>
        <w:t xml:space="preserve">, razviti upravljalske in razvojne funkcije, privabiti in razviti nove investicije v gospodarske dejavnosti, ustvariti nova delovna mesta v različnih slovenskih regijah, prispevati k povečanju produktivnosti, digitalizacije, robotizacije in avtomatizacije dejavnosti, umeščenih v pametno mrežo industrijskih in </w:t>
      </w:r>
      <w:r>
        <w:rPr>
          <w:rFonts w:cs="Arial"/>
          <w:noProof/>
          <w:szCs w:val="20"/>
          <w:lang w:eastAsia="ar-SA"/>
        </w:rPr>
        <w:lastRenderedPageBreak/>
        <w:t>logističnih dejavnosti. Ocenjujemo, da bi vzporedno s postopki umeščanja teh con razvili tudi ustrezne modele upravljanja teh con, predvsem v smislu t.i. razvojne funkcije in pritegnitvijo ustreznih deležnikov (t.i.«developerjev), saj se pogosto prav upravljanje teh con izkazuje kot  negativni  oziroma zaviralni dejavnik.</w:t>
      </w:r>
    </w:p>
    <w:p w14:paraId="06FC59DA" w14:textId="77777777" w:rsidR="00BB0E08" w:rsidRDefault="00BB0E08" w:rsidP="00BB0E08">
      <w:pPr>
        <w:jc w:val="both"/>
        <w:rPr>
          <w:rFonts w:cs="Arial"/>
          <w:noProof/>
          <w:szCs w:val="20"/>
          <w:lang w:eastAsia="ar-SA"/>
        </w:rPr>
      </w:pPr>
    </w:p>
    <w:p w14:paraId="1A0FB566" w14:textId="2D8C8658" w:rsidR="00BB0E08" w:rsidRPr="00D91C6C" w:rsidRDefault="00BB0E08" w:rsidP="00BB0E08">
      <w:pPr>
        <w:jc w:val="both"/>
        <w:rPr>
          <w:rFonts w:cs="Arial"/>
          <w:noProof/>
          <w:szCs w:val="20"/>
          <w:lang w:eastAsia="ar-SA"/>
        </w:rPr>
      </w:pPr>
      <w:r w:rsidRPr="00D91C6C">
        <w:rPr>
          <w:rFonts w:cs="Arial"/>
          <w:noProof/>
          <w:szCs w:val="20"/>
          <w:lang w:eastAsia="ar-SA"/>
        </w:rPr>
        <w:t xml:space="preserve">Namen projekta umeščanja in upravljanja </w:t>
      </w:r>
      <w:r>
        <w:rPr>
          <w:rFonts w:cs="Arial"/>
          <w:noProof/>
          <w:szCs w:val="20"/>
          <w:lang w:eastAsia="ar-SA"/>
        </w:rPr>
        <w:t>industrijsko-poslovnih</w:t>
      </w:r>
      <w:r w:rsidRPr="00D91C6C">
        <w:rPr>
          <w:rFonts w:cs="Arial"/>
          <w:noProof/>
          <w:szCs w:val="20"/>
          <w:lang w:eastAsia="ar-SA"/>
        </w:rPr>
        <w:t xml:space="preserve"> con </w:t>
      </w:r>
      <w:r>
        <w:rPr>
          <w:rFonts w:cs="Arial"/>
          <w:noProof/>
          <w:szCs w:val="20"/>
          <w:lang w:eastAsia="ar-SA"/>
        </w:rPr>
        <w:t xml:space="preserve">nacionalnega pomena </w:t>
      </w:r>
      <w:r w:rsidRPr="00D91C6C">
        <w:rPr>
          <w:rFonts w:cs="Arial"/>
          <w:noProof/>
          <w:szCs w:val="20"/>
          <w:lang w:eastAsia="ar-SA"/>
        </w:rPr>
        <w:t xml:space="preserve">je </w:t>
      </w:r>
      <w:r>
        <w:rPr>
          <w:rFonts w:cs="Arial"/>
          <w:noProof/>
          <w:szCs w:val="20"/>
          <w:lang w:eastAsia="ar-SA"/>
        </w:rPr>
        <w:t xml:space="preserve">izvedba </w:t>
      </w:r>
      <w:r w:rsidRPr="00D91C6C">
        <w:rPr>
          <w:rFonts w:cs="Arial"/>
          <w:noProof/>
          <w:szCs w:val="20"/>
          <w:lang w:eastAsia="ar-SA"/>
        </w:rPr>
        <w:t>proaktivn</w:t>
      </w:r>
      <w:r>
        <w:rPr>
          <w:rFonts w:cs="Arial"/>
          <w:noProof/>
          <w:szCs w:val="20"/>
          <w:lang w:eastAsia="ar-SA"/>
        </w:rPr>
        <w:t xml:space="preserve">ega pristopa k </w:t>
      </w:r>
      <w:r w:rsidRPr="00D91C6C">
        <w:rPr>
          <w:rFonts w:cs="Arial"/>
          <w:noProof/>
          <w:szCs w:val="20"/>
          <w:lang w:eastAsia="ar-SA"/>
        </w:rPr>
        <w:t>prostorsko-lokacijsk</w:t>
      </w:r>
      <w:r>
        <w:rPr>
          <w:rFonts w:cs="Arial"/>
          <w:noProof/>
          <w:szCs w:val="20"/>
          <w:lang w:eastAsia="ar-SA"/>
        </w:rPr>
        <w:t>i</w:t>
      </w:r>
      <w:r w:rsidRPr="00D91C6C">
        <w:rPr>
          <w:rFonts w:cs="Arial"/>
          <w:noProof/>
          <w:szCs w:val="20"/>
          <w:lang w:eastAsia="ar-SA"/>
        </w:rPr>
        <w:t xml:space="preserve"> politik</w:t>
      </w:r>
      <w:r>
        <w:rPr>
          <w:rFonts w:cs="Arial"/>
          <w:noProof/>
          <w:szCs w:val="20"/>
          <w:lang w:eastAsia="ar-SA"/>
        </w:rPr>
        <w:t>i</w:t>
      </w:r>
      <w:r w:rsidRPr="00D91C6C">
        <w:rPr>
          <w:rFonts w:cs="Arial"/>
          <w:noProof/>
          <w:szCs w:val="20"/>
          <w:lang w:eastAsia="ar-SA"/>
        </w:rPr>
        <w:t xml:space="preserve">, ki bo zasledovala </w:t>
      </w:r>
      <w:r>
        <w:rPr>
          <w:rFonts w:cs="Arial"/>
          <w:noProof/>
          <w:szCs w:val="20"/>
          <w:lang w:eastAsia="ar-SA"/>
        </w:rPr>
        <w:t xml:space="preserve">cilj </w:t>
      </w:r>
      <w:r w:rsidRPr="00D91C6C">
        <w:rPr>
          <w:rFonts w:cs="Arial"/>
          <w:noProof/>
          <w:szCs w:val="20"/>
          <w:lang w:eastAsia="ar-SA"/>
        </w:rPr>
        <w:t>krožn</w:t>
      </w:r>
      <w:r>
        <w:rPr>
          <w:rFonts w:cs="Arial"/>
          <w:noProof/>
          <w:szCs w:val="20"/>
          <w:lang w:eastAsia="ar-SA"/>
        </w:rPr>
        <w:t>ega</w:t>
      </w:r>
      <w:r w:rsidRPr="00D91C6C">
        <w:rPr>
          <w:rFonts w:cs="Arial"/>
          <w:noProof/>
          <w:szCs w:val="20"/>
          <w:lang w:eastAsia="ar-SA"/>
        </w:rPr>
        <w:t xml:space="preserve"> gospodarjenj</w:t>
      </w:r>
      <w:r>
        <w:rPr>
          <w:rFonts w:cs="Arial"/>
          <w:noProof/>
          <w:szCs w:val="20"/>
          <w:lang w:eastAsia="ar-SA"/>
        </w:rPr>
        <w:t>a</w:t>
      </w:r>
      <w:r w:rsidRPr="00D91C6C">
        <w:rPr>
          <w:rFonts w:cs="Arial"/>
          <w:noProof/>
          <w:szCs w:val="20"/>
          <w:lang w:eastAsia="ar-SA"/>
        </w:rPr>
        <w:t xml:space="preserve"> lokacije</w:t>
      </w:r>
      <w:r w:rsidR="00E41129">
        <w:rPr>
          <w:rFonts w:cs="Arial"/>
          <w:noProof/>
          <w:szCs w:val="20"/>
          <w:lang w:eastAsia="ar-SA"/>
        </w:rPr>
        <w:t xml:space="preserve"> s podelitvijo stavbne pravice oz</w:t>
      </w:r>
      <w:r w:rsidRPr="00D91C6C">
        <w:rPr>
          <w:rFonts w:cs="Arial"/>
          <w:noProof/>
          <w:szCs w:val="20"/>
          <w:lang w:eastAsia="ar-SA"/>
        </w:rPr>
        <w:t xml:space="preserve"> oddajanjem </w:t>
      </w:r>
      <w:r w:rsidR="00680162">
        <w:rPr>
          <w:rFonts w:cs="Arial"/>
          <w:noProof/>
          <w:szCs w:val="20"/>
          <w:lang w:eastAsia="ar-SA"/>
        </w:rPr>
        <w:t>zemljišč</w:t>
      </w:r>
      <w:r w:rsidRPr="00D91C6C">
        <w:rPr>
          <w:rFonts w:cs="Arial"/>
          <w:noProof/>
          <w:szCs w:val="20"/>
          <w:lang w:eastAsia="ar-SA"/>
        </w:rPr>
        <w:t xml:space="preserve"> ali stavb v najem različnih poslovnih partnerjev oziroma krožn</w:t>
      </w:r>
      <w:r>
        <w:rPr>
          <w:rFonts w:cs="Arial"/>
          <w:noProof/>
          <w:szCs w:val="20"/>
          <w:lang w:eastAsia="ar-SA"/>
        </w:rPr>
        <w:t>ega</w:t>
      </w:r>
      <w:r w:rsidRPr="00D91C6C">
        <w:rPr>
          <w:rFonts w:cs="Arial"/>
          <w:noProof/>
          <w:szCs w:val="20"/>
          <w:lang w:eastAsia="ar-SA"/>
        </w:rPr>
        <w:t xml:space="preserve"> gospodarjenj</w:t>
      </w:r>
      <w:r>
        <w:rPr>
          <w:rFonts w:cs="Arial"/>
          <w:noProof/>
          <w:szCs w:val="20"/>
          <w:lang w:eastAsia="ar-SA"/>
        </w:rPr>
        <w:t>a</w:t>
      </w:r>
      <w:r w:rsidRPr="00D91C6C">
        <w:rPr>
          <w:rFonts w:cs="Arial"/>
          <w:noProof/>
          <w:szCs w:val="20"/>
          <w:lang w:eastAsia="ar-SA"/>
        </w:rPr>
        <w:t xml:space="preserve"> med lokacijami – možnost selitve poslovnih subjektov v večje ali manjše </w:t>
      </w:r>
      <w:r>
        <w:rPr>
          <w:rFonts w:cs="Arial"/>
          <w:noProof/>
          <w:szCs w:val="20"/>
          <w:lang w:eastAsia="ar-SA"/>
        </w:rPr>
        <w:t>industrijsko-poslovne</w:t>
      </w:r>
      <w:r w:rsidRPr="00D91C6C">
        <w:rPr>
          <w:rFonts w:cs="Arial"/>
          <w:noProof/>
          <w:szCs w:val="20"/>
          <w:lang w:eastAsia="ar-SA"/>
        </w:rPr>
        <w:t xml:space="preserve"> cone znotraj celotne države</w:t>
      </w:r>
      <w:r w:rsidR="00E41129">
        <w:rPr>
          <w:rFonts w:cs="Arial"/>
          <w:noProof/>
          <w:szCs w:val="20"/>
          <w:lang w:eastAsia="ar-SA"/>
        </w:rPr>
        <w:t xml:space="preserve">  s prednostno uporabo razvrednotenih (funkcionalno degradiranih območij). </w:t>
      </w:r>
    </w:p>
    <w:p w14:paraId="5708809B" w14:textId="77777777" w:rsidR="00177504" w:rsidRDefault="00177504" w:rsidP="00BB0E08">
      <w:pPr>
        <w:spacing w:line="240" w:lineRule="auto"/>
        <w:jc w:val="both"/>
        <w:rPr>
          <w:rFonts w:cs="Arial"/>
          <w:noProof/>
          <w:szCs w:val="20"/>
          <w:lang w:eastAsia="ar-SA"/>
        </w:rPr>
      </w:pPr>
    </w:p>
    <w:p w14:paraId="67AEBC2E" w14:textId="760FCBC0" w:rsidR="00BB0E08" w:rsidRPr="00D91C6C" w:rsidRDefault="00BB0E08" w:rsidP="00BB0E08">
      <w:pPr>
        <w:spacing w:line="240" w:lineRule="auto"/>
        <w:jc w:val="both"/>
        <w:rPr>
          <w:rFonts w:cs="Arial"/>
          <w:noProof/>
          <w:szCs w:val="20"/>
          <w:lang w:eastAsia="ar-SA"/>
        </w:rPr>
      </w:pPr>
      <w:r w:rsidRPr="00D91C6C">
        <w:rPr>
          <w:rFonts w:cs="Arial"/>
          <w:noProof/>
          <w:szCs w:val="20"/>
          <w:lang w:eastAsia="ar-SA"/>
        </w:rPr>
        <w:t xml:space="preserve">Za doseganje tega cilja so </w:t>
      </w:r>
      <w:r>
        <w:rPr>
          <w:rFonts w:cs="Arial"/>
          <w:noProof/>
          <w:szCs w:val="20"/>
          <w:lang w:eastAsia="ar-SA"/>
        </w:rPr>
        <w:t xml:space="preserve">predvidene </w:t>
      </w:r>
      <w:r w:rsidRPr="00D91C6C">
        <w:rPr>
          <w:rFonts w:cs="Arial"/>
          <w:noProof/>
          <w:szCs w:val="20"/>
          <w:lang w:eastAsia="ar-SA"/>
        </w:rPr>
        <w:t xml:space="preserve">naslednje aktivnosti: </w:t>
      </w:r>
    </w:p>
    <w:p w14:paraId="35761E68" w14:textId="77777777" w:rsidR="00BB0E08" w:rsidRPr="00987908" w:rsidRDefault="00BB0E08" w:rsidP="00BB0E08">
      <w:pPr>
        <w:pStyle w:val="Odstavekseznama"/>
        <w:numPr>
          <w:ilvl w:val="0"/>
          <w:numId w:val="28"/>
        </w:numPr>
        <w:spacing w:after="0" w:line="240" w:lineRule="auto"/>
        <w:contextualSpacing w:val="0"/>
        <w:jc w:val="both"/>
        <w:rPr>
          <w:rFonts w:ascii="Arial" w:hAnsi="Arial" w:cs="Arial"/>
          <w:noProof/>
          <w:sz w:val="20"/>
          <w:szCs w:val="20"/>
          <w:lang w:eastAsia="ar-SA"/>
        </w:rPr>
      </w:pPr>
      <w:r w:rsidRPr="00987908">
        <w:rPr>
          <w:rFonts w:ascii="Arial" w:hAnsi="Arial" w:cs="Arial"/>
          <w:noProof/>
          <w:sz w:val="20"/>
          <w:szCs w:val="20"/>
          <w:lang w:eastAsia="ar-SA"/>
        </w:rPr>
        <w:t xml:space="preserve">vzpostavitev prostorske informacijske infrastrukture za področje </w:t>
      </w:r>
      <w:r>
        <w:rPr>
          <w:rFonts w:ascii="Arial" w:hAnsi="Arial" w:cs="Arial"/>
          <w:noProof/>
          <w:sz w:val="20"/>
          <w:szCs w:val="20"/>
          <w:lang w:eastAsia="ar-SA"/>
        </w:rPr>
        <w:t>industrijsko-poslovnih</w:t>
      </w:r>
      <w:r w:rsidRPr="00987908">
        <w:rPr>
          <w:rFonts w:ascii="Arial" w:hAnsi="Arial" w:cs="Arial"/>
          <w:noProof/>
          <w:sz w:val="20"/>
          <w:szCs w:val="20"/>
          <w:lang w:eastAsia="ar-SA"/>
        </w:rPr>
        <w:t xml:space="preserve"> con</w:t>
      </w:r>
      <w:r>
        <w:rPr>
          <w:rFonts w:ascii="Arial" w:hAnsi="Arial" w:cs="Arial"/>
          <w:noProof/>
          <w:sz w:val="20"/>
          <w:szCs w:val="20"/>
          <w:lang w:eastAsia="ar-SA"/>
        </w:rPr>
        <w:t>,</w:t>
      </w:r>
    </w:p>
    <w:p w14:paraId="0F7952A0" w14:textId="059749C8" w:rsidR="00BB0E08" w:rsidRPr="00987908" w:rsidRDefault="00BB0E08" w:rsidP="00BB0E08">
      <w:pPr>
        <w:pStyle w:val="Odstavekseznama"/>
        <w:numPr>
          <w:ilvl w:val="0"/>
          <w:numId w:val="28"/>
        </w:numPr>
        <w:spacing w:after="0" w:line="240" w:lineRule="auto"/>
        <w:contextualSpacing w:val="0"/>
        <w:jc w:val="both"/>
        <w:rPr>
          <w:rFonts w:ascii="Arial" w:hAnsi="Arial" w:cs="Arial"/>
          <w:noProof/>
          <w:sz w:val="20"/>
          <w:szCs w:val="20"/>
          <w:lang w:eastAsia="ar-SA"/>
        </w:rPr>
      </w:pPr>
      <w:r w:rsidRPr="00987908">
        <w:rPr>
          <w:rFonts w:ascii="Arial" w:hAnsi="Arial" w:cs="Arial"/>
          <w:noProof/>
          <w:sz w:val="20"/>
          <w:szCs w:val="20"/>
          <w:lang w:eastAsia="ar-SA"/>
        </w:rPr>
        <w:t>priprava tematskega akcijskega programa (</w:t>
      </w:r>
      <w:r>
        <w:rPr>
          <w:rFonts w:ascii="Arial" w:hAnsi="Arial" w:cs="Arial"/>
          <w:noProof/>
          <w:sz w:val="20"/>
          <w:szCs w:val="20"/>
          <w:lang w:eastAsia="ar-SA"/>
        </w:rPr>
        <w:t xml:space="preserve">v nadaljevaju: </w:t>
      </w:r>
      <w:r w:rsidRPr="00987908">
        <w:rPr>
          <w:rFonts w:ascii="Arial" w:hAnsi="Arial" w:cs="Arial"/>
          <w:noProof/>
          <w:sz w:val="20"/>
          <w:szCs w:val="20"/>
          <w:lang w:eastAsia="ar-SA"/>
        </w:rPr>
        <w:t>TAP) za izvajanje resorn</w:t>
      </w:r>
      <w:r w:rsidR="00A271A8">
        <w:rPr>
          <w:rFonts w:ascii="Arial" w:hAnsi="Arial" w:cs="Arial"/>
          <w:noProof/>
          <w:sz w:val="20"/>
          <w:szCs w:val="20"/>
          <w:lang w:eastAsia="ar-SA"/>
        </w:rPr>
        <w:t>ih</w:t>
      </w:r>
      <w:r w:rsidRPr="00987908">
        <w:rPr>
          <w:rFonts w:ascii="Arial" w:hAnsi="Arial" w:cs="Arial"/>
          <w:noProof/>
          <w:sz w:val="20"/>
          <w:szCs w:val="20"/>
          <w:lang w:eastAsia="ar-SA"/>
        </w:rPr>
        <w:t xml:space="preserve"> politik na področju </w:t>
      </w:r>
      <w:r w:rsidR="00A271A8">
        <w:rPr>
          <w:rFonts w:ascii="Arial" w:hAnsi="Arial" w:cs="Arial"/>
          <w:noProof/>
          <w:sz w:val="20"/>
          <w:szCs w:val="20"/>
          <w:lang w:eastAsia="ar-SA"/>
        </w:rPr>
        <w:t xml:space="preserve">spodbujanja gospodarskega vidika regionalnega razvoja, </w:t>
      </w:r>
      <w:r>
        <w:rPr>
          <w:rFonts w:ascii="Arial" w:hAnsi="Arial" w:cs="Arial"/>
          <w:noProof/>
          <w:sz w:val="20"/>
          <w:szCs w:val="20"/>
          <w:lang w:eastAsia="ar-SA"/>
        </w:rPr>
        <w:t xml:space="preserve">industrijsko </w:t>
      </w:r>
      <w:r w:rsidRPr="00987908">
        <w:rPr>
          <w:rFonts w:ascii="Arial" w:hAnsi="Arial" w:cs="Arial"/>
          <w:noProof/>
          <w:sz w:val="20"/>
          <w:szCs w:val="20"/>
          <w:lang w:eastAsia="ar-SA"/>
        </w:rPr>
        <w:t>poslovnih con</w:t>
      </w:r>
      <w:r>
        <w:rPr>
          <w:rFonts w:ascii="Arial" w:hAnsi="Arial" w:cs="Arial"/>
          <w:noProof/>
          <w:sz w:val="20"/>
          <w:szCs w:val="20"/>
          <w:lang w:eastAsia="ar-SA"/>
        </w:rPr>
        <w:t xml:space="preserve">, </w:t>
      </w:r>
      <w:r w:rsidRPr="00987908">
        <w:rPr>
          <w:rFonts w:ascii="Arial" w:hAnsi="Arial" w:cs="Arial"/>
          <w:noProof/>
          <w:sz w:val="20"/>
          <w:szCs w:val="20"/>
          <w:lang w:eastAsia="ar-SA"/>
        </w:rPr>
        <w:t>prilagoditev predpisov</w:t>
      </w:r>
      <w:r>
        <w:rPr>
          <w:rFonts w:ascii="Arial" w:hAnsi="Arial" w:cs="Arial"/>
          <w:noProof/>
          <w:sz w:val="20"/>
          <w:szCs w:val="20"/>
          <w:lang w:eastAsia="ar-SA"/>
        </w:rPr>
        <w:t xml:space="preserve">, </w:t>
      </w:r>
      <w:r w:rsidRPr="00987908">
        <w:rPr>
          <w:rFonts w:ascii="Arial" w:hAnsi="Arial" w:cs="Arial"/>
          <w:noProof/>
          <w:sz w:val="20"/>
          <w:szCs w:val="20"/>
          <w:lang w:eastAsia="ar-SA"/>
        </w:rPr>
        <w:t xml:space="preserve">zagotovitev financiranja razvoja izvajanja </w:t>
      </w:r>
      <w:r>
        <w:rPr>
          <w:rFonts w:ascii="Arial" w:hAnsi="Arial" w:cs="Arial"/>
          <w:noProof/>
          <w:sz w:val="20"/>
          <w:szCs w:val="20"/>
          <w:lang w:eastAsia="ar-SA"/>
        </w:rPr>
        <w:t>industrijsko</w:t>
      </w:r>
      <w:r w:rsidRPr="00987908">
        <w:rPr>
          <w:rFonts w:ascii="Arial" w:hAnsi="Arial" w:cs="Arial"/>
          <w:noProof/>
          <w:sz w:val="20"/>
          <w:szCs w:val="20"/>
          <w:lang w:eastAsia="ar-SA"/>
        </w:rPr>
        <w:t>-poslovnih con</w:t>
      </w:r>
      <w:r>
        <w:rPr>
          <w:rFonts w:ascii="Arial" w:hAnsi="Arial" w:cs="Arial"/>
          <w:noProof/>
          <w:sz w:val="20"/>
          <w:szCs w:val="20"/>
          <w:lang w:eastAsia="ar-SA"/>
        </w:rPr>
        <w:t xml:space="preserve">, pritegnitev zasebnih vlaganj in usposobitev  </w:t>
      </w:r>
      <w:r w:rsidR="003F38C2">
        <w:rPr>
          <w:rFonts w:ascii="Arial" w:hAnsi="Arial" w:cs="Arial"/>
          <w:noProof/>
          <w:sz w:val="20"/>
          <w:szCs w:val="20"/>
          <w:lang w:eastAsia="ar-SA"/>
        </w:rPr>
        <w:t>enotnega</w:t>
      </w:r>
      <w:r>
        <w:rPr>
          <w:rFonts w:ascii="Arial" w:hAnsi="Arial" w:cs="Arial"/>
          <w:noProof/>
          <w:sz w:val="20"/>
          <w:szCs w:val="20"/>
          <w:lang w:eastAsia="ar-SA"/>
        </w:rPr>
        <w:t>upravljanja z zemljišči in infrastrukturo.</w:t>
      </w:r>
    </w:p>
    <w:p w14:paraId="3C638B9B" w14:textId="77777777" w:rsidR="00BB0E08" w:rsidRPr="00D91C6C" w:rsidRDefault="00BB0E08" w:rsidP="00BB0E08">
      <w:pPr>
        <w:jc w:val="both"/>
        <w:rPr>
          <w:rFonts w:cs="Arial"/>
          <w:noProof/>
          <w:szCs w:val="20"/>
          <w:lang w:eastAsia="ar-SA"/>
        </w:rPr>
      </w:pPr>
    </w:p>
    <w:p w14:paraId="51EF9E16" w14:textId="3637678D" w:rsidR="00BB0E08" w:rsidRDefault="00BB0E08" w:rsidP="00BB0E08">
      <w:pPr>
        <w:jc w:val="both"/>
        <w:rPr>
          <w:rFonts w:cs="Arial"/>
          <w:noProof/>
          <w:szCs w:val="20"/>
          <w:lang w:eastAsia="ar-SA"/>
        </w:rPr>
      </w:pPr>
      <w:r w:rsidRPr="00D91C6C">
        <w:rPr>
          <w:rFonts w:cs="Arial"/>
          <w:noProof/>
          <w:szCs w:val="20"/>
          <w:lang w:eastAsia="ar-SA"/>
        </w:rPr>
        <w:t>Namen projekta</w:t>
      </w:r>
      <w:r>
        <w:rPr>
          <w:rFonts w:cs="Arial"/>
          <w:noProof/>
          <w:szCs w:val="20"/>
          <w:lang w:eastAsia="ar-SA"/>
        </w:rPr>
        <w:t>, ki ga bo</w:t>
      </w:r>
      <w:r w:rsidR="00FD109A">
        <w:rPr>
          <w:rFonts w:cs="Arial"/>
          <w:noProof/>
          <w:szCs w:val="20"/>
          <w:lang w:eastAsia="ar-SA"/>
        </w:rPr>
        <w:t>do</w:t>
      </w:r>
      <w:r>
        <w:rPr>
          <w:rFonts w:cs="Arial"/>
          <w:noProof/>
          <w:szCs w:val="20"/>
          <w:lang w:eastAsia="ar-SA"/>
        </w:rPr>
        <w:t xml:space="preserve"> skupaj izvajal</w:t>
      </w:r>
      <w:r w:rsidR="00FD109A">
        <w:rPr>
          <w:rFonts w:cs="Arial"/>
          <w:noProof/>
          <w:szCs w:val="20"/>
          <w:lang w:eastAsia="ar-SA"/>
        </w:rPr>
        <w:t>i</w:t>
      </w:r>
      <w:r>
        <w:rPr>
          <w:rFonts w:cs="Arial"/>
          <w:noProof/>
          <w:szCs w:val="20"/>
          <w:lang w:eastAsia="ar-SA"/>
        </w:rPr>
        <w:t xml:space="preserve"> Ministrstvo za </w:t>
      </w:r>
      <w:r w:rsidR="00FD109A">
        <w:rPr>
          <w:rFonts w:cs="Arial"/>
          <w:noProof/>
          <w:szCs w:val="20"/>
          <w:lang w:eastAsia="ar-SA"/>
        </w:rPr>
        <w:t>gospodarstvo, turizem in šport</w:t>
      </w:r>
      <w:r w:rsidR="00A271A8">
        <w:rPr>
          <w:rFonts w:cs="Arial"/>
          <w:noProof/>
          <w:szCs w:val="20"/>
          <w:lang w:eastAsia="ar-SA"/>
        </w:rPr>
        <w:t>, Ministrstvo za kohezijo in regionalni razvoj</w:t>
      </w:r>
      <w:r>
        <w:rPr>
          <w:rFonts w:cs="Arial"/>
          <w:noProof/>
          <w:szCs w:val="20"/>
          <w:lang w:eastAsia="ar-SA"/>
        </w:rPr>
        <w:t xml:space="preserve"> ter Ministrstvo za </w:t>
      </w:r>
      <w:r w:rsidR="00FD109A">
        <w:rPr>
          <w:rFonts w:cs="Arial"/>
          <w:noProof/>
          <w:szCs w:val="20"/>
          <w:lang w:eastAsia="ar-SA"/>
        </w:rPr>
        <w:t>naravne vire in prostor</w:t>
      </w:r>
      <w:r>
        <w:rPr>
          <w:rFonts w:cs="Arial"/>
          <w:noProof/>
          <w:szCs w:val="20"/>
          <w:lang w:eastAsia="ar-SA"/>
        </w:rPr>
        <w:t>,</w:t>
      </w:r>
      <w:r w:rsidRPr="00D91C6C">
        <w:rPr>
          <w:rFonts w:cs="Arial"/>
          <w:noProof/>
          <w:szCs w:val="20"/>
          <w:lang w:eastAsia="ar-SA"/>
        </w:rPr>
        <w:t xml:space="preserve"> je </w:t>
      </w:r>
      <w:r>
        <w:rPr>
          <w:rFonts w:cs="Arial"/>
          <w:noProof/>
          <w:szCs w:val="20"/>
          <w:lang w:eastAsia="ar-SA"/>
        </w:rPr>
        <w:t xml:space="preserve">izdelava </w:t>
      </w:r>
      <w:r w:rsidR="00CF603A">
        <w:rPr>
          <w:rFonts w:cs="Arial"/>
          <w:noProof/>
          <w:szCs w:val="20"/>
          <w:lang w:eastAsia="ar-SA"/>
        </w:rPr>
        <w:t>TAP</w:t>
      </w:r>
      <w:r w:rsidRPr="00D91C6C">
        <w:rPr>
          <w:rFonts w:cs="Arial"/>
          <w:noProof/>
          <w:szCs w:val="20"/>
          <w:lang w:eastAsia="ar-SA"/>
        </w:rPr>
        <w:t>za</w:t>
      </w:r>
      <w:r>
        <w:rPr>
          <w:rFonts w:cs="Arial"/>
          <w:noProof/>
          <w:szCs w:val="20"/>
          <w:lang w:eastAsia="ar-SA"/>
        </w:rPr>
        <w:t xml:space="preserve"> industrijsko </w:t>
      </w:r>
      <w:r w:rsidRPr="00D91C6C">
        <w:rPr>
          <w:rFonts w:cs="Arial"/>
          <w:noProof/>
          <w:szCs w:val="20"/>
          <w:lang w:eastAsia="ar-SA"/>
        </w:rPr>
        <w:t xml:space="preserve">-poslovne cone </w:t>
      </w:r>
      <w:r>
        <w:rPr>
          <w:rFonts w:cs="Arial"/>
          <w:noProof/>
          <w:szCs w:val="20"/>
          <w:lang w:eastAsia="ar-SA"/>
        </w:rPr>
        <w:t xml:space="preserve">kot </w:t>
      </w:r>
      <w:r w:rsidR="00A271A8">
        <w:rPr>
          <w:rFonts w:cs="Arial"/>
          <w:noProof/>
          <w:szCs w:val="20"/>
          <w:lang w:eastAsia="ar-SA"/>
        </w:rPr>
        <w:t>enega izmed ukrepov za spodbujanje gospodarskega razvoha v teh regijah</w:t>
      </w:r>
      <w:r w:rsidR="00E41129">
        <w:rPr>
          <w:rFonts w:cs="Arial"/>
          <w:noProof/>
          <w:szCs w:val="20"/>
          <w:lang w:eastAsia="ar-SA"/>
        </w:rPr>
        <w:t xml:space="preserve"> in je strateški prostorski akt, </w:t>
      </w:r>
      <w:r w:rsidRPr="00D91C6C">
        <w:rPr>
          <w:rFonts w:cs="Arial"/>
          <w:noProof/>
          <w:szCs w:val="20"/>
          <w:lang w:eastAsia="ar-SA"/>
        </w:rPr>
        <w:t xml:space="preserve"> </w:t>
      </w:r>
      <w:r>
        <w:rPr>
          <w:rFonts w:cs="Arial"/>
          <w:noProof/>
          <w:szCs w:val="20"/>
          <w:lang w:eastAsia="ar-SA"/>
        </w:rPr>
        <w:t xml:space="preserve">priprava </w:t>
      </w:r>
      <w:r w:rsidRPr="00D91C6C">
        <w:rPr>
          <w:rFonts w:cs="Arial"/>
          <w:noProof/>
          <w:szCs w:val="20"/>
          <w:lang w:eastAsia="ar-SA"/>
        </w:rPr>
        <w:t xml:space="preserve">okoljskega poročila ter izvedba postopkov potrebnih za sprejem tematskega akcijskega programa v skladu z </w:t>
      </w:r>
      <w:r w:rsidR="00CF603A" w:rsidRPr="00D91C6C">
        <w:rPr>
          <w:rFonts w:cs="Arial"/>
          <w:noProof/>
          <w:szCs w:val="20"/>
          <w:lang w:eastAsia="ar-SA"/>
        </w:rPr>
        <w:t xml:space="preserve">z </w:t>
      </w:r>
      <w:r w:rsidR="00CF603A">
        <w:rPr>
          <w:rFonts w:cs="Arial"/>
          <w:noProof/>
          <w:szCs w:val="20"/>
          <w:lang w:eastAsia="ar-SA"/>
        </w:rPr>
        <w:t>Zakonom o urejanju prostora (</w:t>
      </w:r>
      <w:r w:rsidR="00CF603A">
        <w:t xml:space="preserve">Uradni list RS, št. </w:t>
      </w:r>
      <w:hyperlink r:id="rId15" w:tgtFrame="_blank" w:tooltip="Zakon o urejanju prostora (ZUreP-3)" w:history="1">
        <w:r w:rsidR="00CF603A">
          <w:rPr>
            <w:rStyle w:val="Hiperpovezava"/>
          </w:rPr>
          <w:t>199/21</w:t>
        </w:r>
      </w:hyperlink>
      <w:r w:rsidR="00CF603A">
        <w:t xml:space="preserve">, </w:t>
      </w:r>
      <w:hyperlink r:id="rId16" w:tgtFrame="_blank" w:tooltip="Zakon o spremembah in dopolnitvah Zakona o državni upravi (ZDU-1O)" w:history="1">
        <w:r w:rsidR="00CF603A">
          <w:rPr>
            <w:rStyle w:val="Hiperpovezava"/>
          </w:rPr>
          <w:t>18/23</w:t>
        </w:r>
      </w:hyperlink>
      <w:r w:rsidR="00CF603A">
        <w:t xml:space="preserve"> – ZDU-1O, </w:t>
      </w:r>
      <w:hyperlink r:id="rId17" w:tgtFrame="_blank" w:tooltip="Zakon o uvajanju naprav za proizvodnjo električne energije iz obnovljivih virov energije (ZUNPEOVE)" w:history="1">
        <w:r w:rsidR="00CF603A">
          <w:rPr>
            <w:rStyle w:val="Hiperpovezava"/>
          </w:rPr>
          <w:t>78/23</w:t>
        </w:r>
      </w:hyperlink>
      <w:r w:rsidR="00CF603A">
        <w:t xml:space="preserve"> – ZUNPEOVE, </w:t>
      </w:r>
      <w:hyperlink r:id="rId18" w:tgtFrame="_blank" w:tooltip="Zakon o interventnih ukrepih za odpravo posledic poplav in zemeljskih plazov iz avgusta 2023 (ZIUOPZP)" w:history="1">
        <w:r w:rsidR="00CF603A">
          <w:rPr>
            <w:rStyle w:val="Hiperpovezava"/>
          </w:rPr>
          <w:t>95/23</w:t>
        </w:r>
      </w:hyperlink>
      <w:r w:rsidR="00CF603A">
        <w:t xml:space="preserve"> – ZIUOPZP in </w:t>
      </w:r>
      <w:hyperlink r:id="rId19" w:tgtFrame="_blank" w:tooltip="Zakon o spremembah in dopolnitvi Zakona o urejanju prostora (ZUreP-3A)" w:history="1">
        <w:r w:rsidR="00CF603A">
          <w:rPr>
            <w:rStyle w:val="Hiperpovezava"/>
          </w:rPr>
          <w:t>23/24</w:t>
        </w:r>
      </w:hyperlink>
      <w:r w:rsidR="00CF603A">
        <w:t xml:space="preserve">; v nadaljevanju: </w:t>
      </w:r>
      <w:r w:rsidR="00CF603A" w:rsidRPr="00D91C6C">
        <w:rPr>
          <w:rFonts w:cs="Arial"/>
          <w:noProof/>
          <w:szCs w:val="20"/>
          <w:lang w:eastAsia="ar-SA"/>
        </w:rPr>
        <w:t>ZU</w:t>
      </w:r>
      <w:r w:rsidR="00CF603A">
        <w:rPr>
          <w:rFonts w:cs="Arial"/>
          <w:noProof/>
          <w:szCs w:val="20"/>
          <w:lang w:eastAsia="ar-SA"/>
        </w:rPr>
        <w:t>re</w:t>
      </w:r>
      <w:r w:rsidR="00CF603A" w:rsidRPr="00D91C6C">
        <w:rPr>
          <w:rFonts w:cs="Arial"/>
          <w:noProof/>
          <w:szCs w:val="20"/>
          <w:lang w:eastAsia="ar-SA"/>
        </w:rPr>
        <w:t>P-3</w:t>
      </w:r>
      <w:r w:rsidR="00CF603A">
        <w:rPr>
          <w:rFonts w:cs="Arial"/>
          <w:noProof/>
          <w:szCs w:val="20"/>
          <w:lang w:eastAsia="ar-SA"/>
        </w:rPr>
        <w:t>)</w:t>
      </w:r>
      <w:r w:rsidR="00CF603A" w:rsidRPr="00D91C6C">
        <w:rPr>
          <w:rFonts w:cs="Arial"/>
          <w:noProof/>
          <w:szCs w:val="20"/>
          <w:lang w:eastAsia="ar-SA"/>
        </w:rPr>
        <w:t>.</w:t>
      </w:r>
    </w:p>
    <w:p w14:paraId="70909798" w14:textId="77777777" w:rsidR="00BB0E08" w:rsidRPr="00D91C6C" w:rsidRDefault="00BB0E08" w:rsidP="00BB0E08">
      <w:pPr>
        <w:jc w:val="both"/>
        <w:rPr>
          <w:rFonts w:cs="Arial"/>
          <w:noProof/>
          <w:szCs w:val="20"/>
          <w:lang w:eastAsia="ar-SA"/>
        </w:rPr>
      </w:pPr>
    </w:p>
    <w:p w14:paraId="761487BE" w14:textId="77777777" w:rsidR="00BB0E08" w:rsidRPr="00D91C6C" w:rsidRDefault="00BB0E08" w:rsidP="00BB0E08">
      <w:pPr>
        <w:spacing w:line="240" w:lineRule="auto"/>
        <w:jc w:val="both"/>
        <w:rPr>
          <w:rFonts w:cs="Arial"/>
          <w:noProof/>
          <w:szCs w:val="20"/>
          <w:lang w:eastAsia="ar-SA"/>
        </w:rPr>
      </w:pPr>
      <w:r w:rsidRPr="00D91C6C">
        <w:rPr>
          <w:rFonts w:cs="Arial"/>
          <w:noProof/>
          <w:szCs w:val="20"/>
          <w:lang w:eastAsia="ar-SA"/>
        </w:rPr>
        <w:t>S TAP se opredeljuje prostorski razvoj države in regij na področju gospodarstva. S TAP za gospodarstvo se bodo določile:</w:t>
      </w:r>
    </w:p>
    <w:p w14:paraId="0CA88906" w14:textId="77777777" w:rsidR="00BB0E08" w:rsidRPr="00786FBC" w:rsidRDefault="00BB0E08" w:rsidP="00BB0E08">
      <w:pPr>
        <w:pStyle w:val="Odstavekseznama"/>
        <w:numPr>
          <w:ilvl w:val="0"/>
          <w:numId w:val="23"/>
        </w:numPr>
        <w:spacing w:after="0" w:line="259" w:lineRule="auto"/>
        <w:jc w:val="both"/>
        <w:rPr>
          <w:rFonts w:ascii="Arial" w:hAnsi="Arial" w:cs="Arial"/>
          <w:noProof/>
          <w:sz w:val="20"/>
          <w:szCs w:val="20"/>
          <w:lang w:eastAsia="ar-SA"/>
        </w:rPr>
      </w:pPr>
      <w:r w:rsidRPr="00786FBC">
        <w:rPr>
          <w:rFonts w:ascii="Arial" w:hAnsi="Arial" w:cs="Arial"/>
          <w:noProof/>
          <w:sz w:val="20"/>
          <w:szCs w:val="20"/>
          <w:lang w:eastAsia="ar-SA"/>
        </w:rPr>
        <w:t>prednostne cone za umeščanje gospodarskih dejavnosti in potrebne ureditve teh con</w:t>
      </w:r>
      <w:r>
        <w:rPr>
          <w:rFonts w:ascii="Arial" w:hAnsi="Arial" w:cs="Arial"/>
          <w:noProof/>
          <w:sz w:val="20"/>
          <w:szCs w:val="20"/>
          <w:lang w:eastAsia="ar-SA"/>
        </w:rPr>
        <w:t>,</w:t>
      </w:r>
    </w:p>
    <w:p w14:paraId="389D6E8A" w14:textId="3185C12A" w:rsidR="00BB0E08" w:rsidRPr="00786FBC" w:rsidRDefault="00BB0E08" w:rsidP="00BB0E08">
      <w:pPr>
        <w:pStyle w:val="Odstavekseznama"/>
        <w:numPr>
          <w:ilvl w:val="0"/>
          <w:numId w:val="23"/>
        </w:numPr>
        <w:spacing w:after="0" w:line="259" w:lineRule="auto"/>
        <w:jc w:val="both"/>
        <w:rPr>
          <w:rFonts w:ascii="Arial" w:hAnsi="Arial" w:cs="Arial"/>
          <w:noProof/>
          <w:sz w:val="20"/>
          <w:szCs w:val="20"/>
          <w:lang w:eastAsia="ar-SA"/>
        </w:rPr>
      </w:pPr>
      <w:r w:rsidRPr="00786FBC">
        <w:rPr>
          <w:rFonts w:ascii="Arial" w:hAnsi="Arial" w:cs="Arial"/>
          <w:noProof/>
          <w:sz w:val="20"/>
          <w:szCs w:val="20"/>
          <w:lang w:eastAsia="ar-SA"/>
        </w:rPr>
        <w:t xml:space="preserve">usmeritve za določanje namenske rabe </w:t>
      </w:r>
      <w:r w:rsidR="00A271A8">
        <w:rPr>
          <w:rFonts w:ascii="Arial" w:hAnsi="Arial" w:cs="Arial"/>
          <w:noProof/>
          <w:sz w:val="20"/>
          <w:szCs w:val="20"/>
          <w:lang w:eastAsia="ar-SA"/>
        </w:rPr>
        <w:t xml:space="preserve">oziroma razvojnih specializacij </w:t>
      </w:r>
      <w:r w:rsidRPr="00786FBC">
        <w:rPr>
          <w:rFonts w:ascii="Arial" w:hAnsi="Arial" w:cs="Arial"/>
          <w:noProof/>
          <w:sz w:val="20"/>
          <w:szCs w:val="20"/>
          <w:lang w:eastAsia="ar-SA"/>
        </w:rPr>
        <w:t>na teh prednostnih conah</w:t>
      </w:r>
      <w:r>
        <w:rPr>
          <w:rFonts w:ascii="Arial" w:hAnsi="Arial" w:cs="Arial"/>
          <w:noProof/>
          <w:sz w:val="20"/>
          <w:szCs w:val="20"/>
          <w:lang w:eastAsia="ar-SA"/>
        </w:rPr>
        <w:t>,</w:t>
      </w:r>
    </w:p>
    <w:p w14:paraId="0AA6894A" w14:textId="77777777" w:rsidR="00BB0E08" w:rsidRDefault="00BB0E08" w:rsidP="00BB0E08">
      <w:pPr>
        <w:pStyle w:val="Odstavekseznama"/>
        <w:numPr>
          <w:ilvl w:val="0"/>
          <w:numId w:val="23"/>
        </w:numPr>
        <w:spacing w:after="0" w:line="259" w:lineRule="auto"/>
        <w:jc w:val="both"/>
        <w:rPr>
          <w:rFonts w:ascii="Arial" w:hAnsi="Arial" w:cs="Arial"/>
          <w:noProof/>
          <w:sz w:val="20"/>
          <w:szCs w:val="20"/>
          <w:lang w:eastAsia="ar-SA"/>
        </w:rPr>
      </w:pPr>
      <w:r w:rsidRPr="00786FBC">
        <w:rPr>
          <w:rFonts w:ascii="Arial" w:hAnsi="Arial" w:cs="Arial"/>
          <w:noProof/>
          <w:sz w:val="20"/>
          <w:szCs w:val="20"/>
          <w:lang w:eastAsia="ar-SA"/>
        </w:rPr>
        <w:t>usmeritve za načrtovanje prostorskih ureditev ter določanje izvedbene regulacije prostora</w:t>
      </w:r>
      <w:r>
        <w:rPr>
          <w:rFonts w:ascii="Arial" w:hAnsi="Arial" w:cs="Arial"/>
          <w:noProof/>
          <w:sz w:val="20"/>
          <w:szCs w:val="20"/>
          <w:lang w:eastAsia="ar-SA"/>
        </w:rPr>
        <w:t>,</w:t>
      </w:r>
    </w:p>
    <w:p w14:paraId="31ED979A" w14:textId="2DAA1D72" w:rsidR="00BB0E08" w:rsidRDefault="00BB0E08" w:rsidP="00BB0E08">
      <w:pPr>
        <w:pStyle w:val="Odstavekseznama"/>
        <w:numPr>
          <w:ilvl w:val="0"/>
          <w:numId w:val="23"/>
        </w:numPr>
        <w:spacing w:after="0" w:line="259" w:lineRule="auto"/>
        <w:jc w:val="both"/>
        <w:rPr>
          <w:rFonts w:ascii="Arial" w:hAnsi="Arial" w:cs="Arial"/>
          <w:noProof/>
          <w:sz w:val="20"/>
          <w:szCs w:val="20"/>
          <w:lang w:eastAsia="ar-SA"/>
        </w:rPr>
      </w:pPr>
      <w:r>
        <w:rPr>
          <w:rFonts w:ascii="Arial" w:hAnsi="Arial" w:cs="Arial"/>
          <w:noProof/>
          <w:sz w:val="20"/>
          <w:szCs w:val="20"/>
          <w:lang w:eastAsia="ar-SA"/>
        </w:rPr>
        <w:t xml:space="preserve">izkoriščanje prednosti </w:t>
      </w:r>
      <w:r w:rsidR="00E41129">
        <w:rPr>
          <w:rFonts w:ascii="Arial" w:hAnsi="Arial" w:cs="Arial"/>
          <w:noProof/>
          <w:sz w:val="20"/>
          <w:szCs w:val="20"/>
          <w:lang w:eastAsia="ar-SA"/>
        </w:rPr>
        <w:t xml:space="preserve">razvrednotenih (funkcionalno </w:t>
      </w:r>
      <w:r>
        <w:rPr>
          <w:rFonts w:ascii="Arial" w:hAnsi="Arial" w:cs="Arial"/>
          <w:noProof/>
          <w:sz w:val="20"/>
          <w:szCs w:val="20"/>
          <w:lang w:eastAsia="ar-SA"/>
        </w:rPr>
        <w:t>degradiranih</w:t>
      </w:r>
      <w:r w:rsidR="00E41129">
        <w:rPr>
          <w:rFonts w:ascii="Arial" w:hAnsi="Arial" w:cs="Arial"/>
          <w:noProof/>
          <w:sz w:val="20"/>
          <w:szCs w:val="20"/>
          <w:lang w:eastAsia="ar-SA"/>
        </w:rPr>
        <w:t>)</w:t>
      </w:r>
      <w:r>
        <w:rPr>
          <w:rFonts w:ascii="Arial" w:hAnsi="Arial" w:cs="Arial"/>
          <w:noProof/>
          <w:sz w:val="20"/>
          <w:szCs w:val="20"/>
          <w:lang w:eastAsia="ar-SA"/>
        </w:rPr>
        <w:t xml:space="preserve"> območij in s tem valorizacija tega prostora s ciljem usvarjanja dodane vrednosti.</w:t>
      </w:r>
    </w:p>
    <w:p w14:paraId="02DDBFDF" w14:textId="77777777" w:rsidR="00BB0E08" w:rsidRPr="00786FBC" w:rsidRDefault="00BB0E08" w:rsidP="00BB0E08">
      <w:pPr>
        <w:spacing w:line="259" w:lineRule="auto"/>
        <w:ind w:left="360"/>
        <w:contextualSpacing/>
        <w:jc w:val="both"/>
        <w:rPr>
          <w:rFonts w:cs="Arial"/>
          <w:noProof/>
          <w:szCs w:val="20"/>
          <w:lang w:eastAsia="ar-SA"/>
        </w:rPr>
      </w:pPr>
    </w:p>
    <w:p w14:paraId="10168816" w14:textId="068C66F7" w:rsidR="00BB0E08" w:rsidRPr="00105B08" w:rsidRDefault="00BB0E08" w:rsidP="00105B08">
      <w:pPr>
        <w:pStyle w:val="Odstavekseznama"/>
        <w:numPr>
          <w:ilvl w:val="0"/>
          <w:numId w:val="22"/>
        </w:numPr>
        <w:spacing w:line="259" w:lineRule="auto"/>
        <w:jc w:val="both"/>
        <w:rPr>
          <w:rFonts w:cs="Arial"/>
          <w:b/>
          <w:bCs/>
          <w:noProof/>
          <w:szCs w:val="20"/>
          <w:lang w:eastAsia="ar-SA"/>
        </w:rPr>
      </w:pPr>
      <w:r w:rsidRPr="00105B08">
        <w:rPr>
          <w:rFonts w:ascii="Arial" w:hAnsi="Arial" w:cs="Arial"/>
          <w:b/>
          <w:bCs/>
          <w:noProof/>
          <w:sz w:val="20"/>
          <w:szCs w:val="20"/>
          <w:lang w:eastAsia="ar-SA"/>
        </w:rPr>
        <w:t>PROGRAMSKA IN VSEBINSKA IZHODIŠČA</w:t>
      </w:r>
    </w:p>
    <w:p w14:paraId="4B6F5EB4" w14:textId="77777777" w:rsidR="00BB0E08" w:rsidRPr="00105B08" w:rsidRDefault="00BB0E08" w:rsidP="00BB0E08">
      <w:pPr>
        <w:jc w:val="both"/>
        <w:rPr>
          <w:rFonts w:ascii="Arial Narrow" w:hAnsi="Arial Narrow" w:cs="Arial"/>
          <w:noProof/>
          <w:szCs w:val="20"/>
          <w:lang w:eastAsia="ar-SA"/>
        </w:rPr>
      </w:pPr>
    </w:p>
    <w:p w14:paraId="0A90FE67" w14:textId="250EDE00" w:rsidR="00BB0E08" w:rsidRPr="00105B08" w:rsidRDefault="00BB0E08" w:rsidP="00105B08">
      <w:pPr>
        <w:pStyle w:val="Odstavekseznama"/>
        <w:numPr>
          <w:ilvl w:val="1"/>
          <w:numId w:val="22"/>
        </w:numPr>
        <w:jc w:val="both"/>
        <w:rPr>
          <w:rFonts w:cs="Arial"/>
          <w:b/>
          <w:bCs/>
          <w:noProof/>
          <w:szCs w:val="20"/>
          <w:lang w:eastAsia="ar-SA"/>
        </w:rPr>
      </w:pPr>
      <w:r w:rsidRPr="00105B08">
        <w:rPr>
          <w:rFonts w:ascii="Arial" w:hAnsi="Arial" w:cs="Arial"/>
          <w:b/>
          <w:bCs/>
          <w:noProof/>
          <w:sz w:val="20"/>
          <w:szCs w:val="20"/>
          <w:lang w:eastAsia="ar-SA"/>
        </w:rPr>
        <w:t xml:space="preserve">Uredba o omrežju TEN-T </w:t>
      </w:r>
      <w:r w:rsidR="00680162">
        <w:rPr>
          <w:rFonts w:ascii="Arial" w:hAnsi="Arial" w:cs="Arial"/>
          <w:b/>
          <w:bCs/>
          <w:noProof/>
          <w:sz w:val="20"/>
          <w:szCs w:val="20"/>
          <w:lang w:eastAsia="ar-SA"/>
        </w:rPr>
        <w:t>(Uredba EU št. 1315/2013)</w:t>
      </w:r>
    </w:p>
    <w:p w14:paraId="777C752E" w14:textId="77777777" w:rsidR="00BB0E08" w:rsidRPr="00786FBC" w:rsidRDefault="00BB0E08" w:rsidP="00BB0E08">
      <w:pPr>
        <w:jc w:val="both"/>
        <w:rPr>
          <w:rFonts w:cs="Arial"/>
          <w:b/>
          <w:bCs/>
          <w:noProof/>
          <w:szCs w:val="20"/>
          <w:lang w:eastAsia="ar-SA"/>
        </w:rPr>
      </w:pPr>
    </w:p>
    <w:p w14:paraId="7CA855A7" w14:textId="77777777" w:rsidR="00BB0E08" w:rsidRDefault="00BB0E08" w:rsidP="00BB0E08">
      <w:pPr>
        <w:spacing w:after="160" w:line="256" w:lineRule="auto"/>
        <w:rPr>
          <w:rFonts w:cs="Arial"/>
          <w:noProof/>
          <w:szCs w:val="20"/>
          <w:lang w:eastAsia="ar-SA"/>
        </w:rPr>
      </w:pPr>
      <w:r w:rsidRPr="00733FB9">
        <w:rPr>
          <w:rFonts w:cs="Arial"/>
          <w:noProof/>
          <w:szCs w:val="20"/>
          <w:lang w:eastAsia="ar-SA"/>
        </w:rPr>
        <w:t>Namen spreme</w:t>
      </w:r>
      <w:r>
        <w:rPr>
          <w:rFonts w:cs="Arial"/>
          <w:noProof/>
          <w:szCs w:val="20"/>
          <w:lang w:eastAsia="ar-SA"/>
        </w:rPr>
        <w:t>njene</w:t>
      </w:r>
      <w:r w:rsidRPr="00733FB9">
        <w:rPr>
          <w:rFonts w:cs="Arial"/>
          <w:noProof/>
          <w:szCs w:val="20"/>
          <w:lang w:eastAsia="ar-SA"/>
        </w:rPr>
        <w:t xml:space="preserve"> uredbe o omrežju TEN-T je doseči štiri glave cilje</w:t>
      </w:r>
      <w:r>
        <w:rPr>
          <w:rFonts w:cs="Arial"/>
          <w:noProof/>
          <w:szCs w:val="20"/>
          <w:lang w:eastAsia="ar-SA"/>
        </w:rPr>
        <w:t>:</w:t>
      </w:r>
    </w:p>
    <w:p w14:paraId="60EACFE4" w14:textId="42A77620" w:rsidR="00BB0E08" w:rsidRPr="00786FBC" w:rsidRDefault="00BB0E08" w:rsidP="00BB0E08">
      <w:pPr>
        <w:pStyle w:val="Odstavekseznama"/>
        <w:numPr>
          <w:ilvl w:val="0"/>
          <w:numId w:val="24"/>
        </w:numPr>
        <w:spacing w:after="160" w:line="256" w:lineRule="auto"/>
        <w:contextualSpacing w:val="0"/>
        <w:rPr>
          <w:rFonts w:ascii="Arial" w:hAnsi="Arial" w:cs="Arial"/>
          <w:noProof/>
          <w:sz w:val="20"/>
          <w:szCs w:val="20"/>
          <w:lang w:eastAsia="ar-SA"/>
        </w:rPr>
      </w:pPr>
      <w:r w:rsidRPr="00786FBC">
        <w:rPr>
          <w:rFonts w:ascii="Arial" w:hAnsi="Arial" w:cs="Arial"/>
          <w:noProof/>
          <w:sz w:val="20"/>
          <w:szCs w:val="20"/>
          <w:lang w:eastAsia="ar-SA"/>
        </w:rPr>
        <w:t>zmanjšanje prometnih zastojev, emisij toplogrednih vplivov (TGP) ter onesnaženja zraka</w:t>
      </w:r>
      <w:r w:rsidR="00CF603A">
        <w:rPr>
          <w:rFonts w:ascii="Arial" w:hAnsi="Arial" w:cs="Arial"/>
          <w:noProof/>
          <w:sz w:val="20"/>
          <w:szCs w:val="20"/>
          <w:lang w:eastAsia="ar-SA"/>
        </w:rPr>
        <w:t>,</w:t>
      </w:r>
    </w:p>
    <w:p w14:paraId="2B365125" w14:textId="2D6B7C59" w:rsidR="00BB0E08" w:rsidRPr="00786FBC" w:rsidRDefault="00BB0E08" w:rsidP="00BB0E08">
      <w:pPr>
        <w:pStyle w:val="Odstavekseznama"/>
        <w:numPr>
          <w:ilvl w:val="0"/>
          <w:numId w:val="24"/>
        </w:numPr>
        <w:spacing w:after="160" w:line="256" w:lineRule="auto"/>
        <w:contextualSpacing w:val="0"/>
        <w:rPr>
          <w:rFonts w:ascii="Arial" w:hAnsi="Arial" w:cs="Arial"/>
          <w:noProof/>
          <w:sz w:val="20"/>
          <w:szCs w:val="20"/>
          <w:lang w:eastAsia="ar-SA"/>
        </w:rPr>
      </w:pPr>
      <w:r w:rsidRPr="00786FBC">
        <w:rPr>
          <w:rFonts w:ascii="Arial" w:hAnsi="Arial" w:cs="Arial"/>
          <w:noProof/>
          <w:sz w:val="20"/>
          <w:szCs w:val="20"/>
          <w:lang w:eastAsia="ar-SA"/>
        </w:rPr>
        <w:t>olajšanje prometa, spodbujanje multimodalnosti, ter vključevanja urbanih vozlišč v prometno omrežje</w:t>
      </w:r>
      <w:r w:rsidR="00CF603A">
        <w:rPr>
          <w:rFonts w:ascii="Arial" w:hAnsi="Arial" w:cs="Arial"/>
          <w:noProof/>
          <w:sz w:val="20"/>
          <w:szCs w:val="20"/>
          <w:lang w:eastAsia="ar-SA"/>
        </w:rPr>
        <w:t>,</w:t>
      </w:r>
    </w:p>
    <w:p w14:paraId="5DD3C0D2" w14:textId="0F8E2A31" w:rsidR="00BB0E08" w:rsidRPr="00786FBC" w:rsidRDefault="00BB0E08" w:rsidP="00BB0E08">
      <w:pPr>
        <w:pStyle w:val="Odstavekseznama"/>
        <w:numPr>
          <w:ilvl w:val="0"/>
          <w:numId w:val="24"/>
        </w:numPr>
        <w:spacing w:after="160" w:line="256" w:lineRule="auto"/>
        <w:contextualSpacing w:val="0"/>
        <w:rPr>
          <w:rFonts w:ascii="Arial" w:hAnsi="Arial" w:cs="Arial"/>
          <w:noProof/>
          <w:sz w:val="20"/>
          <w:szCs w:val="20"/>
          <w:lang w:eastAsia="ar-SA"/>
        </w:rPr>
      </w:pPr>
      <w:r w:rsidRPr="00786FBC">
        <w:rPr>
          <w:rFonts w:ascii="Arial" w:hAnsi="Arial" w:cs="Arial"/>
          <w:noProof/>
          <w:sz w:val="20"/>
          <w:szCs w:val="20"/>
          <w:lang w:eastAsia="ar-SA"/>
        </w:rPr>
        <w:t>povečanje odpornosti omrežja TEN-T proti podnebnim spremembam</w:t>
      </w:r>
      <w:r w:rsidR="00CF603A">
        <w:rPr>
          <w:rFonts w:ascii="Arial" w:hAnsi="Arial" w:cs="Arial"/>
          <w:noProof/>
          <w:sz w:val="20"/>
          <w:szCs w:val="20"/>
          <w:lang w:eastAsia="ar-SA"/>
        </w:rPr>
        <w:t>,</w:t>
      </w:r>
      <w:r w:rsidRPr="00786FBC">
        <w:rPr>
          <w:rFonts w:ascii="Arial" w:hAnsi="Arial" w:cs="Arial"/>
          <w:noProof/>
          <w:sz w:val="20"/>
          <w:szCs w:val="20"/>
          <w:lang w:eastAsia="ar-SA"/>
        </w:rPr>
        <w:t xml:space="preserve"> </w:t>
      </w:r>
    </w:p>
    <w:p w14:paraId="1F9923F7" w14:textId="77777777" w:rsidR="00BB0E08" w:rsidRPr="00786FBC" w:rsidRDefault="00BB0E08" w:rsidP="00BB0E08">
      <w:pPr>
        <w:pStyle w:val="Odstavekseznama"/>
        <w:numPr>
          <w:ilvl w:val="0"/>
          <w:numId w:val="24"/>
        </w:numPr>
        <w:spacing w:after="160" w:line="256" w:lineRule="auto"/>
        <w:contextualSpacing w:val="0"/>
        <w:rPr>
          <w:rFonts w:ascii="Arial" w:hAnsi="Arial" w:cs="Arial"/>
          <w:noProof/>
          <w:sz w:val="20"/>
          <w:szCs w:val="20"/>
          <w:lang w:eastAsia="ar-SA"/>
        </w:rPr>
      </w:pPr>
      <w:r w:rsidRPr="00786FBC">
        <w:rPr>
          <w:rFonts w:ascii="Arial" w:hAnsi="Arial" w:cs="Arial"/>
          <w:noProof/>
          <w:sz w:val="20"/>
          <w:szCs w:val="20"/>
          <w:lang w:eastAsia="ar-SA"/>
        </w:rPr>
        <w:t xml:space="preserve">izboljšanje učinkovitosti orodij za upravljanje omrežja TEN-T. </w:t>
      </w:r>
    </w:p>
    <w:p w14:paraId="51056EE1" w14:textId="5BF554B1" w:rsidR="00BB0E08" w:rsidRPr="00733FB9" w:rsidRDefault="00BB0E08" w:rsidP="00BB0E08">
      <w:pPr>
        <w:spacing w:after="160" w:line="256" w:lineRule="auto"/>
        <w:jc w:val="both"/>
        <w:rPr>
          <w:rFonts w:cs="Arial"/>
          <w:noProof/>
          <w:szCs w:val="20"/>
          <w:lang w:eastAsia="ar-SA"/>
        </w:rPr>
      </w:pPr>
      <w:r w:rsidRPr="00733FB9">
        <w:rPr>
          <w:rFonts w:cs="Arial"/>
          <w:noProof/>
          <w:szCs w:val="20"/>
          <w:lang w:eastAsia="ar-SA"/>
        </w:rPr>
        <w:t xml:space="preserve">V tekstu revizije TEN-T Uredbe sta urbani vozlišči Ljubljana in Maribor, </w:t>
      </w:r>
      <w:r>
        <w:rPr>
          <w:rFonts w:cs="Arial"/>
          <w:noProof/>
          <w:szCs w:val="20"/>
          <w:lang w:eastAsia="ar-SA"/>
        </w:rPr>
        <w:t>l</w:t>
      </w:r>
      <w:r w:rsidRPr="00733FB9">
        <w:rPr>
          <w:rFonts w:cs="Arial"/>
          <w:noProof/>
          <w:szCs w:val="20"/>
          <w:lang w:eastAsia="ar-SA"/>
        </w:rPr>
        <w:t xml:space="preserve">jubljansko letališče je jedrno, letališči v Mariboru in Portorožu sta celoviti, jedrno pomorsko pristanišče je Koper, jedrni železniško-cestni terminal je v Ljubljani, celovit v Mariboru. Hkrati potekajo preko teritorija in akvatorija Republike </w:t>
      </w:r>
      <w:r w:rsidRPr="00733FB9">
        <w:rPr>
          <w:rFonts w:cs="Arial"/>
          <w:noProof/>
          <w:szCs w:val="20"/>
          <w:lang w:eastAsia="ar-SA"/>
        </w:rPr>
        <w:lastRenderedPageBreak/>
        <w:t>Slovenije trije jedrni koridorji: Baltik – Jadran, Mediteranski in Zahodni Balkan</w:t>
      </w:r>
      <w:r>
        <w:rPr>
          <w:rFonts w:cs="Arial"/>
          <w:noProof/>
          <w:szCs w:val="20"/>
          <w:lang w:eastAsia="ar-SA"/>
        </w:rPr>
        <w:t xml:space="preserve"> – Vzhodni Mediteran</w:t>
      </w:r>
      <w:r w:rsidRPr="00733FB9">
        <w:rPr>
          <w:rFonts w:cs="Arial"/>
          <w:noProof/>
          <w:szCs w:val="20"/>
          <w:lang w:eastAsia="ar-SA"/>
        </w:rPr>
        <w:t xml:space="preserve">; s tem </w:t>
      </w:r>
      <w:r>
        <w:rPr>
          <w:rFonts w:cs="Arial"/>
          <w:noProof/>
          <w:szCs w:val="20"/>
          <w:lang w:eastAsia="ar-SA"/>
        </w:rPr>
        <w:t xml:space="preserve">je Slovenija </w:t>
      </w:r>
      <w:r w:rsidRPr="00733FB9">
        <w:rPr>
          <w:rFonts w:cs="Arial"/>
          <w:noProof/>
          <w:szCs w:val="20"/>
          <w:lang w:eastAsia="ar-SA"/>
        </w:rPr>
        <w:t xml:space="preserve">edina država članica EU, </w:t>
      </w:r>
      <w:r w:rsidR="00CF603A">
        <w:rPr>
          <w:rFonts w:cs="Arial"/>
          <w:noProof/>
          <w:szCs w:val="20"/>
          <w:lang w:eastAsia="ar-SA"/>
        </w:rPr>
        <w:t xml:space="preserve">ki </w:t>
      </w:r>
      <w:r w:rsidRPr="00733FB9">
        <w:rPr>
          <w:rFonts w:cs="Arial"/>
          <w:noProof/>
          <w:szCs w:val="20"/>
          <w:lang w:eastAsia="ar-SA"/>
        </w:rPr>
        <w:t xml:space="preserve">ima tri jedrne TEN-T koridorje. </w:t>
      </w:r>
    </w:p>
    <w:p w14:paraId="587B97C3" w14:textId="77777777" w:rsidR="00BB0E08" w:rsidRPr="00D91C6C" w:rsidRDefault="00BB0E08" w:rsidP="00BB0E08">
      <w:pPr>
        <w:spacing w:after="160" w:line="256" w:lineRule="auto"/>
        <w:jc w:val="both"/>
        <w:rPr>
          <w:rFonts w:cs="Arial"/>
          <w:noProof/>
          <w:szCs w:val="20"/>
          <w:lang w:eastAsia="ar-SA"/>
        </w:rPr>
      </w:pPr>
      <w:r w:rsidRPr="00D91C6C">
        <w:rPr>
          <w:rFonts w:cs="Arial"/>
          <w:noProof/>
          <w:szCs w:val="20"/>
          <w:lang w:eastAsia="ar-SA"/>
        </w:rPr>
        <w:t>TEN-T Uredba hkrati s opredelitvijo urbanih centrov v Strategiji prostorskega razvoja RS predstavlja temelj teritorialne kohezije. Temelj socialne kohezije predstavlj</w:t>
      </w:r>
      <w:r>
        <w:rPr>
          <w:rFonts w:cs="Arial"/>
          <w:noProof/>
          <w:szCs w:val="20"/>
          <w:lang w:eastAsia="ar-SA"/>
        </w:rPr>
        <w:t>a</w:t>
      </w:r>
      <w:r w:rsidRPr="00D91C6C">
        <w:rPr>
          <w:rFonts w:cs="Arial"/>
          <w:noProof/>
          <w:szCs w:val="20"/>
          <w:lang w:eastAsia="ar-SA"/>
        </w:rPr>
        <w:t xml:space="preserve"> načrtovanje in izvedba stanovanjske gradnje v urbanih centrih, temelj gospodarske kohezije pa načrtovanje, izvedba in upravljanje </w:t>
      </w:r>
      <w:r>
        <w:rPr>
          <w:rFonts w:cs="Arial"/>
          <w:noProof/>
          <w:szCs w:val="20"/>
          <w:lang w:eastAsia="ar-SA"/>
        </w:rPr>
        <w:t xml:space="preserve">industrijsko-poslovnih </w:t>
      </w:r>
      <w:r w:rsidRPr="00D91C6C">
        <w:rPr>
          <w:rFonts w:cs="Arial"/>
          <w:noProof/>
          <w:szCs w:val="20"/>
          <w:lang w:eastAsia="ar-SA"/>
        </w:rPr>
        <w:t xml:space="preserve">con v istih urbanih centrih. </w:t>
      </w:r>
    </w:p>
    <w:p w14:paraId="1879EE81" w14:textId="53AF97CB" w:rsidR="00BB0E08" w:rsidRPr="00105B08" w:rsidRDefault="00BB0E08" w:rsidP="00105B08">
      <w:pPr>
        <w:pStyle w:val="Odstavekseznama"/>
        <w:numPr>
          <w:ilvl w:val="1"/>
          <w:numId w:val="22"/>
        </w:numPr>
        <w:jc w:val="both"/>
        <w:rPr>
          <w:rFonts w:cs="Arial"/>
          <w:b/>
          <w:bCs/>
          <w:noProof/>
          <w:szCs w:val="20"/>
          <w:lang w:eastAsia="ar-SA"/>
        </w:rPr>
      </w:pPr>
      <w:r w:rsidRPr="00105B08">
        <w:rPr>
          <w:rFonts w:ascii="Arial" w:hAnsi="Arial" w:cs="Arial"/>
          <w:b/>
          <w:bCs/>
          <w:noProof/>
          <w:sz w:val="20"/>
          <w:szCs w:val="20"/>
          <w:lang w:eastAsia="ar-SA"/>
        </w:rPr>
        <w:t>Strategija prostorskega razvoja Slovenije 2050 (ReSPR50</w:t>
      </w:r>
      <w:r w:rsidR="00E41129" w:rsidRPr="00105B08">
        <w:rPr>
          <w:rFonts w:ascii="Arial" w:hAnsi="Arial" w:cs="Arial"/>
          <w:b/>
          <w:bCs/>
          <w:noProof/>
          <w:sz w:val="20"/>
          <w:szCs w:val="20"/>
          <w:lang w:eastAsia="ar-SA"/>
        </w:rPr>
        <w:t>)</w:t>
      </w:r>
    </w:p>
    <w:p w14:paraId="18BF9C77" w14:textId="030A98A4" w:rsidR="00BB0E08" w:rsidRDefault="00CF603A" w:rsidP="00BB0E08">
      <w:pPr>
        <w:spacing w:after="160" w:line="256" w:lineRule="auto"/>
        <w:jc w:val="both"/>
        <w:rPr>
          <w:rFonts w:cs="Arial"/>
          <w:noProof/>
          <w:szCs w:val="20"/>
          <w:lang w:eastAsia="ar-SA"/>
        </w:rPr>
      </w:pPr>
      <w:r>
        <w:rPr>
          <w:rFonts w:cs="Arial"/>
          <w:noProof/>
          <w:szCs w:val="20"/>
          <w:lang w:eastAsia="ar-SA"/>
        </w:rPr>
        <w:t xml:space="preserve">V Sloveniji </w:t>
      </w:r>
      <w:r w:rsidR="00BB0E08" w:rsidRPr="00D91C6C">
        <w:rPr>
          <w:rFonts w:cs="Arial"/>
          <w:noProof/>
          <w:szCs w:val="20"/>
          <w:lang w:eastAsia="ar-SA"/>
        </w:rPr>
        <w:t>obstajajo regionalni centri, k</w:t>
      </w:r>
      <w:r>
        <w:rPr>
          <w:rFonts w:cs="Arial"/>
          <w:noProof/>
          <w:szCs w:val="20"/>
          <w:lang w:eastAsia="ar-SA"/>
        </w:rPr>
        <w:t>i</w:t>
      </w:r>
      <w:r w:rsidR="00BB0E08" w:rsidRPr="00D91C6C">
        <w:rPr>
          <w:rFonts w:cs="Arial"/>
          <w:noProof/>
          <w:szCs w:val="20"/>
          <w:lang w:eastAsia="ar-SA"/>
        </w:rPr>
        <w:t xml:space="preserve"> morajo predstavljati urbane centre razvojne politike socialne, gospodarske in teritorialne kohezije E</w:t>
      </w:r>
      <w:r w:rsidR="00BB0E08">
        <w:rPr>
          <w:rFonts w:cs="Arial"/>
          <w:noProof/>
          <w:szCs w:val="20"/>
          <w:lang w:eastAsia="ar-SA"/>
        </w:rPr>
        <w:t>U</w:t>
      </w:r>
      <w:r w:rsidR="00BB0E08" w:rsidRPr="00D91C6C">
        <w:rPr>
          <w:rFonts w:cs="Arial"/>
          <w:noProof/>
          <w:szCs w:val="20"/>
          <w:lang w:eastAsia="ar-SA"/>
        </w:rPr>
        <w:t>. Opredeljeni so preko središč 12 razvojnih regij za potrebe izvajanja evropske kohezijske politike (</w:t>
      </w:r>
      <w:r w:rsidR="00BB0E08">
        <w:rPr>
          <w:rFonts w:cs="Arial"/>
          <w:noProof/>
          <w:szCs w:val="20"/>
          <w:lang w:eastAsia="ar-SA"/>
        </w:rPr>
        <w:t xml:space="preserve">v skladu z </w:t>
      </w:r>
      <w:r w:rsidR="00BB0E08" w:rsidRPr="00D91C6C">
        <w:rPr>
          <w:rFonts w:cs="Arial"/>
          <w:noProof/>
          <w:szCs w:val="20"/>
          <w:lang w:eastAsia="ar-SA"/>
        </w:rPr>
        <w:t>Zakon</w:t>
      </w:r>
      <w:r w:rsidR="00BB0E08">
        <w:rPr>
          <w:rFonts w:cs="Arial"/>
          <w:noProof/>
          <w:szCs w:val="20"/>
          <w:lang w:eastAsia="ar-SA"/>
        </w:rPr>
        <w:t>om</w:t>
      </w:r>
      <w:r w:rsidR="00BB0E08" w:rsidRPr="00D91C6C">
        <w:rPr>
          <w:rFonts w:cs="Arial"/>
          <w:noProof/>
          <w:szCs w:val="20"/>
          <w:lang w:eastAsia="ar-SA"/>
        </w:rPr>
        <w:t xml:space="preserve"> o spodbujanju skladne</w:t>
      </w:r>
      <w:r>
        <w:rPr>
          <w:rFonts w:cs="Arial"/>
          <w:noProof/>
          <w:szCs w:val="20"/>
          <w:lang w:eastAsia="ar-SA"/>
        </w:rPr>
        <w:t>ga</w:t>
      </w:r>
      <w:r w:rsidR="00BB0E08" w:rsidRPr="00D91C6C">
        <w:rPr>
          <w:rFonts w:cs="Arial"/>
          <w:noProof/>
          <w:szCs w:val="20"/>
          <w:lang w:eastAsia="ar-SA"/>
        </w:rPr>
        <w:t xml:space="preserve"> regionalnega razvoja)</w:t>
      </w:r>
      <w:r w:rsidRPr="00CF603A">
        <w:rPr>
          <w:rFonts w:cs="Arial"/>
          <w:noProof/>
          <w:szCs w:val="20"/>
          <w:lang w:eastAsia="ar-SA"/>
        </w:rPr>
        <w:t xml:space="preserve"> (Uradni list RS, št. 20/11, 57/12, 46/16 in 18/23 – ZDU-1O),</w:t>
      </w:r>
      <w:r w:rsidR="00BB0E08" w:rsidRPr="00D91C6C">
        <w:rPr>
          <w:rFonts w:cs="Arial"/>
          <w:noProof/>
          <w:szCs w:val="20"/>
          <w:lang w:eastAsia="ar-SA"/>
        </w:rPr>
        <w:t xml:space="preserve">, preko </w:t>
      </w:r>
      <w:r w:rsidR="00BB0E08">
        <w:rPr>
          <w:rFonts w:cs="Arial"/>
          <w:noProof/>
          <w:szCs w:val="20"/>
          <w:lang w:eastAsia="ar-SA"/>
        </w:rPr>
        <w:t xml:space="preserve">12 </w:t>
      </w:r>
      <w:r w:rsidR="00BB0E08" w:rsidRPr="00D91C6C">
        <w:rPr>
          <w:rFonts w:cs="Arial"/>
          <w:noProof/>
          <w:szCs w:val="20"/>
          <w:lang w:eastAsia="ar-SA"/>
        </w:rPr>
        <w:t xml:space="preserve">statističnih regij, preko 12 mestnih občin, kot urbani centri različnih kategorij v Strategiji prostorskega razvoja Slovenije (SPRS), kot intermodalna vozlišča v TEN-T Uredbi, slednjič kot lokacije stanovanjskih con v regionalnih centrih. </w:t>
      </w:r>
    </w:p>
    <w:p w14:paraId="09E22D4B" w14:textId="487A9378" w:rsidR="00BB0E08" w:rsidRDefault="00BB0E08" w:rsidP="00BB0E08">
      <w:pPr>
        <w:jc w:val="both"/>
        <w:rPr>
          <w:rFonts w:cs="Arial"/>
          <w:noProof/>
          <w:szCs w:val="20"/>
          <w:lang w:eastAsia="ar-SA"/>
        </w:rPr>
      </w:pPr>
      <w:r w:rsidRPr="00CF603A">
        <w:rPr>
          <w:rFonts w:cs="Arial"/>
          <w:noProof/>
          <w:szCs w:val="20"/>
          <w:lang w:eastAsia="ar-SA"/>
        </w:rPr>
        <w:t>Strategija</w:t>
      </w:r>
      <w:r w:rsidR="00CF603A" w:rsidRPr="00105B08">
        <w:rPr>
          <w:rFonts w:cs="Arial"/>
          <w:noProof/>
          <w:szCs w:val="20"/>
          <w:lang w:eastAsia="ar-SA"/>
        </w:rPr>
        <w:t xml:space="preserve"> prostorskega razvoja Slovenije 2050</w:t>
      </w:r>
      <w:r w:rsidR="004B1D1C">
        <w:rPr>
          <w:rFonts w:cs="Arial"/>
          <w:noProof/>
          <w:szCs w:val="20"/>
          <w:lang w:eastAsia="ar-SA"/>
        </w:rPr>
        <w:t xml:space="preserve"> </w:t>
      </w:r>
      <w:r w:rsidRPr="00CF603A">
        <w:rPr>
          <w:rFonts w:cs="Arial"/>
          <w:noProof/>
          <w:szCs w:val="20"/>
          <w:lang w:eastAsia="ar-SA"/>
        </w:rPr>
        <w:t>določa</w:t>
      </w:r>
      <w:r>
        <w:rPr>
          <w:rFonts w:cs="Arial"/>
          <w:noProof/>
          <w:szCs w:val="20"/>
          <w:lang w:eastAsia="ar-SA"/>
        </w:rPr>
        <w:t xml:space="preserve"> naslednje:</w:t>
      </w:r>
    </w:p>
    <w:p w14:paraId="33D5A518" w14:textId="77777777" w:rsidR="00177504" w:rsidRDefault="00177504" w:rsidP="00BB0E08">
      <w:pPr>
        <w:jc w:val="both"/>
        <w:rPr>
          <w:rFonts w:cs="Arial"/>
          <w:noProof/>
          <w:szCs w:val="20"/>
          <w:lang w:eastAsia="ar-SA"/>
        </w:rPr>
      </w:pPr>
    </w:p>
    <w:p w14:paraId="44F0423B" w14:textId="77777777" w:rsidR="00BB0E08" w:rsidRPr="003C31C3" w:rsidRDefault="00BB0E08" w:rsidP="00105B08">
      <w:pPr>
        <w:pStyle w:val="Odstavekseznama"/>
        <w:numPr>
          <w:ilvl w:val="0"/>
          <w:numId w:val="39"/>
        </w:numPr>
        <w:spacing w:after="0" w:line="240" w:lineRule="auto"/>
        <w:contextualSpacing w:val="0"/>
        <w:jc w:val="both"/>
        <w:rPr>
          <w:rFonts w:ascii="Arial" w:hAnsi="Arial" w:cs="Arial"/>
          <w:noProof/>
          <w:sz w:val="20"/>
          <w:szCs w:val="20"/>
          <w:lang w:eastAsia="ar-SA"/>
        </w:rPr>
      </w:pPr>
      <w:r w:rsidRPr="003C31C3">
        <w:rPr>
          <w:rFonts w:ascii="Arial" w:hAnsi="Arial" w:cs="Arial"/>
          <w:noProof/>
          <w:sz w:val="20"/>
          <w:szCs w:val="20"/>
          <w:lang w:eastAsia="ar-SA"/>
        </w:rPr>
        <w:t>Merila za presojo pri umeščanju logističnih centrov, gospodarskih con</w:t>
      </w:r>
    </w:p>
    <w:p w14:paraId="50299CD0" w14:textId="77777777" w:rsidR="00BB0E08" w:rsidRPr="00D91C6C" w:rsidRDefault="00BB0E08" w:rsidP="00BB0E08">
      <w:pPr>
        <w:pStyle w:val="Odstavekseznama"/>
        <w:numPr>
          <w:ilvl w:val="0"/>
          <w:numId w:val="17"/>
        </w:numPr>
        <w:spacing w:after="160" w:line="259" w:lineRule="auto"/>
        <w:jc w:val="both"/>
        <w:rPr>
          <w:rFonts w:ascii="Arial" w:eastAsia="Calibri" w:hAnsi="Arial" w:cs="Arial"/>
          <w:noProof/>
          <w:sz w:val="20"/>
          <w:szCs w:val="20"/>
          <w:lang w:eastAsia="ar-SA"/>
        </w:rPr>
      </w:pPr>
      <w:r w:rsidRPr="00D91C6C">
        <w:rPr>
          <w:rFonts w:ascii="Arial" w:eastAsia="Calibri" w:hAnsi="Arial" w:cs="Arial"/>
          <w:noProof/>
          <w:sz w:val="20"/>
          <w:szCs w:val="20"/>
          <w:lang w:eastAsia="ar-SA"/>
        </w:rPr>
        <w:t>gospodarske razmere, zagotovljeni kapital, znanje na področju visoke tehnologije, usposobljenost delovne sile v gravitacijskem območju</w:t>
      </w:r>
      <w:r>
        <w:rPr>
          <w:rFonts w:ascii="Arial" w:eastAsia="Calibri" w:hAnsi="Arial" w:cs="Arial"/>
          <w:noProof/>
          <w:sz w:val="20"/>
          <w:szCs w:val="20"/>
          <w:lang w:eastAsia="ar-SA"/>
        </w:rPr>
        <w:t>,</w:t>
      </w:r>
    </w:p>
    <w:p w14:paraId="6771A70F" w14:textId="77777777" w:rsidR="00BB0E08" w:rsidRPr="00D91C6C" w:rsidRDefault="00BB0E08" w:rsidP="00BB0E08">
      <w:pPr>
        <w:pStyle w:val="Odstavekseznama"/>
        <w:numPr>
          <w:ilvl w:val="0"/>
          <w:numId w:val="17"/>
        </w:numPr>
        <w:spacing w:after="160" w:line="259" w:lineRule="auto"/>
        <w:ind w:left="714" w:hanging="357"/>
        <w:jc w:val="both"/>
        <w:rPr>
          <w:rFonts w:ascii="Arial" w:eastAsia="Calibri" w:hAnsi="Arial" w:cs="Arial"/>
          <w:noProof/>
          <w:sz w:val="20"/>
          <w:szCs w:val="20"/>
          <w:lang w:eastAsia="ar-SA"/>
        </w:rPr>
      </w:pPr>
      <w:r w:rsidRPr="00D91C6C">
        <w:rPr>
          <w:rFonts w:ascii="Arial" w:eastAsia="Calibri" w:hAnsi="Arial" w:cs="Arial"/>
          <w:noProof/>
          <w:sz w:val="20"/>
          <w:szCs w:val="20"/>
          <w:lang w:eastAsia="ar-SA"/>
        </w:rPr>
        <w:t>prostorska merila: vloga središča v urbanem sistemu, dostop s trajnostno mobilnostjo do lokacij gospodarskih con, optimalna povezava s prometnim in energetskim infrastrukturnim omrežjem, možnosti dostopa do infrastrukture elektronskih komunikacij, oddaljenost in velikost že obstoječih gospodarskih con ter prometnih terminalov in vozlišč, prostorske možnosti in omejitve</w:t>
      </w:r>
    </w:p>
    <w:p w14:paraId="0E22DFF1" w14:textId="77777777" w:rsidR="00BB0E08" w:rsidRPr="00D91C6C" w:rsidRDefault="00BB0E08" w:rsidP="00BB0E08">
      <w:pPr>
        <w:pStyle w:val="Odstavekseznama"/>
        <w:spacing w:after="160" w:line="259" w:lineRule="auto"/>
        <w:jc w:val="both"/>
        <w:rPr>
          <w:rFonts w:ascii="Arial" w:eastAsia="Calibri" w:hAnsi="Arial" w:cs="Arial"/>
          <w:noProof/>
          <w:sz w:val="20"/>
          <w:szCs w:val="20"/>
          <w:lang w:eastAsia="ar-SA"/>
        </w:rPr>
      </w:pPr>
    </w:p>
    <w:p w14:paraId="6AF5CCD5" w14:textId="77777777" w:rsidR="00BB0E08" w:rsidRPr="003C31C3" w:rsidRDefault="00BB0E08" w:rsidP="00105B08">
      <w:pPr>
        <w:pStyle w:val="Odstavekseznama"/>
        <w:numPr>
          <w:ilvl w:val="0"/>
          <w:numId w:val="39"/>
        </w:numPr>
        <w:spacing w:after="160" w:line="259" w:lineRule="auto"/>
        <w:jc w:val="both"/>
        <w:rPr>
          <w:rFonts w:ascii="Arial" w:eastAsia="Calibri" w:hAnsi="Arial" w:cs="Arial"/>
          <w:noProof/>
          <w:sz w:val="20"/>
          <w:szCs w:val="20"/>
          <w:lang w:eastAsia="ar-SA"/>
        </w:rPr>
      </w:pPr>
      <w:r w:rsidRPr="003C31C3">
        <w:rPr>
          <w:rFonts w:ascii="Arial" w:eastAsia="Calibri" w:hAnsi="Arial" w:cs="Arial"/>
          <w:noProof/>
          <w:sz w:val="20"/>
          <w:szCs w:val="20"/>
          <w:lang w:eastAsia="ar-SA"/>
        </w:rPr>
        <w:t>Umeščanje logističnih centrov, gospodarskih con</w:t>
      </w:r>
    </w:p>
    <w:p w14:paraId="72BFEEA1" w14:textId="77777777" w:rsidR="00BB0E08" w:rsidRPr="00D91C6C" w:rsidRDefault="00BB0E08" w:rsidP="00BB0E08">
      <w:pPr>
        <w:pStyle w:val="Odstavekseznama"/>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o</w:t>
      </w:r>
      <w:r w:rsidRPr="00D91C6C">
        <w:rPr>
          <w:rFonts w:ascii="Arial" w:eastAsia="Calibri" w:hAnsi="Arial" w:cs="Arial"/>
          <w:noProof/>
          <w:sz w:val="20"/>
          <w:szCs w:val="20"/>
          <w:lang w:eastAsia="ar-SA"/>
        </w:rPr>
        <w:t>b vozliščnih lokacijah tako, da so dobro povezane z javnim potniškim prometom z vseh območij regije in sosednjih regij</w:t>
      </w:r>
      <w:r>
        <w:rPr>
          <w:rFonts w:ascii="Arial" w:eastAsia="Calibri" w:hAnsi="Arial" w:cs="Arial"/>
          <w:noProof/>
          <w:sz w:val="20"/>
          <w:szCs w:val="20"/>
          <w:lang w:eastAsia="ar-SA"/>
        </w:rPr>
        <w:t>,</w:t>
      </w:r>
    </w:p>
    <w:p w14:paraId="29B8FC02" w14:textId="488E87AC" w:rsidR="0095751C" w:rsidRPr="00B35CD2" w:rsidRDefault="00BB0E08" w:rsidP="0095751C">
      <w:pPr>
        <w:pStyle w:val="Odstavekseznama"/>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p</w:t>
      </w:r>
      <w:r w:rsidRPr="00D91C6C">
        <w:rPr>
          <w:rFonts w:ascii="Arial" w:eastAsia="Calibri" w:hAnsi="Arial" w:cs="Arial"/>
          <w:noProof/>
          <w:sz w:val="20"/>
          <w:szCs w:val="20"/>
          <w:lang w:eastAsia="ar-SA"/>
        </w:rPr>
        <w:t>reverijo se možnosti prenove in sanacije opuščenih</w:t>
      </w:r>
      <w:r>
        <w:rPr>
          <w:rFonts w:ascii="Arial" w:eastAsia="Calibri" w:hAnsi="Arial" w:cs="Arial"/>
          <w:noProof/>
          <w:sz w:val="20"/>
          <w:szCs w:val="20"/>
          <w:lang w:eastAsia="ar-SA"/>
        </w:rPr>
        <w:t xml:space="preserve">, </w:t>
      </w:r>
      <w:r w:rsidRPr="00D91C6C">
        <w:rPr>
          <w:rFonts w:ascii="Arial" w:eastAsia="Calibri" w:hAnsi="Arial" w:cs="Arial"/>
          <w:noProof/>
          <w:sz w:val="20"/>
          <w:szCs w:val="20"/>
          <w:lang w:eastAsia="ar-SA"/>
        </w:rPr>
        <w:t>razvrednotenih</w:t>
      </w:r>
      <w:r w:rsidR="002401A8">
        <w:rPr>
          <w:rFonts w:ascii="Arial" w:eastAsia="Calibri" w:hAnsi="Arial" w:cs="Arial"/>
          <w:noProof/>
          <w:sz w:val="20"/>
          <w:szCs w:val="20"/>
          <w:lang w:eastAsia="ar-SA"/>
        </w:rPr>
        <w:t xml:space="preserve"> (funkcionalno</w:t>
      </w:r>
      <w:r>
        <w:rPr>
          <w:rFonts w:ascii="Arial" w:eastAsia="Calibri" w:hAnsi="Arial" w:cs="Arial"/>
          <w:noProof/>
          <w:sz w:val="20"/>
          <w:szCs w:val="20"/>
          <w:lang w:eastAsia="ar-SA"/>
        </w:rPr>
        <w:t>degradiranih</w:t>
      </w:r>
      <w:r w:rsidR="002401A8">
        <w:rPr>
          <w:rFonts w:ascii="Arial" w:eastAsia="Calibri" w:hAnsi="Arial" w:cs="Arial"/>
          <w:noProof/>
          <w:sz w:val="20"/>
          <w:szCs w:val="20"/>
          <w:lang w:eastAsia="ar-SA"/>
        </w:rPr>
        <w:t>)</w:t>
      </w:r>
      <w:r>
        <w:rPr>
          <w:rFonts w:ascii="Arial" w:eastAsia="Calibri" w:hAnsi="Arial" w:cs="Arial"/>
          <w:noProof/>
          <w:sz w:val="20"/>
          <w:szCs w:val="20"/>
          <w:lang w:eastAsia="ar-SA"/>
        </w:rPr>
        <w:t xml:space="preserve"> </w:t>
      </w:r>
      <w:r w:rsidRPr="00D91C6C">
        <w:rPr>
          <w:rFonts w:ascii="Arial" w:eastAsia="Calibri" w:hAnsi="Arial" w:cs="Arial"/>
          <w:noProof/>
          <w:sz w:val="20"/>
          <w:szCs w:val="20"/>
          <w:lang w:eastAsia="ar-SA"/>
        </w:rPr>
        <w:t>območij</w:t>
      </w:r>
      <w:r>
        <w:rPr>
          <w:rFonts w:ascii="Arial" w:eastAsia="Calibri" w:hAnsi="Arial" w:cs="Arial"/>
          <w:noProof/>
          <w:sz w:val="20"/>
          <w:szCs w:val="20"/>
          <w:lang w:eastAsia="ar-SA"/>
        </w:rPr>
        <w:t xml:space="preserve">, </w:t>
      </w:r>
      <w:r w:rsidR="0095751C">
        <w:rPr>
          <w:rFonts w:ascii="Arial" w:eastAsia="Calibri" w:hAnsi="Arial" w:cs="Arial"/>
          <w:noProof/>
          <w:sz w:val="20"/>
          <w:szCs w:val="20"/>
          <w:lang w:eastAsia="ar-SA"/>
        </w:rPr>
        <w:t>in možnosti umeščanja naprav, ki proizvajajo električno energijo iz OVE,</w:t>
      </w:r>
    </w:p>
    <w:p w14:paraId="53CC8416" w14:textId="77777777" w:rsidR="00BB0E08" w:rsidRPr="00D91C6C" w:rsidRDefault="00BB0E08" w:rsidP="00BB0E08">
      <w:pPr>
        <w:pStyle w:val="Odstavekseznama"/>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o</w:t>
      </w:r>
      <w:r w:rsidRPr="00D91C6C">
        <w:rPr>
          <w:rFonts w:ascii="Arial" w:eastAsia="Calibri" w:hAnsi="Arial" w:cs="Arial"/>
          <w:noProof/>
          <w:sz w:val="20"/>
          <w:szCs w:val="20"/>
          <w:lang w:eastAsia="ar-SA"/>
        </w:rPr>
        <w:t>bmočja morajo v čim večji meri kot celota in posamezni deli izkazovati okoljsko trajnost</w:t>
      </w:r>
      <w:r>
        <w:rPr>
          <w:rFonts w:ascii="Arial" w:eastAsia="Calibri" w:hAnsi="Arial" w:cs="Arial"/>
          <w:noProof/>
          <w:sz w:val="20"/>
          <w:szCs w:val="20"/>
          <w:lang w:eastAsia="ar-SA"/>
        </w:rPr>
        <w:t>,</w:t>
      </w:r>
    </w:p>
    <w:p w14:paraId="67F429A4" w14:textId="77777777" w:rsidR="00BB0E08" w:rsidRPr="00D91C6C" w:rsidRDefault="00BB0E08" w:rsidP="00BB0E08">
      <w:pPr>
        <w:pStyle w:val="Odstavekseznama"/>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o</w:t>
      </w:r>
      <w:r w:rsidRPr="00D91C6C">
        <w:rPr>
          <w:rFonts w:ascii="Arial" w:eastAsia="Calibri" w:hAnsi="Arial" w:cs="Arial"/>
          <w:noProof/>
          <w:sz w:val="20"/>
          <w:szCs w:val="20"/>
          <w:lang w:eastAsia="ar-SA"/>
        </w:rPr>
        <w:t>bmočja nekdanje industrije, ki izpolnjujejo prostorske, okoljske, infrastrukturne in druge pogoje, se dolgoročno ohranjajo in posodabljajo za gospodarski namen</w:t>
      </w:r>
      <w:r>
        <w:rPr>
          <w:rFonts w:ascii="Arial" w:eastAsia="Calibri" w:hAnsi="Arial" w:cs="Arial"/>
          <w:noProof/>
          <w:sz w:val="20"/>
          <w:szCs w:val="20"/>
          <w:lang w:eastAsia="ar-SA"/>
        </w:rPr>
        <w:t>,</w:t>
      </w:r>
    </w:p>
    <w:p w14:paraId="1CEE56C4" w14:textId="77777777" w:rsidR="00BB0E08" w:rsidRPr="00D91C6C" w:rsidRDefault="00BB0E08" w:rsidP="00BB0E08">
      <w:pPr>
        <w:pStyle w:val="Odstavekseznama"/>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p</w:t>
      </w:r>
      <w:r w:rsidRPr="00D91C6C">
        <w:rPr>
          <w:rFonts w:ascii="Arial" w:eastAsia="Calibri" w:hAnsi="Arial" w:cs="Arial"/>
          <w:noProof/>
          <w:sz w:val="20"/>
          <w:szCs w:val="20"/>
          <w:lang w:eastAsia="ar-SA"/>
        </w:rPr>
        <w:t>otencialno primerne so tudi lokacije na podeželju, zlasti v bližini središč, vendar morajo nove dejavnosti prispevati k večfunkcionalnost prostora, zmanjševanju ranljivost in ogroženosti prostorskih struktur ter prebivalstva, izboljševanju stanja okolja in kakovosti življenja prebivalcev, večjemu vključevanju kulturne dediščine v življenje podeželskih skupnosti ter k ohranjanju prepoznavnosti naselij in krajine</w:t>
      </w:r>
      <w:r>
        <w:rPr>
          <w:rFonts w:ascii="Arial" w:eastAsia="Calibri" w:hAnsi="Arial" w:cs="Arial"/>
          <w:noProof/>
          <w:sz w:val="20"/>
          <w:szCs w:val="20"/>
          <w:lang w:eastAsia="ar-SA"/>
        </w:rPr>
        <w:t>.</w:t>
      </w:r>
    </w:p>
    <w:p w14:paraId="7E835D0A" w14:textId="77777777" w:rsidR="00BB0E08" w:rsidRPr="003C31C3" w:rsidRDefault="00BB0E08" w:rsidP="00BB0E08">
      <w:pPr>
        <w:jc w:val="both"/>
        <w:rPr>
          <w:rFonts w:cs="Arial"/>
          <w:noProof/>
          <w:szCs w:val="20"/>
          <w:lang w:eastAsia="ar-SA"/>
        </w:rPr>
      </w:pPr>
    </w:p>
    <w:p w14:paraId="10953F8C" w14:textId="77777777" w:rsidR="00BB0E08" w:rsidRPr="003C31C3" w:rsidRDefault="00BB0E08" w:rsidP="00105B08">
      <w:pPr>
        <w:pStyle w:val="Odstavekseznama"/>
        <w:numPr>
          <w:ilvl w:val="0"/>
          <w:numId w:val="39"/>
        </w:numPr>
        <w:spacing w:after="160" w:line="259" w:lineRule="auto"/>
        <w:jc w:val="both"/>
        <w:rPr>
          <w:rFonts w:ascii="Arial" w:eastAsia="Calibri" w:hAnsi="Arial" w:cs="Arial"/>
          <w:noProof/>
          <w:sz w:val="20"/>
          <w:szCs w:val="20"/>
          <w:lang w:eastAsia="ar-SA"/>
        </w:rPr>
      </w:pPr>
      <w:r w:rsidRPr="003C31C3">
        <w:rPr>
          <w:rFonts w:ascii="Arial" w:eastAsia="Calibri" w:hAnsi="Arial" w:cs="Arial"/>
          <w:noProof/>
          <w:sz w:val="20"/>
          <w:szCs w:val="20"/>
          <w:lang w:eastAsia="ar-SA"/>
        </w:rPr>
        <w:t>Prednostna območja</w:t>
      </w:r>
    </w:p>
    <w:p w14:paraId="48B39B86" w14:textId="77777777" w:rsidR="00BB0E08" w:rsidRPr="00D91C6C" w:rsidRDefault="00BB0E08" w:rsidP="00BB0E08">
      <w:pPr>
        <w:pStyle w:val="Odstavekseznama"/>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p</w:t>
      </w:r>
      <w:r w:rsidRPr="00D91C6C">
        <w:rPr>
          <w:rFonts w:ascii="Arial" w:eastAsia="Calibri" w:hAnsi="Arial" w:cs="Arial"/>
          <w:noProof/>
          <w:sz w:val="20"/>
          <w:szCs w:val="20"/>
          <w:lang w:eastAsia="ar-SA"/>
        </w:rPr>
        <w:t>rednostna območja za zgostitev gospodarskih dejavnosti (tudi proizvodnih ali drugih poslovnih dejavnosti) se določajo v okviru širših mestnih območij v središčih prve ali druge ravni – izjemoma tudi v središčih tretje in četrte ravni, ki že imajo večja sklenjena industrijska ali proizvodna območja (20 ha)</w:t>
      </w:r>
      <w:r>
        <w:rPr>
          <w:rFonts w:ascii="Arial" w:eastAsia="Calibri" w:hAnsi="Arial" w:cs="Arial"/>
          <w:noProof/>
          <w:sz w:val="20"/>
          <w:szCs w:val="20"/>
          <w:lang w:eastAsia="ar-SA"/>
        </w:rPr>
        <w:t>,</w:t>
      </w:r>
    </w:p>
    <w:p w14:paraId="2D625054" w14:textId="77777777" w:rsidR="00BB0E08" w:rsidRPr="00D91C6C" w:rsidRDefault="00BB0E08" w:rsidP="00BB0E08">
      <w:pPr>
        <w:pStyle w:val="Odstavekseznama"/>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p</w:t>
      </w:r>
      <w:r w:rsidRPr="00D91C6C">
        <w:rPr>
          <w:rFonts w:ascii="Arial" w:eastAsia="Calibri" w:hAnsi="Arial" w:cs="Arial"/>
          <w:noProof/>
          <w:sz w:val="20"/>
          <w:szCs w:val="20"/>
          <w:lang w:eastAsia="ar-SA"/>
        </w:rPr>
        <w:t>rednostno se poiščejo v okviru notranjega razvoja urbanih naselij, zlasti v okviru prestrukturiranja prenove in zgoščanja razvrednotenih območij ali površin obstoječih gospodarskih in poslovnih con</w:t>
      </w:r>
      <w:r>
        <w:rPr>
          <w:rFonts w:ascii="Arial" w:eastAsia="Calibri" w:hAnsi="Arial" w:cs="Arial"/>
          <w:noProof/>
          <w:sz w:val="20"/>
          <w:szCs w:val="20"/>
          <w:lang w:eastAsia="ar-SA"/>
        </w:rPr>
        <w:t>,</w:t>
      </w:r>
    </w:p>
    <w:p w14:paraId="2FB06887" w14:textId="77777777" w:rsidR="00BB0E08" w:rsidRPr="00D91C6C" w:rsidRDefault="00BB0E08" w:rsidP="00BB0E08">
      <w:pPr>
        <w:pStyle w:val="Odstavekseznama"/>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o</w:t>
      </w:r>
      <w:r w:rsidRPr="00D91C6C">
        <w:rPr>
          <w:rFonts w:ascii="Arial" w:eastAsia="Calibri" w:hAnsi="Arial" w:cs="Arial"/>
          <w:noProof/>
          <w:sz w:val="20"/>
          <w:szCs w:val="20"/>
          <w:lang w:eastAsia="ar-SA"/>
        </w:rPr>
        <w:t>bmočja za gospodarske dejavnosti, pri katerih je pomembna racionalna transportna oddaljenost med surovinsko bazo in uporabniki, kot je pri predelavi lesa ali mineralnih surovin, se lahko poiščejo tudi v središčih četrte ravni ali v drugih naseljih, pomembnih za regijo, če se prednostno zagotovi prevoz po železnici</w:t>
      </w:r>
      <w:r>
        <w:rPr>
          <w:rFonts w:ascii="Arial" w:eastAsia="Calibri" w:hAnsi="Arial" w:cs="Arial"/>
          <w:noProof/>
          <w:sz w:val="20"/>
          <w:szCs w:val="20"/>
          <w:lang w:eastAsia="ar-SA"/>
        </w:rPr>
        <w:t>,</w:t>
      </w:r>
    </w:p>
    <w:p w14:paraId="1DA6DDDC" w14:textId="77777777" w:rsidR="00BB0E08" w:rsidRDefault="00BB0E08" w:rsidP="00BB0E08">
      <w:pPr>
        <w:pStyle w:val="Odstavekseznama"/>
        <w:numPr>
          <w:ilvl w:val="0"/>
          <w:numId w:val="17"/>
        </w:numPr>
        <w:spacing w:after="160" w:line="259" w:lineRule="auto"/>
        <w:jc w:val="both"/>
        <w:rPr>
          <w:rFonts w:ascii="Arial" w:eastAsia="Calibri" w:hAnsi="Arial" w:cs="Arial"/>
          <w:noProof/>
          <w:sz w:val="20"/>
          <w:szCs w:val="20"/>
          <w:lang w:eastAsia="ar-SA"/>
        </w:rPr>
      </w:pPr>
      <w:r>
        <w:rPr>
          <w:rFonts w:ascii="Arial" w:eastAsia="Calibri" w:hAnsi="Arial" w:cs="Arial"/>
          <w:noProof/>
          <w:sz w:val="20"/>
          <w:szCs w:val="20"/>
          <w:lang w:eastAsia="ar-SA"/>
        </w:rPr>
        <w:lastRenderedPageBreak/>
        <w:t>d</w:t>
      </w:r>
      <w:r w:rsidRPr="00D91C6C">
        <w:rPr>
          <w:rFonts w:ascii="Arial" w:eastAsia="Calibri" w:hAnsi="Arial" w:cs="Arial"/>
          <w:noProof/>
          <w:sz w:val="20"/>
          <w:szCs w:val="20"/>
          <w:lang w:eastAsia="ar-SA"/>
        </w:rPr>
        <w:t>oločajo se v okviru regionalnih prostorskih planov v skladu z usmeritvami strategije</w:t>
      </w:r>
      <w:r>
        <w:rPr>
          <w:rFonts w:ascii="Arial" w:eastAsia="Calibri" w:hAnsi="Arial" w:cs="Arial"/>
          <w:noProof/>
          <w:sz w:val="20"/>
          <w:szCs w:val="20"/>
          <w:lang w:eastAsia="ar-SA"/>
        </w:rPr>
        <w:t>.</w:t>
      </w:r>
    </w:p>
    <w:p w14:paraId="2599FA18" w14:textId="77777777" w:rsidR="00BB0E08" w:rsidRDefault="00BB0E08" w:rsidP="00BB0E08">
      <w:pPr>
        <w:pStyle w:val="Odstavekseznama"/>
        <w:spacing w:after="160" w:line="259" w:lineRule="auto"/>
        <w:jc w:val="both"/>
        <w:rPr>
          <w:rFonts w:ascii="Arial" w:eastAsia="Calibri" w:hAnsi="Arial" w:cs="Arial"/>
          <w:noProof/>
          <w:sz w:val="20"/>
          <w:szCs w:val="20"/>
          <w:lang w:eastAsia="ar-SA"/>
        </w:rPr>
      </w:pPr>
    </w:p>
    <w:p w14:paraId="1F1C34E6" w14:textId="77777777" w:rsidR="00BB0E08" w:rsidRPr="00105B08" w:rsidRDefault="00BB0E08" w:rsidP="00105B08">
      <w:pPr>
        <w:pStyle w:val="Odstavekseznama"/>
        <w:numPr>
          <w:ilvl w:val="1"/>
          <w:numId w:val="22"/>
        </w:numPr>
        <w:jc w:val="both"/>
        <w:rPr>
          <w:rFonts w:ascii="Arial" w:hAnsi="Arial" w:cs="Arial"/>
          <w:b/>
          <w:bCs/>
          <w:noProof/>
          <w:sz w:val="20"/>
          <w:szCs w:val="20"/>
          <w:lang w:eastAsia="ar-SA"/>
        </w:rPr>
      </w:pPr>
      <w:r w:rsidRPr="00105B08">
        <w:rPr>
          <w:rFonts w:ascii="Arial" w:hAnsi="Arial" w:cs="Arial"/>
          <w:b/>
          <w:bCs/>
          <w:noProof/>
          <w:sz w:val="20"/>
          <w:szCs w:val="20"/>
          <w:lang w:eastAsia="ar-SA"/>
        </w:rPr>
        <w:t>Izvedba ciljnih raziskovalnih programov (CRP):</w:t>
      </w:r>
    </w:p>
    <w:p w14:paraId="18262EA7" w14:textId="1EF79EE4" w:rsidR="00BB0E08" w:rsidRPr="002D4324" w:rsidRDefault="00BB0E08" w:rsidP="00BB0E08">
      <w:pPr>
        <w:ind w:left="360"/>
        <w:jc w:val="both"/>
        <w:rPr>
          <w:rFonts w:cs="Arial"/>
          <w:noProof/>
          <w:szCs w:val="20"/>
          <w:lang w:eastAsia="ar-SA"/>
        </w:rPr>
      </w:pPr>
      <w:r w:rsidRPr="002D4324">
        <w:rPr>
          <w:rFonts w:cs="Arial"/>
          <w:noProof/>
          <w:szCs w:val="20"/>
          <w:lang w:eastAsia="ar-SA"/>
        </w:rPr>
        <w:t>Do sedaj sta bila izvedena 2 CRP-a na temo poslovnih con in degradiranih območij</w:t>
      </w:r>
      <w:r>
        <w:rPr>
          <w:rFonts w:cs="Arial"/>
          <w:noProof/>
          <w:szCs w:val="20"/>
          <w:lang w:eastAsia="ar-SA"/>
        </w:rPr>
        <w:t xml:space="preserve"> (medresorska izvedba z različnimi nosilci in deležniki)</w:t>
      </w:r>
      <w:r w:rsidRPr="002D4324">
        <w:rPr>
          <w:rFonts w:cs="Arial"/>
          <w:noProof/>
          <w:szCs w:val="20"/>
          <w:lang w:eastAsia="ar-SA"/>
        </w:rPr>
        <w:t xml:space="preserve">,  ki sta pokazala tako izzive kot priložnosti na področju industrijsko-poslovnih con. </w:t>
      </w:r>
    </w:p>
    <w:p w14:paraId="0BD88102" w14:textId="77777777" w:rsidR="00BB0E08" w:rsidRDefault="00BB0E08" w:rsidP="00BB0E08">
      <w:pPr>
        <w:pStyle w:val="Odstavekseznama"/>
        <w:jc w:val="both"/>
        <w:rPr>
          <w:rFonts w:ascii="Arial" w:eastAsia="Calibri" w:hAnsi="Arial" w:cs="Arial"/>
          <w:noProof/>
          <w:sz w:val="20"/>
          <w:szCs w:val="20"/>
          <w:lang w:eastAsia="ar-SA"/>
        </w:rPr>
      </w:pPr>
    </w:p>
    <w:p w14:paraId="0BD9D005" w14:textId="77777777" w:rsidR="00BB0E08" w:rsidRPr="00EF60BF" w:rsidRDefault="00BB0E08" w:rsidP="00105B08">
      <w:pPr>
        <w:pStyle w:val="Odstavekseznama"/>
        <w:numPr>
          <w:ilvl w:val="2"/>
          <w:numId w:val="22"/>
        </w:numPr>
        <w:spacing w:line="240" w:lineRule="auto"/>
        <w:jc w:val="both"/>
        <w:rPr>
          <w:rFonts w:ascii="Arial" w:eastAsia="Times New Roman" w:hAnsi="Arial" w:cs="Arial"/>
          <w:noProof/>
          <w:sz w:val="20"/>
          <w:szCs w:val="20"/>
          <w:lang w:val="sl-SI" w:eastAsia="ar-SA"/>
        </w:rPr>
      </w:pPr>
      <w:r w:rsidRPr="00105B08">
        <w:rPr>
          <w:rFonts w:ascii="Arial" w:eastAsia="Times New Roman" w:hAnsi="Arial" w:cs="Arial"/>
          <w:noProof/>
          <w:sz w:val="20"/>
          <w:szCs w:val="20"/>
          <w:lang w:val="sl-SI" w:eastAsia="ar-SA"/>
        </w:rPr>
        <w:t>CRP Poslovne cone: metodologija za popis poslovnih con in subjektov inovativnega okolja na območju Slovenije, izvedba terenskega popisa in vzpostavitev ažurne evidence</w:t>
      </w:r>
    </w:p>
    <w:p w14:paraId="11B0DD51" w14:textId="77777777" w:rsidR="00177504" w:rsidRDefault="00BB0E08" w:rsidP="00BB0E08">
      <w:pPr>
        <w:jc w:val="both"/>
        <w:rPr>
          <w:rFonts w:cs="Arial"/>
          <w:noProof/>
          <w:szCs w:val="20"/>
          <w:lang w:eastAsia="ar-SA"/>
        </w:rPr>
      </w:pPr>
      <w:r>
        <w:rPr>
          <w:rFonts w:cs="Arial"/>
          <w:noProof/>
          <w:szCs w:val="20"/>
          <w:lang w:eastAsia="ar-SA"/>
        </w:rPr>
        <w:t>Projekt je obsegal p</w:t>
      </w:r>
      <w:r w:rsidRPr="00300898">
        <w:rPr>
          <w:rFonts w:cs="Arial"/>
          <w:noProof/>
          <w:szCs w:val="20"/>
          <w:lang w:eastAsia="ar-SA"/>
        </w:rPr>
        <w:t>ostavitev metodologije za popis poslovnih con in subjektov inovativnega okolja (inkubatorjev - podjetniških, univerzitetnih, tehnoloških parkov, so-delo, pospeševalnikov itd.) na območju Slovenije</w:t>
      </w:r>
      <w:r>
        <w:rPr>
          <w:rFonts w:cs="Arial"/>
          <w:noProof/>
          <w:szCs w:val="20"/>
          <w:lang w:eastAsia="ar-SA"/>
        </w:rPr>
        <w:t xml:space="preserve"> </w:t>
      </w:r>
      <w:r w:rsidRPr="00300898">
        <w:rPr>
          <w:rFonts w:cs="Arial"/>
          <w:noProof/>
          <w:szCs w:val="20"/>
          <w:lang w:eastAsia="ar-SA"/>
        </w:rPr>
        <w:t>ter izvedb</w:t>
      </w:r>
      <w:r>
        <w:rPr>
          <w:rFonts w:cs="Arial"/>
          <w:noProof/>
          <w:szCs w:val="20"/>
          <w:lang w:eastAsia="ar-SA"/>
        </w:rPr>
        <w:t>o</w:t>
      </w:r>
      <w:r w:rsidRPr="00300898">
        <w:rPr>
          <w:rFonts w:cs="Arial"/>
          <w:noProof/>
          <w:szCs w:val="20"/>
          <w:lang w:eastAsia="ar-SA"/>
        </w:rPr>
        <w:t xml:space="preserve"> terenskega popisa in vzpostavitev ažurne evidence.</w:t>
      </w:r>
      <w:r>
        <w:rPr>
          <w:rFonts w:cs="Arial"/>
          <w:noProof/>
          <w:szCs w:val="20"/>
          <w:lang w:eastAsia="ar-SA"/>
        </w:rPr>
        <w:t xml:space="preserve"> </w:t>
      </w:r>
    </w:p>
    <w:p w14:paraId="7F83959E" w14:textId="77777777" w:rsidR="00177504" w:rsidRDefault="00177504" w:rsidP="00BB0E08">
      <w:pPr>
        <w:jc w:val="both"/>
        <w:rPr>
          <w:rFonts w:cs="Arial"/>
          <w:noProof/>
          <w:szCs w:val="20"/>
          <w:lang w:eastAsia="ar-SA"/>
        </w:rPr>
      </w:pPr>
    </w:p>
    <w:p w14:paraId="3E0DFC53" w14:textId="492730AF" w:rsidR="00BB0E08" w:rsidRDefault="00BB0E08" w:rsidP="00BB0E08">
      <w:pPr>
        <w:jc w:val="both"/>
        <w:rPr>
          <w:rFonts w:cs="Arial"/>
          <w:noProof/>
          <w:szCs w:val="20"/>
          <w:lang w:eastAsia="ar-SA"/>
        </w:rPr>
      </w:pPr>
      <w:r>
        <w:rPr>
          <w:rFonts w:cs="Arial"/>
          <w:noProof/>
          <w:szCs w:val="20"/>
          <w:lang w:eastAsia="ar-SA"/>
        </w:rPr>
        <w:t>Cilji so bili:</w:t>
      </w:r>
    </w:p>
    <w:p w14:paraId="3995D1F2" w14:textId="2F144B69" w:rsidR="00BB0E08" w:rsidRPr="002D4324" w:rsidRDefault="00BB0E08" w:rsidP="00BB0E08">
      <w:pPr>
        <w:pStyle w:val="Odstavekseznama"/>
        <w:numPr>
          <w:ilvl w:val="0"/>
          <w:numId w:val="29"/>
        </w:numPr>
        <w:spacing w:after="0" w:line="240" w:lineRule="auto"/>
        <w:contextualSpacing w:val="0"/>
        <w:jc w:val="both"/>
        <w:rPr>
          <w:rFonts w:ascii="Arial" w:eastAsia="Times New Roman" w:hAnsi="Arial" w:cs="Arial"/>
          <w:noProof/>
          <w:sz w:val="20"/>
          <w:szCs w:val="20"/>
          <w:lang w:val="sl-SI" w:eastAsia="ar-SA"/>
        </w:rPr>
      </w:pPr>
      <w:r w:rsidRPr="002D4324">
        <w:rPr>
          <w:rFonts w:ascii="Arial" w:eastAsia="Times New Roman" w:hAnsi="Arial" w:cs="Arial"/>
          <w:noProof/>
          <w:sz w:val="20"/>
          <w:szCs w:val="20"/>
          <w:lang w:val="sl-SI" w:eastAsia="ar-SA"/>
        </w:rPr>
        <w:t>vzpostaviti delujoč sistem spremljanja sprememb poslovnih con in subjektov inovativnega okolja na območju Slovenije za učinkovitejše načrtovanje rabe prostora in umeščanje investicij ter privabljanja investitorjev</w:t>
      </w:r>
      <w:r w:rsidR="00CF603A">
        <w:rPr>
          <w:rFonts w:ascii="Arial" w:eastAsia="Times New Roman" w:hAnsi="Arial" w:cs="Arial"/>
          <w:noProof/>
          <w:sz w:val="20"/>
          <w:szCs w:val="20"/>
          <w:lang w:val="sl-SI" w:eastAsia="ar-SA"/>
        </w:rPr>
        <w:t>,</w:t>
      </w:r>
    </w:p>
    <w:p w14:paraId="43A409EE" w14:textId="389DCD91" w:rsidR="00BB0E08" w:rsidRPr="002D4324" w:rsidRDefault="00BB0E08" w:rsidP="00BB0E08">
      <w:pPr>
        <w:pStyle w:val="Odstavekseznama"/>
        <w:numPr>
          <w:ilvl w:val="0"/>
          <w:numId w:val="26"/>
        </w:numPr>
        <w:spacing w:after="0" w:line="240" w:lineRule="auto"/>
        <w:contextualSpacing w:val="0"/>
        <w:jc w:val="both"/>
        <w:rPr>
          <w:rFonts w:ascii="Arial" w:eastAsia="Times New Roman" w:hAnsi="Arial" w:cs="Arial"/>
          <w:noProof/>
          <w:sz w:val="20"/>
          <w:szCs w:val="20"/>
          <w:lang w:val="sl-SI" w:eastAsia="ar-SA"/>
        </w:rPr>
      </w:pPr>
      <w:r w:rsidRPr="002D4324">
        <w:rPr>
          <w:rFonts w:ascii="Arial" w:eastAsia="Times New Roman" w:hAnsi="Arial" w:cs="Arial"/>
          <w:noProof/>
          <w:sz w:val="20"/>
          <w:szCs w:val="20"/>
          <w:lang w:val="sl-SI" w:eastAsia="ar-SA"/>
        </w:rPr>
        <w:t>ažurirati obstoječe in pridobiti dodatne informacije o poslovnih conah in na tej osnovi identificirati ključne, ki so na nacionalni in regionalni ravni posebej primerne za investitorje (obstoječe, degradirane, širitve)</w:t>
      </w:r>
      <w:r w:rsidR="00CF603A">
        <w:rPr>
          <w:rFonts w:ascii="Arial" w:eastAsia="Times New Roman" w:hAnsi="Arial" w:cs="Arial"/>
          <w:noProof/>
          <w:sz w:val="20"/>
          <w:szCs w:val="20"/>
          <w:lang w:val="sl-SI" w:eastAsia="ar-SA"/>
        </w:rPr>
        <w:t>,</w:t>
      </w:r>
    </w:p>
    <w:p w14:paraId="071DC136" w14:textId="18E40606" w:rsidR="00BB0E08" w:rsidRPr="002D4324" w:rsidRDefault="00BB0E08" w:rsidP="00BB0E08">
      <w:pPr>
        <w:pStyle w:val="Odstavekseznama"/>
        <w:numPr>
          <w:ilvl w:val="0"/>
          <w:numId w:val="26"/>
        </w:numPr>
        <w:spacing w:after="0" w:line="240" w:lineRule="auto"/>
        <w:contextualSpacing w:val="0"/>
        <w:jc w:val="both"/>
        <w:rPr>
          <w:rFonts w:ascii="Arial" w:eastAsia="Times New Roman" w:hAnsi="Arial" w:cs="Arial"/>
          <w:noProof/>
          <w:sz w:val="20"/>
          <w:szCs w:val="20"/>
          <w:lang w:val="sl-SI" w:eastAsia="ar-SA"/>
        </w:rPr>
      </w:pPr>
      <w:r w:rsidRPr="002D4324">
        <w:rPr>
          <w:rFonts w:ascii="Arial" w:eastAsia="Times New Roman" w:hAnsi="Arial" w:cs="Arial"/>
          <w:noProof/>
          <w:sz w:val="20"/>
          <w:szCs w:val="20"/>
          <w:lang w:val="sl-SI" w:eastAsia="ar-SA"/>
        </w:rPr>
        <w:t>ažurirati obstoječe in pridobiti dodatne informacije o subjektih inovativnega okolja s ciljem izboljšanja ukrepov za spodbujanja podjetništva na nacionalni in regionalni ravni</w:t>
      </w:r>
      <w:r w:rsidR="00CF603A">
        <w:rPr>
          <w:rFonts w:ascii="Arial" w:eastAsia="Times New Roman" w:hAnsi="Arial" w:cs="Arial"/>
          <w:noProof/>
          <w:sz w:val="20"/>
          <w:szCs w:val="20"/>
          <w:lang w:val="sl-SI" w:eastAsia="ar-SA"/>
        </w:rPr>
        <w:t>,</w:t>
      </w:r>
    </w:p>
    <w:p w14:paraId="1B89EE9D" w14:textId="77777777" w:rsidR="00BB0E08" w:rsidRPr="002D4324" w:rsidRDefault="00BB0E08" w:rsidP="00BB0E08">
      <w:pPr>
        <w:pStyle w:val="Odstavekseznama"/>
        <w:numPr>
          <w:ilvl w:val="0"/>
          <w:numId w:val="26"/>
        </w:numPr>
        <w:spacing w:after="0" w:line="240" w:lineRule="auto"/>
        <w:contextualSpacing w:val="0"/>
        <w:jc w:val="both"/>
        <w:rPr>
          <w:rFonts w:ascii="Arial" w:eastAsia="Times New Roman" w:hAnsi="Arial" w:cs="Arial"/>
          <w:noProof/>
          <w:sz w:val="20"/>
          <w:szCs w:val="20"/>
          <w:lang w:val="sl-SI" w:eastAsia="ar-SA"/>
        </w:rPr>
      </w:pPr>
      <w:r w:rsidRPr="002D4324">
        <w:rPr>
          <w:rFonts w:ascii="Arial" w:eastAsia="Times New Roman" w:hAnsi="Arial" w:cs="Arial"/>
          <w:noProof/>
          <w:sz w:val="20"/>
          <w:szCs w:val="20"/>
          <w:lang w:val="sl-SI" w:eastAsia="ar-SA"/>
        </w:rPr>
        <w:t>pripraviti izhodišča oz. priporočila za usmerjanje razvojnih ukrepov na področju gospodarskega in prostorskega razvoja za posamezne tipe poslovnih con po dejavnostih in velikosti, ki naj bi prispevala k učinkovitejšemu usklajevanju nacionalne, regionalne in lokalne ravni.</w:t>
      </w:r>
    </w:p>
    <w:p w14:paraId="1593C724" w14:textId="77777777" w:rsidR="00BB0E08" w:rsidRPr="00786FBC" w:rsidRDefault="00BB0E08" w:rsidP="00BB0E08">
      <w:pPr>
        <w:jc w:val="both"/>
        <w:rPr>
          <w:rFonts w:cs="Arial"/>
          <w:noProof/>
          <w:szCs w:val="20"/>
          <w:lang w:eastAsia="ar-SA"/>
        </w:rPr>
      </w:pPr>
    </w:p>
    <w:p w14:paraId="614B7C34" w14:textId="77777777" w:rsidR="00BB0E08" w:rsidRPr="00300898" w:rsidRDefault="00BB0E08" w:rsidP="00BB0E08">
      <w:pPr>
        <w:jc w:val="both"/>
        <w:rPr>
          <w:rFonts w:cs="Arial"/>
          <w:noProof/>
          <w:szCs w:val="20"/>
          <w:lang w:eastAsia="ar-SA"/>
        </w:rPr>
      </w:pPr>
      <w:r>
        <w:rPr>
          <w:rFonts w:cs="Arial"/>
          <w:noProof/>
          <w:szCs w:val="20"/>
          <w:lang w:eastAsia="ar-SA"/>
        </w:rPr>
        <w:t xml:space="preserve">Dodatne informacije glede evidence poslovnih con so na voljo na spletni strani javne agencije SPIRIT Slovenija: </w:t>
      </w:r>
      <w:r w:rsidRPr="002D4324">
        <w:rPr>
          <w:rFonts w:cs="Arial"/>
          <w:noProof/>
          <w:szCs w:val="20"/>
          <w:lang w:eastAsia="ar-SA"/>
        </w:rPr>
        <w:t>https://investslovenia.spiritslovenia.eu/poslovnecone</w:t>
      </w:r>
    </w:p>
    <w:p w14:paraId="27E8C5B6" w14:textId="77777777" w:rsidR="00BB0E08" w:rsidRPr="00D91C6C" w:rsidRDefault="00BB0E08" w:rsidP="00BB0E08">
      <w:pPr>
        <w:jc w:val="both"/>
        <w:rPr>
          <w:rFonts w:cs="Arial"/>
          <w:noProof/>
          <w:szCs w:val="20"/>
          <w:lang w:eastAsia="ar-SA"/>
        </w:rPr>
      </w:pPr>
    </w:p>
    <w:p w14:paraId="27F5A365" w14:textId="7EC7DF8E" w:rsidR="00BB0E08" w:rsidRPr="00105B08" w:rsidRDefault="00BB0E08" w:rsidP="00105B08">
      <w:pPr>
        <w:pStyle w:val="Odstavekseznama"/>
        <w:numPr>
          <w:ilvl w:val="2"/>
          <w:numId w:val="22"/>
        </w:numPr>
        <w:spacing w:line="240" w:lineRule="auto"/>
        <w:jc w:val="both"/>
        <w:rPr>
          <w:rFonts w:ascii="Arial" w:eastAsia="Times New Roman" w:hAnsi="Arial" w:cs="Arial"/>
          <w:noProof/>
          <w:sz w:val="20"/>
          <w:szCs w:val="20"/>
          <w:lang w:val="sl-SI" w:eastAsia="ar-SA"/>
        </w:rPr>
      </w:pPr>
      <w:r w:rsidRPr="00105B08">
        <w:rPr>
          <w:rFonts w:ascii="Arial" w:eastAsia="Times New Roman" w:hAnsi="Arial" w:cs="Arial"/>
          <w:noProof/>
          <w:sz w:val="20"/>
          <w:szCs w:val="20"/>
          <w:lang w:val="sl-SI" w:eastAsia="ar-SA"/>
        </w:rPr>
        <w:t xml:space="preserve">CRP </w:t>
      </w:r>
      <w:r w:rsidR="002401A8" w:rsidRPr="00105B08">
        <w:rPr>
          <w:rFonts w:ascii="Arial" w:eastAsia="Times New Roman" w:hAnsi="Arial" w:cs="Arial"/>
          <w:noProof/>
          <w:sz w:val="20"/>
          <w:szCs w:val="20"/>
          <w:lang w:val="sl-SI" w:eastAsia="ar-SA"/>
        </w:rPr>
        <w:t>Funkcionalno- d</w:t>
      </w:r>
      <w:r w:rsidRPr="00105B08">
        <w:rPr>
          <w:rFonts w:ascii="Arial" w:eastAsia="Times New Roman" w:hAnsi="Arial" w:cs="Arial"/>
          <w:noProof/>
          <w:sz w:val="20"/>
          <w:szCs w:val="20"/>
          <w:lang w:val="sl-SI" w:eastAsia="ar-SA"/>
        </w:rPr>
        <w:t>egradirana območja: celovita metodologija za popis in analizo degradiranih območij ter izvedba pilotnega popisa in vzpostavitev ažurnega registra</w:t>
      </w:r>
    </w:p>
    <w:p w14:paraId="158A3016" w14:textId="77777777" w:rsidR="00BB0E08" w:rsidRPr="00BD560D" w:rsidRDefault="00BB0E08" w:rsidP="00BB0E08">
      <w:pPr>
        <w:spacing w:after="360" w:line="259" w:lineRule="auto"/>
        <w:jc w:val="both"/>
        <w:textAlignment w:val="baseline"/>
        <w:rPr>
          <w:rFonts w:cs="Arial"/>
          <w:noProof/>
          <w:szCs w:val="20"/>
          <w:lang w:eastAsia="ar-SA"/>
        </w:rPr>
      </w:pPr>
      <w:r>
        <w:rPr>
          <w:rFonts w:cs="Arial"/>
          <w:noProof/>
          <w:szCs w:val="20"/>
          <w:lang w:eastAsia="ar-SA"/>
        </w:rPr>
        <w:t>C</w:t>
      </w:r>
      <w:r w:rsidRPr="00BD560D">
        <w:rPr>
          <w:rFonts w:cs="Arial"/>
          <w:noProof/>
          <w:szCs w:val="20"/>
          <w:lang w:eastAsia="ar-SA"/>
        </w:rPr>
        <w:t xml:space="preserve">ilj </w:t>
      </w:r>
      <w:r>
        <w:rPr>
          <w:rFonts w:cs="Arial"/>
          <w:noProof/>
          <w:szCs w:val="20"/>
          <w:lang w:eastAsia="ar-SA"/>
        </w:rPr>
        <w:t xml:space="preserve">projekta </w:t>
      </w:r>
      <w:r w:rsidRPr="00BD560D">
        <w:rPr>
          <w:rFonts w:cs="Arial"/>
          <w:noProof/>
          <w:szCs w:val="20"/>
          <w:lang w:eastAsia="ar-SA"/>
        </w:rPr>
        <w:t>je bila ugotovitev stanja/razmer in vzpostavitev delujočega sistema spremljanja degradiranih območij za učinkovitejše načrtovanje rabe prostora in umeščanje investicij.</w:t>
      </w:r>
      <w:r>
        <w:rPr>
          <w:rFonts w:cs="Arial"/>
          <w:noProof/>
          <w:szCs w:val="20"/>
          <w:lang w:eastAsia="ar-SA"/>
        </w:rPr>
        <w:t xml:space="preserve"> </w:t>
      </w:r>
      <w:r w:rsidRPr="00BD560D">
        <w:rPr>
          <w:rFonts w:cs="Arial"/>
          <w:noProof/>
          <w:szCs w:val="20"/>
          <w:lang w:eastAsia="ar-SA"/>
        </w:rPr>
        <w:t>Cilj je bil tudi, da se obstoječa funkcionalno degradirana območja v Sloveniji  v čim večji meri in čim hitreje reaktivirajo, saj predstavljajo pomemben razvojni in prostorski potencial, tako za spodbujanje gospodarske kot drugih dejavnosti, hkrati pa pomembno rešujejo prostorsko in okoljsko problematiko.</w:t>
      </w:r>
    </w:p>
    <w:p w14:paraId="71638006" w14:textId="77777777" w:rsidR="00BB0E08" w:rsidRPr="00BD560D" w:rsidRDefault="00BB0E08" w:rsidP="00BB0E08">
      <w:pPr>
        <w:spacing w:line="259" w:lineRule="auto"/>
        <w:jc w:val="both"/>
        <w:textAlignment w:val="baseline"/>
        <w:rPr>
          <w:rFonts w:cs="Arial"/>
          <w:noProof/>
          <w:szCs w:val="20"/>
          <w:lang w:eastAsia="ar-SA"/>
        </w:rPr>
      </w:pPr>
      <w:r w:rsidRPr="00BD560D">
        <w:rPr>
          <w:rFonts w:cs="Arial"/>
          <w:noProof/>
          <w:szCs w:val="20"/>
          <w:lang w:eastAsia="ar-SA"/>
        </w:rPr>
        <w:t>Analiza območij glede na stopnjo in leta opuščenosti, strukturo lastništva, obstoječe razvojne načrte, prisotnost različnih oblik degradacije (fizične, okoljske, socialne) so </w:t>
      </w:r>
      <w:r>
        <w:rPr>
          <w:rFonts w:cs="Arial"/>
          <w:noProof/>
          <w:szCs w:val="20"/>
          <w:lang w:eastAsia="ar-SA"/>
        </w:rPr>
        <w:t xml:space="preserve">tako </w:t>
      </w:r>
      <w:r w:rsidRPr="00BD560D">
        <w:rPr>
          <w:rFonts w:cs="Arial"/>
          <w:noProof/>
          <w:szCs w:val="20"/>
          <w:lang w:eastAsia="ar-SA"/>
        </w:rPr>
        <w:t>osnova za bolj usmerjeno pripravo niza povezanih sistemskih in drugih ukrepov, ki bodo spodbujali njihovo oživitev in nove investicije na območju degradiranih območjih, namesto širitev stavbnih zemljišč na do sedaj nepozidana območja.</w:t>
      </w:r>
    </w:p>
    <w:p w14:paraId="113363B0" w14:textId="77777777" w:rsidR="00BB0E08" w:rsidRPr="00BD560D" w:rsidRDefault="00BB0E08" w:rsidP="00BB0E08">
      <w:pPr>
        <w:spacing w:line="259" w:lineRule="auto"/>
        <w:jc w:val="both"/>
        <w:textAlignment w:val="baseline"/>
        <w:rPr>
          <w:rFonts w:cs="Arial"/>
          <w:noProof/>
          <w:szCs w:val="20"/>
          <w:lang w:eastAsia="ar-SA"/>
        </w:rPr>
      </w:pPr>
      <w:r w:rsidRPr="00BD560D">
        <w:rPr>
          <w:rFonts w:cs="Arial"/>
          <w:noProof/>
          <w:szCs w:val="20"/>
          <w:lang w:eastAsia="ar-SA"/>
        </w:rPr>
        <w:t>Problematika funkcionalno degradiranih območij tudi v prihodnje zahteva interdisciplinarni in medinstictucionalni pristop – na ravni raziskovanja in reševanja različnih izzivov – od čisto metodoloških (dodatni kriteriji, razširitev tipologije) in tehničnih (vzdrževanje in skrbništvo nad evidenco, povezljivost z drugimi zbirkami) do dejanskega preprečevanja nastajanja novih funkcionalno degradiranih območjih ter njihove reaktivacije.</w:t>
      </w:r>
    </w:p>
    <w:p w14:paraId="7B841400" w14:textId="77777777" w:rsidR="00BB0E08" w:rsidRPr="00BD560D" w:rsidRDefault="00BB0E08" w:rsidP="00BB0E08">
      <w:pPr>
        <w:spacing w:line="259" w:lineRule="auto"/>
        <w:jc w:val="both"/>
        <w:textAlignment w:val="baseline"/>
        <w:rPr>
          <w:rFonts w:cs="Arial"/>
          <w:noProof/>
          <w:szCs w:val="20"/>
          <w:lang w:eastAsia="ar-SA"/>
        </w:rPr>
      </w:pPr>
      <w:r w:rsidRPr="00BD560D">
        <w:rPr>
          <w:rFonts w:cs="Arial"/>
          <w:noProof/>
          <w:szCs w:val="20"/>
          <w:lang w:eastAsia="ar-SA"/>
        </w:rPr>
        <w:t> </w:t>
      </w:r>
    </w:p>
    <w:p w14:paraId="150045A1" w14:textId="77777777" w:rsidR="00BB0E08" w:rsidRDefault="00BB0E08" w:rsidP="00BB0E08">
      <w:pPr>
        <w:spacing w:after="160" w:line="259" w:lineRule="auto"/>
        <w:contextualSpacing/>
        <w:jc w:val="both"/>
        <w:rPr>
          <w:rFonts w:cs="Arial"/>
          <w:noProof/>
          <w:szCs w:val="20"/>
          <w:lang w:eastAsia="ar-SA"/>
        </w:rPr>
      </w:pPr>
      <w:r>
        <w:rPr>
          <w:rFonts w:cs="Arial"/>
          <w:noProof/>
          <w:szCs w:val="20"/>
          <w:lang w:eastAsia="ar-SA"/>
        </w:rPr>
        <w:t>R</w:t>
      </w:r>
      <w:r w:rsidRPr="00BD560D">
        <w:rPr>
          <w:rFonts w:cs="Arial"/>
          <w:noProof/>
          <w:szCs w:val="20"/>
          <w:lang w:eastAsia="ar-SA"/>
        </w:rPr>
        <w:t>ezultati:</w:t>
      </w:r>
    </w:p>
    <w:p w14:paraId="467BEE41" w14:textId="77777777" w:rsidR="00BB0E08" w:rsidRPr="00786FBC" w:rsidRDefault="00BB0E08" w:rsidP="00BB0E08">
      <w:pPr>
        <w:pStyle w:val="Odstavekseznama"/>
        <w:numPr>
          <w:ilvl w:val="0"/>
          <w:numId w:val="27"/>
        </w:numPr>
        <w:spacing w:after="160" w:line="259" w:lineRule="auto"/>
        <w:jc w:val="both"/>
        <w:rPr>
          <w:rFonts w:ascii="Arial" w:hAnsi="Arial" w:cs="Arial"/>
          <w:noProof/>
          <w:sz w:val="20"/>
          <w:szCs w:val="20"/>
          <w:lang w:eastAsia="ar-SA"/>
        </w:rPr>
      </w:pPr>
      <w:r w:rsidRPr="00786FBC">
        <w:rPr>
          <w:rFonts w:ascii="Arial" w:hAnsi="Arial" w:cs="Arial"/>
          <w:noProof/>
          <w:sz w:val="20"/>
          <w:szCs w:val="20"/>
          <w:lang w:eastAsia="ar-SA"/>
        </w:rPr>
        <w:t>opredelitev funkcionalno degradiranega območja z definicijo in kriteriji,</w:t>
      </w:r>
    </w:p>
    <w:p w14:paraId="1B70195E" w14:textId="77777777" w:rsidR="00BB0E08" w:rsidRPr="00786FBC" w:rsidRDefault="00BB0E08" w:rsidP="00BB0E08">
      <w:pPr>
        <w:pStyle w:val="Odstavekseznama"/>
        <w:numPr>
          <w:ilvl w:val="0"/>
          <w:numId w:val="27"/>
        </w:numPr>
        <w:spacing w:after="160" w:line="259" w:lineRule="auto"/>
        <w:jc w:val="both"/>
        <w:rPr>
          <w:rFonts w:ascii="Arial" w:hAnsi="Arial" w:cs="Arial"/>
          <w:noProof/>
          <w:sz w:val="20"/>
          <w:szCs w:val="20"/>
          <w:lang w:eastAsia="ar-SA"/>
        </w:rPr>
      </w:pPr>
      <w:r w:rsidRPr="00786FBC">
        <w:rPr>
          <w:rFonts w:ascii="Arial" w:hAnsi="Arial" w:cs="Arial"/>
          <w:noProof/>
          <w:sz w:val="20"/>
          <w:szCs w:val="20"/>
          <w:lang w:eastAsia="ar-SA"/>
        </w:rPr>
        <w:t>razvoj samostojne aplikacije za spremljanje pojava funkcionalno degradiranih območij,</w:t>
      </w:r>
    </w:p>
    <w:p w14:paraId="3689F840" w14:textId="77777777" w:rsidR="00BB0E08" w:rsidRPr="00786FBC" w:rsidRDefault="00BB0E08" w:rsidP="00BB0E08">
      <w:pPr>
        <w:pStyle w:val="Odstavekseznama"/>
        <w:numPr>
          <w:ilvl w:val="0"/>
          <w:numId w:val="27"/>
        </w:numPr>
        <w:spacing w:after="160" w:line="259" w:lineRule="auto"/>
        <w:jc w:val="both"/>
        <w:rPr>
          <w:rFonts w:ascii="Arial" w:hAnsi="Arial" w:cs="Arial"/>
          <w:noProof/>
          <w:sz w:val="20"/>
          <w:szCs w:val="20"/>
          <w:lang w:eastAsia="ar-SA"/>
        </w:rPr>
      </w:pPr>
      <w:r w:rsidRPr="00786FBC">
        <w:rPr>
          <w:rFonts w:ascii="Arial" w:hAnsi="Arial" w:cs="Arial"/>
          <w:noProof/>
          <w:sz w:val="20"/>
          <w:szCs w:val="20"/>
          <w:lang w:eastAsia="ar-SA"/>
        </w:rPr>
        <w:lastRenderedPageBreak/>
        <w:t>vzpostavitev novega prostorskega in podatkovnega sloja - podroben terenski pregled in identificiranje dejanskih razmer v prostoru,</w:t>
      </w:r>
    </w:p>
    <w:p w14:paraId="66058591" w14:textId="77777777" w:rsidR="00BB0E08" w:rsidRPr="00786FBC" w:rsidRDefault="00BB0E08" w:rsidP="00BB0E08">
      <w:pPr>
        <w:pStyle w:val="Odstavekseznama"/>
        <w:numPr>
          <w:ilvl w:val="0"/>
          <w:numId w:val="27"/>
        </w:numPr>
        <w:spacing w:after="160" w:line="259" w:lineRule="auto"/>
        <w:jc w:val="both"/>
        <w:rPr>
          <w:rFonts w:ascii="Arial" w:hAnsi="Arial" w:cs="Arial"/>
          <w:noProof/>
          <w:sz w:val="20"/>
          <w:szCs w:val="20"/>
          <w:lang w:eastAsia="ar-SA"/>
        </w:rPr>
      </w:pPr>
      <w:r w:rsidRPr="00786FBC">
        <w:rPr>
          <w:rFonts w:ascii="Arial" w:hAnsi="Arial" w:cs="Arial"/>
          <w:noProof/>
          <w:sz w:val="20"/>
          <w:szCs w:val="20"/>
          <w:lang w:eastAsia="ar-SA"/>
        </w:rPr>
        <w:t>priprava širokega nabora primerov dobrih praks reaktivacije degradiranih območij.</w:t>
      </w:r>
    </w:p>
    <w:p w14:paraId="7CE1EF1A" w14:textId="77777777" w:rsidR="00BB0E08" w:rsidRPr="00BD560D" w:rsidRDefault="00BB0E08" w:rsidP="00BB0E08">
      <w:pPr>
        <w:spacing w:after="160" w:line="259" w:lineRule="auto"/>
        <w:contextualSpacing/>
        <w:jc w:val="both"/>
        <w:rPr>
          <w:rFonts w:cs="Arial"/>
          <w:noProof/>
          <w:szCs w:val="20"/>
          <w:lang w:eastAsia="ar-SA"/>
        </w:rPr>
      </w:pPr>
    </w:p>
    <w:p w14:paraId="029EBA13" w14:textId="77777777" w:rsidR="00BB0E08" w:rsidRPr="00BD560D" w:rsidRDefault="00BB0E08" w:rsidP="00BB0E08">
      <w:pPr>
        <w:jc w:val="both"/>
        <w:rPr>
          <w:rFonts w:cs="Arial"/>
          <w:noProof/>
          <w:szCs w:val="20"/>
          <w:lang w:eastAsia="ar-SA"/>
        </w:rPr>
      </w:pPr>
      <w:r w:rsidRPr="00BD560D">
        <w:rPr>
          <w:rFonts w:cs="Arial"/>
          <w:noProof/>
          <w:szCs w:val="20"/>
          <w:lang w:eastAsia="ar-SA"/>
        </w:rPr>
        <w:t xml:space="preserve">Vzpostavitev prve celovite evidence </w:t>
      </w:r>
      <w:r>
        <w:rPr>
          <w:rFonts w:cs="Arial"/>
          <w:noProof/>
          <w:szCs w:val="20"/>
          <w:lang w:eastAsia="ar-SA"/>
        </w:rPr>
        <w:t xml:space="preserve">funkcionalno degradiranih območij je </w:t>
      </w:r>
      <w:r w:rsidRPr="00BD560D">
        <w:rPr>
          <w:rFonts w:cs="Arial"/>
          <w:noProof/>
          <w:szCs w:val="20"/>
          <w:lang w:eastAsia="ar-SA"/>
        </w:rPr>
        <w:t>predstavlja</w:t>
      </w:r>
      <w:r>
        <w:rPr>
          <w:rFonts w:cs="Arial"/>
          <w:noProof/>
          <w:szCs w:val="20"/>
          <w:lang w:eastAsia="ar-SA"/>
        </w:rPr>
        <w:t>la</w:t>
      </w:r>
      <w:r w:rsidRPr="00BD560D">
        <w:rPr>
          <w:rFonts w:cs="Arial"/>
          <w:noProof/>
          <w:szCs w:val="20"/>
          <w:lang w:eastAsia="ar-SA"/>
        </w:rPr>
        <w:t xml:space="preserve"> temelje za celostno obravnavo problematike degradiranih območij in predstavlj</w:t>
      </w:r>
      <w:r>
        <w:rPr>
          <w:rFonts w:cs="Arial"/>
          <w:noProof/>
          <w:szCs w:val="20"/>
          <w:lang w:eastAsia="ar-SA"/>
        </w:rPr>
        <w:t>a</w:t>
      </w:r>
      <w:r w:rsidRPr="00BD560D">
        <w:rPr>
          <w:rFonts w:cs="Arial"/>
          <w:noProof/>
          <w:szCs w:val="20"/>
          <w:lang w:eastAsia="ar-SA"/>
        </w:rPr>
        <w:t xml:space="preserve"> prvi korak pri celovitem ravnanju in upravljanju z njimi</w:t>
      </w:r>
      <w:r>
        <w:rPr>
          <w:rFonts w:cs="Arial"/>
          <w:noProof/>
          <w:szCs w:val="20"/>
          <w:lang w:eastAsia="ar-SA"/>
        </w:rPr>
        <w:t xml:space="preserve"> (njihovo reaktivacijo) in prispevek k ciljem prostorskega razvoja.  Evidenca je obsegala: </w:t>
      </w:r>
    </w:p>
    <w:p w14:paraId="1E5527AC" w14:textId="77777777" w:rsidR="00BB0E08" w:rsidRDefault="00BB0E08" w:rsidP="00BB0E08">
      <w:pPr>
        <w:pStyle w:val="Odstavekseznama"/>
        <w:numPr>
          <w:ilvl w:val="0"/>
          <w:numId w:val="17"/>
        </w:numPr>
        <w:spacing w:after="0" w:line="240" w:lineRule="auto"/>
        <w:contextualSpacing w:val="0"/>
        <w:textAlignment w:val="baseline"/>
        <w:rPr>
          <w:rFonts w:ascii="Arial" w:hAnsi="Arial" w:cs="Arial"/>
          <w:noProof/>
          <w:sz w:val="20"/>
          <w:szCs w:val="20"/>
          <w:lang w:eastAsia="ar-SA"/>
        </w:rPr>
      </w:pPr>
      <w:r w:rsidRPr="00786FBC">
        <w:rPr>
          <w:rFonts w:ascii="Arial" w:hAnsi="Arial" w:cs="Arial"/>
          <w:noProof/>
          <w:sz w:val="20"/>
          <w:szCs w:val="20"/>
          <w:lang w:eastAsia="ar-SA"/>
        </w:rPr>
        <w:t>1081 evidentiranih funkcionalno degradiranih območij,</w:t>
      </w:r>
    </w:p>
    <w:p w14:paraId="43DFB0E0" w14:textId="77777777" w:rsidR="00BB0E08" w:rsidRDefault="00BB0E08" w:rsidP="00BB0E08">
      <w:pPr>
        <w:pStyle w:val="Odstavekseznama"/>
        <w:numPr>
          <w:ilvl w:val="0"/>
          <w:numId w:val="17"/>
        </w:numPr>
        <w:spacing w:after="0" w:line="240" w:lineRule="auto"/>
        <w:contextualSpacing w:val="0"/>
        <w:textAlignment w:val="baseline"/>
        <w:rPr>
          <w:rFonts w:ascii="Arial" w:hAnsi="Arial" w:cs="Arial"/>
          <w:noProof/>
          <w:sz w:val="20"/>
          <w:szCs w:val="20"/>
          <w:lang w:eastAsia="ar-SA"/>
        </w:rPr>
      </w:pPr>
      <w:r w:rsidRPr="00786FBC">
        <w:rPr>
          <w:rFonts w:ascii="Arial" w:hAnsi="Arial" w:cs="Arial"/>
          <w:noProof/>
          <w:sz w:val="20"/>
          <w:szCs w:val="20"/>
          <w:lang w:eastAsia="ar-SA"/>
        </w:rPr>
        <w:t>skupna površina 3423 hektarjev,</w:t>
      </w:r>
    </w:p>
    <w:p w14:paraId="7791657A" w14:textId="77777777" w:rsidR="00BB0E08" w:rsidRDefault="00BB0E08" w:rsidP="00BB0E08">
      <w:pPr>
        <w:pStyle w:val="Odstavekseznama"/>
        <w:numPr>
          <w:ilvl w:val="0"/>
          <w:numId w:val="17"/>
        </w:numPr>
        <w:spacing w:after="0" w:line="240" w:lineRule="auto"/>
        <w:contextualSpacing w:val="0"/>
        <w:textAlignment w:val="baseline"/>
        <w:rPr>
          <w:rFonts w:ascii="Arial" w:hAnsi="Arial" w:cs="Arial"/>
          <w:noProof/>
          <w:sz w:val="20"/>
          <w:szCs w:val="20"/>
          <w:lang w:eastAsia="ar-SA"/>
        </w:rPr>
      </w:pPr>
      <w:r w:rsidRPr="00786FBC">
        <w:rPr>
          <w:rFonts w:ascii="Arial" w:hAnsi="Arial" w:cs="Arial"/>
          <w:noProof/>
          <w:sz w:val="20"/>
          <w:szCs w:val="20"/>
          <w:lang w:eastAsia="ar-SA"/>
        </w:rPr>
        <w:t>170 občin s funkcionalno degradiranimi območij,</w:t>
      </w:r>
    </w:p>
    <w:p w14:paraId="1FEEECF0" w14:textId="77777777" w:rsidR="00BB0E08" w:rsidRDefault="00BB0E08" w:rsidP="00BB0E08">
      <w:pPr>
        <w:pStyle w:val="Odstavekseznama"/>
        <w:numPr>
          <w:ilvl w:val="0"/>
          <w:numId w:val="17"/>
        </w:numPr>
        <w:spacing w:after="0" w:line="240" w:lineRule="auto"/>
        <w:contextualSpacing w:val="0"/>
        <w:textAlignment w:val="baseline"/>
        <w:rPr>
          <w:rFonts w:ascii="Arial" w:hAnsi="Arial" w:cs="Arial"/>
          <w:noProof/>
          <w:sz w:val="20"/>
          <w:szCs w:val="20"/>
          <w:lang w:eastAsia="ar-SA"/>
        </w:rPr>
      </w:pPr>
      <w:r w:rsidRPr="00786FBC">
        <w:rPr>
          <w:rFonts w:ascii="Arial" w:hAnsi="Arial" w:cs="Arial"/>
          <w:noProof/>
          <w:sz w:val="20"/>
          <w:szCs w:val="20"/>
          <w:lang w:eastAsia="ar-SA"/>
        </w:rPr>
        <w:t>35 občin ima nad 10 funkcionalno degradiranih območij,</w:t>
      </w:r>
    </w:p>
    <w:p w14:paraId="2C047128" w14:textId="77777777" w:rsidR="00BB0E08" w:rsidRPr="00786FBC" w:rsidRDefault="00BB0E08" w:rsidP="00BB0E08">
      <w:pPr>
        <w:pStyle w:val="Odstavekseznama"/>
        <w:numPr>
          <w:ilvl w:val="0"/>
          <w:numId w:val="17"/>
        </w:numPr>
        <w:spacing w:after="0" w:line="240" w:lineRule="auto"/>
        <w:contextualSpacing w:val="0"/>
        <w:textAlignment w:val="baseline"/>
        <w:rPr>
          <w:rFonts w:ascii="Arial" w:hAnsi="Arial" w:cs="Arial"/>
          <w:noProof/>
          <w:sz w:val="20"/>
          <w:szCs w:val="20"/>
          <w:lang w:eastAsia="ar-SA"/>
        </w:rPr>
      </w:pPr>
      <w:r w:rsidRPr="00786FBC">
        <w:rPr>
          <w:rFonts w:ascii="Arial" w:hAnsi="Arial" w:cs="Arial"/>
          <w:noProof/>
          <w:sz w:val="20"/>
          <w:szCs w:val="20"/>
          <w:lang w:eastAsia="ar-SA"/>
        </w:rPr>
        <w:t>17 občin ima nad 50 hektarjev funkcionalno degradiranih območij.</w:t>
      </w:r>
    </w:p>
    <w:p w14:paraId="4175C753" w14:textId="77777777" w:rsidR="00BB0E08" w:rsidRDefault="00BB0E08" w:rsidP="00BB0E08">
      <w:pPr>
        <w:jc w:val="both"/>
        <w:rPr>
          <w:rFonts w:cs="Arial"/>
          <w:noProof/>
          <w:szCs w:val="20"/>
          <w:lang w:eastAsia="ar-SA"/>
        </w:rPr>
      </w:pPr>
    </w:p>
    <w:p w14:paraId="7E09DED2" w14:textId="77777777" w:rsidR="00A271A8" w:rsidRDefault="00A271A8" w:rsidP="00BB0E08">
      <w:pPr>
        <w:jc w:val="both"/>
        <w:rPr>
          <w:rStyle w:val="Hiperpovezava"/>
          <w:color w:val="auto"/>
          <w:u w:val="none"/>
        </w:rPr>
      </w:pPr>
    </w:p>
    <w:p w14:paraId="5D2C2AC6" w14:textId="17AE5AD8" w:rsidR="00A271A8" w:rsidRPr="00105B08" w:rsidRDefault="00A271A8" w:rsidP="00105B08">
      <w:pPr>
        <w:pStyle w:val="Odstavekseznama"/>
        <w:numPr>
          <w:ilvl w:val="1"/>
          <w:numId w:val="22"/>
        </w:numPr>
        <w:jc w:val="both"/>
        <w:rPr>
          <w:rFonts w:ascii="Arial" w:hAnsi="Arial" w:cs="Arial"/>
          <w:b/>
          <w:bCs/>
          <w:noProof/>
          <w:sz w:val="20"/>
          <w:szCs w:val="20"/>
          <w:lang w:eastAsia="ar-SA"/>
        </w:rPr>
      </w:pPr>
      <w:r w:rsidRPr="00105B08">
        <w:rPr>
          <w:rFonts w:ascii="Arial" w:hAnsi="Arial" w:cs="Arial"/>
          <w:b/>
          <w:bCs/>
          <w:noProof/>
          <w:sz w:val="20"/>
          <w:szCs w:val="20"/>
          <w:lang w:eastAsia="ar-SA"/>
        </w:rPr>
        <w:t>Strategija razvoja Slovenije 2030 in Poročilo o razvoju  - Teritorialni vidik gospodarskega razvoja</w:t>
      </w:r>
    </w:p>
    <w:p w14:paraId="61F2A345" w14:textId="233A66FF" w:rsidR="00A271A8" w:rsidRDefault="00A271A8" w:rsidP="00A271A8">
      <w:pPr>
        <w:jc w:val="both"/>
        <w:rPr>
          <w:rFonts w:cs="Arial"/>
          <w:noProof/>
          <w:szCs w:val="20"/>
          <w:lang w:eastAsia="ar-SA"/>
        </w:rPr>
      </w:pPr>
      <w:r w:rsidRPr="003A0C59">
        <w:rPr>
          <w:rFonts w:cs="Arial"/>
          <w:noProof/>
          <w:szCs w:val="20"/>
          <w:lang w:eastAsia="ar-SA"/>
        </w:rPr>
        <w:t>Poročilo o razvoju je dokument, s katerim</w:t>
      </w:r>
      <w:r w:rsidR="00680162">
        <w:rPr>
          <w:rFonts w:cs="Arial"/>
          <w:noProof/>
          <w:szCs w:val="20"/>
          <w:lang w:eastAsia="ar-SA"/>
        </w:rPr>
        <w:t xml:space="preserve">se </w:t>
      </w:r>
      <w:r w:rsidRPr="003A0C59">
        <w:rPr>
          <w:rFonts w:cs="Arial"/>
          <w:noProof/>
          <w:szCs w:val="20"/>
          <w:lang w:eastAsia="ar-SA"/>
        </w:rPr>
        <w:t xml:space="preserve"> spremlja uresničevanje strategije</w:t>
      </w:r>
      <w:r>
        <w:rPr>
          <w:rFonts w:cs="Arial"/>
          <w:noProof/>
          <w:szCs w:val="20"/>
          <w:lang w:eastAsia="ar-SA"/>
        </w:rPr>
        <w:t xml:space="preserve"> </w:t>
      </w:r>
      <w:r w:rsidRPr="003A0C59">
        <w:rPr>
          <w:rFonts w:cs="Arial"/>
          <w:noProof/>
          <w:szCs w:val="20"/>
          <w:lang w:eastAsia="ar-SA"/>
        </w:rPr>
        <w:t>razvoja Slovenije</w:t>
      </w:r>
      <w:r>
        <w:rPr>
          <w:rFonts w:cs="Arial"/>
          <w:noProof/>
          <w:szCs w:val="20"/>
          <w:lang w:eastAsia="ar-SA"/>
        </w:rPr>
        <w:t xml:space="preserve">, ki </w:t>
      </w:r>
      <w:r w:rsidRPr="003A0C59">
        <w:rPr>
          <w:rFonts w:cs="Arial"/>
          <w:noProof/>
          <w:szCs w:val="20"/>
          <w:lang w:eastAsia="ar-SA"/>
        </w:rPr>
        <w:t>sledi petim strateškim usmeritvam, ki jih je strategija opredelila kot ključne za doseganje osrednjega cilja</w:t>
      </w:r>
      <w:r>
        <w:rPr>
          <w:rFonts w:cs="Arial"/>
          <w:noProof/>
          <w:szCs w:val="20"/>
          <w:lang w:eastAsia="ar-SA"/>
        </w:rPr>
        <w:t xml:space="preserve"> </w:t>
      </w:r>
      <w:r w:rsidRPr="003A0C59">
        <w:rPr>
          <w:rFonts w:cs="Arial"/>
          <w:noProof/>
          <w:szCs w:val="20"/>
          <w:lang w:eastAsia="ar-SA"/>
        </w:rPr>
        <w:t>strategije, to je kakovostnega življenja za vse: a) visoko produktivno gospodarstvo, ki</w:t>
      </w:r>
      <w:r>
        <w:rPr>
          <w:rFonts w:cs="Arial"/>
          <w:noProof/>
          <w:szCs w:val="20"/>
          <w:lang w:eastAsia="ar-SA"/>
        </w:rPr>
        <w:t xml:space="preserve"> </w:t>
      </w:r>
      <w:r w:rsidRPr="003A0C59">
        <w:rPr>
          <w:rFonts w:cs="Arial"/>
          <w:noProof/>
          <w:szCs w:val="20"/>
          <w:lang w:eastAsia="ar-SA"/>
        </w:rPr>
        <w:t>ustvarja dodano vrednost za vse, b) učenje za in skozi vse življenje, c) vključujoča, zdrava,</w:t>
      </w:r>
      <w:r>
        <w:rPr>
          <w:rFonts w:cs="Arial"/>
          <w:noProof/>
          <w:szCs w:val="20"/>
          <w:lang w:eastAsia="ar-SA"/>
        </w:rPr>
        <w:t xml:space="preserve"> </w:t>
      </w:r>
      <w:r w:rsidRPr="003A0C59">
        <w:rPr>
          <w:rFonts w:cs="Arial"/>
          <w:noProof/>
          <w:szCs w:val="20"/>
          <w:lang w:eastAsia="ar-SA"/>
        </w:rPr>
        <w:t>varna in odgovorna družba, č) ohranjeno zdravo naravno okolje ter d) visoka stopnja</w:t>
      </w:r>
      <w:r>
        <w:rPr>
          <w:rFonts w:cs="Arial"/>
          <w:noProof/>
          <w:szCs w:val="20"/>
          <w:lang w:eastAsia="ar-SA"/>
        </w:rPr>
        <w:t xml:space="preserve"> </w:t>
      </w:r>
      <w:r w:rsidRPr="003A0C59">
        <w:rPr>
          <w:rFonts w:cs="Arial"/>
          <w:noProof/>
          <w:szCs w:val="20"/>
          <w:lang w:eastAsia="ar-SA"/>
        </w:rPr>
        <w:t>sodelovanja, usposobljenosti in učinkovitosti upravljanja. Strategija je določila tudi dvanajst</w:t>
      </w:r>
      <w:r>
        <w:rPr>
          <w:rFonts w:cs="Arial"/>
          <w:noProof/>
          <w:szCs w:val="20"/>
          <w:lang w:eastAsia="ar-SA"/>
        </w:rPr>
        <w:t xml:space="preserve"> </w:t>
      </w:r>
      <w:r w:rsidRPr="003A0C59">
        <w:rPr>
          <w:rFonts w:cs="Arial"/>
          <w:noProof/>
          <w:szCs w:val="20"/>
          <w:lang w:eastAsia="ar-SA"/>
        </w:rPr>
        <w:t>razvojnih ciljev in jih opredelila kot medsebojno povezana in soodvisna področja, ključna</w:t>
      </w:r>
      <w:r>
        <w:rPr>
          <w:rFonts w:cs="Arial"/>
          <w:noProof/>
          <w:szCs w:val="20"/>
          <w:lang w:eastAsia="ar-SA"/>
        </w:rPr>
        <w:t xml:space="preserve"> </w:t>
      </w:r>
      <w:r w:rsidRPr="003A0C59">
        <w:rPr>
          <w:rFonts w:cs="Arial"/>
          <w:noProof/>
          <w:szCs w:val="20"/>
          <w:lang w:eastAsia="ar-SA"/>
        </w:rPr>
        <w:t>za uresničitev strateških usmeritev</w:t>
      </w:r>
      <w:r>
        <w:rPr>
          <w:rFonts w:cs="Arial"/>
          <w:noProof/>
          <w:szCs w:val="20"/>
          <w:lang w:eastAsia="ar-SA"/>
        </w:rPr>
        <w:t>:</w:t>
      </w:r>
    </w:p>
    <w:p w14:paraId="346E886D" w14:textId="77777777" w:rsidR="00A271A8" w:rsidRPr="003A0C59" w:rsidRDefault="00A271A8" w:rsidP="00A271A8">
      <w:pPr>
        <w:jc w:val="both"/>
        <w:rPr>
          <w:rFonts w:cs="Arial"/>
          <w:noProof/>
          <w:szCs w:val="20"/>
          <w:lang w:eastAsia="ar-SA"/>
        </w:rPr>
      </w:pPr>
      <w:r w:rsidRPr="003A0C59">
        <w:rPr>
          <w:rFonts w:cs="Arial"/>
          <w:noProof/>
          <w:szCs w:val="20"/>
          <w:lang w:eastAsia="ar-SA"/>
        </w:rPr>
        <w:t xml:space="preserve">1. Zdravo in aktivno življenje </w:t>
      </w:r>
    </w:p>
    <w:p w14:paraId="0F749FD5" w14:textId="77777777" w:rsidR="00A271A8" w:rsidRPr="003A0C59" w:rsidRDefault="00A271A8" w:rsidP="00A271A8">
      <w:pPr>
        <w:jc w:val="both"/>
        <w:rPr>
          <w:rFonts w:cs="Arial"/>
          <w:noProof/>
          <w:szCs w:val="20"/>
          <w:lang w:eastAsia="ar-SA"/>
        </w:rPr>
      </w:pPr>
      <w:r w:rsidRPr="003A0C59">
        <w:rPr>
          <w:rFonts w:cs="Arial"/>
          <w:noProof/>
          <w:szCs w:val="20"/>
          <w:lang w:eastAsia="ar-SA"/>
        </w:rPr>
        <w:t>2. Znanje in spretnosti za kakovostno življenje in delo</w:t>
      </w:r>
    </w:p>
    <w:p w14:paraId="082466E1" w14:textId="77777777" w:rsidR="00A271A8" w:rsidRPr="003A0C59" w:rsidRDefault="00A271A8" w:rsidP="00A271A8">
      <w:pPr>
        <w:jc w:val="both"/>
        <w:rPr>
          <w:rFonts w:cs="Arial"/>
          <w:noProof/>
          <w:szCs w:val="20"/>
          <w:lang w:eastAsia="ar-SA"/>
        </w:rPr>
      </w:pPr>
      <w:r w:rsidRPr="003A0C59">
        <w:rPr>
          <w:rFonts w:cs="Arial"/>
          <w:noProof/>
          <w:szCs w:val="20"/>
          <w:lang w:eastAsia="ar-SA"/>
        </w:rPr>
        <w:t>3. Dostojno življenje za vse</w:t>
      </w:r>
    </w:p>
    <w:p w14:paraId="778B7790" w14:textId="77777777" w:rsidR="00A271A8" w:rsidRPr="003A0C59" w:rsidRDefault="00A271A8" w:rsidP="00A271A8">
      <w:pPr>
        <w:jc w:val="both"/>
        <w:rPr>
          <w:rFonts w:cs="Arial"/>
          <w:noProof/>
          <w:szCs w:val="20"/>
          <w:lang w:eastAsia="ar-SA"/>
        </w:rPr>
      </w:pPr>
      <w:r w:rsidRPr="003A0C59">
        <w:rPr>
          <w:rFonts w:cs="Arial"/>
          <w:noProof/>
          <w:szCs w:val="20"/>
          <w:lang w:eastAsia="ar-SA"/>
        </w:rPr>
        <w:t>4. Kultura in jezik kot temeljna dejavnika nacionalne identitete</w:t>
      </w:r>
    </w:p>
    <w:p w14:paraId="3C76C77F" w14:textId="77777777" w:rsidR="00A271A8" w:rsidRPr="003A0C59" w:rsidRDefault="00A271A8" w:rsidP="00A271A8">
      <w:pPr>
        <w:jc w:val="both"/>
        <w:rPr>
          <w:rFonts w:cs="Arial"/>
          <w:noProof/>
          <w:szCs w:val="20"/>
          <w:lang w:eastAsia="ar-SA"/>
        </w:rPr>
      </w:pPr>
      <w:r w:rsidRPr="003A0C59">
        <w:rPr>
          <w:rFonts w:cs="Arial"/>
          <w:noProof/>
          <w:szCs w:val="20"/>
          <w:lang w:eastAsia="ar-SA"/>
        </w:rPr>
        <w:t>5. Gospodarska stabilnost</w:t>
      </w:r>
    </w:p>
    <w:p w14:paraId="33D03A77" w14:textId="77777777" w:rsidR="00A271A8" w:rsidRPr="003A0C59" w:rsidRDefault="00A271A8" w:rsidP="00A271A8">
      <w:pPr>
        <w:jc w:val="both"/>
        <w:rPr>
          <w:rFonts w:cs="Arial"/>
          <w:noProof/>
          <w:szCs w:val="20"/>
          <w:lang w:eastAsia="ar-SA"/>
        </w:rPr>
      </w:pPr>
      <w:r w:rsidRPr="003A0C59">
        <w:rPr>
          <w:rFonts w:cs="Arial"/>
          <w:noProof/>
          <w:szCs w:val="20"/>
          <w:lang w:eastAsia="ar-SA"/>
        </w:rPr>
        <w:t>6. Konkurenčen in družbeno odgovoren podjetniški in raziskovalni sektor</w:t>
      </w:r>
    </w:p>
    <w:p w14:paraId="565FAD36" w14:textId="77777777" w:rsidR="00A271A8" w:rsidRPr="003A0C59" w:rsidRDefault="00A271A8" w:rsidP="00A271A8">
      <w:pPr>
        <w:jc w:val="both"/>
        <w:rPr>
          <w:rFonts w:cs="Arial"/>
          <w:noProof/>
          <w:szCs w:val="20"/>
          <w:lang w:eastAsia="ar-SA"/>
        </w:rPr>
      </w:pPr>
      <w:r w:rsidRPr="003A0C59">
        <w:rPr>
          <w:rFonts w:cs="Arial"/>
          <w:noProof/>
          <w:szCs w:val="20"/>
          <w:lang w:eastAsia="ar-SA"/>
        </w:rPr>
        <w:t>7. Vključujoč trg dela in kakovostna delovna mesta</w:t>
      </w:r>
    </w:p>
    <w:p w14:paraId="2F84E37C" w14:textId="77777777" w:rsidR="00A271A8" w:rsidRPr="003A0C59" w:rsidRDefault="00A271A8" w:rsidP="00A271A8">
      <w:pPr>
        <w:jc w:val="both"/>
        <w:rPr>
          <w:rFonts w:cs="Arial"/>
          <w:noProof/>
          <w:szCs w:val="20"/>
          <w:lang w:eastAsia="ar-SA"/>
        </w:rPr>
      </w:pPr>
      <w:r w:rsidRPr="003A0C59">
        <w:rPr>
          <w:rFonts w:cs="Arial"/>
          <w:noProof/>
          <w:szCs w:val="20"/>
          <w:lang w:eastAsia="ar-SA"/>
        </w:rPr>
        <w:t>8. Nizkoogljično krožno gospodarstvo</w:t>
      </w:r>
    </w:p>
    <w:p w14:paraId="1817D0FC" w14:textId="77777777" w:rsidR="00A271A8" w:rsidRPr="003A0C59" w:rsidRDefault="00A271A8" w:rsidP="00A271A8">
      <w:pPr>
        <w:jc w:val="both"/>
        <w:rPr>
          <w:rFonts w:cs="Arial"/>
          <w:noProof/>
          <w:szCs w:val="20"/>
          <w:lang w:eastAsia="ar-SA"/>
        </w:rPr>
      </w:pPr>
      <w:r w:rsidRPr="003A0C59">
        <w:rPr>
          <w:rFonts w:cs="Arial"/>
          <w:noProof/>
          <w:szCs w:val="20"/>
          <w:lang w:eastAsia="ar-SA"/>
        </w:rPr>
        <w:t>9. Trajnostno upravljanje naravnih virov</w:t>
      </w:r>
    </w:p>
    <w:p w14:paraId="64B90B37" w14:textId="77777777" w:rsidR="00A271A8" w:rsidRPr="003A0C59" w:rsidRDefault="00A271A8" w:rsidP="00A271A8">
      <w:pPr>
        <w:jc w:val="both"/>
        <w:rPr>
          <w:rFonts w:cs="Arial"/>
          <w:noProof/>
          <w:szCs w:val="20"/>
          <w:lang w:eastAsia="ar-SA"/>
        </w:rPr>
      </w:pPr>
      <w:r w:rsidRPr="003A0C59">
        <w:rPr>
          <w:rFonts w:cs="Arial"/>
          <w:noProof/>
          <w:szCs w:val="20"/>
          <w:lang w:eastAsia="ar-SA"/>
        </w:rPr>
        <w:t>10. Zaupanja vreden pravni sistem</w:t>
      </w:r>
    </w:p>
    <w:p w14:paraId="29F03B9C" w14:textId="77777777" w:rsidR="00A271A8" w:rsidRPr="003A0C59" w:rsidRDefault="00A271A8" w:rsidP="00A271A8">
      <w:pPr>
        <w:jc w:val="both"/>
        <w:rPr>
          <w:rFonts w:cs="Arial"/>
          <w:noProof/>
          <w:szCs w:val="20"/>
          <w:lang w:eastAsia="ar-SA"/>
        </w:rPr>
      </w:pPr>
      <w:r w:rsidRPr="003A0C59">
        <w:rPr>
          <w:rFonts w:cs="Arial"/>
          <w:noProof/>
          <w:szCs w:val="20"/>
          <w:lang w:eastAsia="ar-SA"/>
        </w:rPr>
        <w:t>11. Varna in globalno odgovorna Slovenija</w:t>
      </w:r>
    </w:p>
    <w:p w14:paraId="002BA877" w14:textId="77777777" w:rsidR="00A271A8" w:rsidRDefault="00A271A8" w:rsidP="00A271A8">
      <w:pPr>
        <w:jc w:val="both"/>
        <w:rPr>
          <w:rFonts w:cs="Arial"/>
          <w:noProof/>
          <w:szCs w:val="20"/>
          <w:lang w:eastAsia="ar-SA"/>
        </w:rPr>
      </w:pPr>
      <w:r w:rsidRPr="003A0C59">
        <w:rPr>
          <w:rFonts w:cs="Arial"/>
          <w:noProof/>
          <w:szCs w:val="20"/>
          <w:lang w:eastAsia="ar-SA"/>
        </w:rPr>
        <w:t>12. Učinkovito upravljanje in kakovostne javne storitve</w:t>
      </w:r>
    </w:p>
    <w:p w14:paraId="34259143" w14:textId="77777777" w:rsidR="00A271A8" w:rsidRDefault="00A271A8" w:rsidP="00A271A8">
      <w:pPr>
        <w:jc w:val="both"/>
        <w:rPr>
          <w:rFonts w:cs="Arial"/>
          <w:noProof/>
          <w:szCs w:val="20"/>
          <w:lang w:eastAsia="ar-SA"/>
        </w:rPr>
      </w:pPr>
    </w:p>
    <w:p w14:paraId="20428EB5" w14:textId="77777777" w:rsidR="00A271A8" w:rsidRDefault="00A271A8" w:rsidP="00A271A8">
      <w:pPr>
        <w:jc w:val="both"/>
        <w:rPr>
          <w:rFonts w:cs="Arial"/>
          <w:noProof/>
          <w:szCs w:val="20"/>
          <w:lang w:eastAsia="ar-SA"/>
        </w:rPr>
      </w:pPr>
      <w:r>
        <w:rPr>
          <w:rFonts w:cs="Arial"/>
          <w:noProof/>
          <w:szCs w:val="20"/>
          <w:lang w:eastAsia="ar-SA"/>
        </w:rPr>
        <w:t>Poročilo o razvoju 2024, s katerim UMAR spremlja uresničevanje ciljev Strategie razvoja Slovenije ugotavlja, da so r</w:t>
      </w:r>
      <w:r w:rsidRPr="003A0C59">
        <w:rPr>
          <w:rFonts w:cs="Arial"/>
          <w:noProof/>
          <w:szCs w:val="20"/>
          <w:lang w:eastAsia="ar-SA"/>
        </w:rPr>
        <w:t>egionalne razlike v gospodarski razvitosti od leta 2020 nekoliko povečale, za dolgoročno skladnejši</w:t>
      </w:r>
      <w:r>
        <w:rPr>
          <w:rFonts w:cs="Arial"/>
          <w:noProof/>
          <w:szCs w:val="20"/>
          <w:lang w:eastAsia="ar-SA"/>
        </w:rPr>
        <w:t xml:space="preserve"> </w:t>
      </w:r>
      <w:r w:rsidRPr="003A0C59">
        <w:rPr>
          <w:rFonts w:cs="Arial"/>
          <w:noProof/>
          <w:szCs w:val="20"/>
          <w:lang w:eastAsia="ar-SA"/>
        </w:rPr>
        <w:t xml:space="preserve">razvoj regij pa </w:t>
      </w:r>
      <w:r>
        <w:rPr>
          <w:rFonts w:cs="Arial"/>
          <w:noProof/>
          <w:szCs w:val="20"/>
          <w:lang w:eastAsia="ar-SA"/>
        </w:rPr>
        <w:t xml:space="preserve">bi bilo potrebno </w:t>
      </w:r>
      <w:r w:rsidRPr="003A0C59">
        <w:rPr>
          <w:rFonts w:cs="Arial"/>
          <w:noProof/>
          <w:szCs w:val="20"/>
          <w:lang w:eastAsia="ar-SA"/>
        </w:rPr>
        <w:t>pospešiti poslovno preobrazbo obstoječih in spodbuditi razvoj novih dejavnosti</w:t>
      </w:r>
      <w:r>
        <w:rPr>
          <w:rFonts w:cs="Arial"/>
          <w:noProof/>
          <w:szCs w:val="20"/>
          <w:lang w:eastAsia="ar-SA"/>
        </w:rPr>
        <w:t xml:space="preserve"> </w:t>
      </w:r>
      <w:r w:rsidRPr="003A0C59">
        <w:rPr>
          <w:rFonts w:cs="Arial"/>
          <w:noProof/>
          <w:szCs w:val="20"/>
          <w:lang w:eastAsia="ar-SA"/>
        </w:rPr>
        <w:t>upoštevaje razvojne potenciale posameznih regij</w:t>
      </w:r>
      <w:r>
        <w:rPr>
          <w:rFonts w:cs="Arial"/>
          <w:noProof/>
          <w:szCs w:val="20"/>
          <w:lang w:eastAsia="ar-SA"/>
        </w:rPr>
        <w:t xml:space="preserve">. </w:t>
      </w:r>
    </w:p>
    <w:p w14:paraId="346987A7" w14:textId="77777777" w:rsidR="00A271A8" w:rsidRDefault="00A271A8" w:rsidP="00A271A8">
      <w:pPr>
        <w:jc w:val="both"/>
        <w:rPr>
          <w:rFonts w:cs="Arial"/>
          <w:noProof/>
          <w:szCs w:val="20"/>
          <w:lang w:eastAsia="ar-SA"/>
        </w:rPr>
      </w:pPr>
    </w:p>
    <w:p w14:paraId="4F85D999" w14:textId="77777777" w:rsidR="00A271A8" w:rsidRDefault="00A271A8" w:rsidP="00A271A8">
      <w:pPr>
        <w:jc w:val="both"/>
        <w:rPr>
          <w:rFonts w:cs="Arial"/>
          <w:noProof/>
          <w:szCs w:val="20"/>
          <w:lang w:eastAsia="ar-SA"/>
        </w:rPr>
      </w:pPr>
      <w:r>
        <w:rPr>
          <w:rFonts w:cs="Arial"/>
          <w:noProof/>
          <w:szCs w:val="20"/>
          <w:lang w:eastAsia="ar-SA"/>
        </w:rPr>
        <w:t>Navedeno pospešitev razvoja in prestrukturanja dejavnosti v smeri višje dodane vrednosti, višje produktivnosti in konkurenčnosti podjetij v posamezni regiji ter posledično k postopnemu zmanjševanju razvojnega razkoraka med regijami, lahko dosežemo z zagotavljanjem ustreznega podpornega okolja za podjetništvo, to je z zagotavljanjem ustreznih infrastrukturnih pogojev oziroma ustrezno velikih in opremeljenih industrijsko poslovnih con za delovanje in širitev tako domačih kot tujih podjetij, na nivoju države kot v posamezni regiji.</w:t>
      </w:r>
    </w:p>
    <w:p w14:paraId="5CF9AACE" w14:textId="77777777" w:rsidR="00A271A8" w:rsidRDefault="00A271A8" w:rsidP="00A271A8">
      <w:pPr>
        <w:jc w:val="both"/>
        <w:rPr>
          <w:rFonts w:cs="Arial"/>
          <w:noProof/>
          <w:szCs w:val="20"/>
          <w:lang w:eastAsia="ar-SA"/>
        </w:rPr>
      </w:pPr>
    </w:p>
    <w:p w14:paraId="711A9413" w14:textId="77777777" w:rsidR="00A271A8" w:rsidRDefault="00A271A8" w:rsidP="00A271A8">
      <w:pPr>
        <w:jc w:val="both"/>
        <w:rPr>
          <w:rFonts w:cs="Arial"/>
          <w:noProof/>
          <w:szCs w:val="20"/>
          <w:lang w:eastAsia="ar-SA"/>
        </w:rPr>
      </w:pPr>
      <w:r>
        <w:rPr>
          <w:rFonts w:cs="Arial"/>
          <w:noProof/>
          <w:szCs w:val="20"/>
          <w:lang w:eastAsia="ar-SA"/>
        </w:rPr>
        <w:t xml:space="preserve">Spodbudno gospodarsko okolje v posameznih regijah je bistvenega pomena za zmanjševanje razvojnih rezlik med regijami, kar bo prispevalo dolgoročno k skladnejšemu regionalnemu razvoju. V načrtu je tudi priprava Strategije regionalnega razvoja Slovenije, ki bo opredelila potrebni nabor ukrepov na področju </w:t>
      </w:r>
      <w:r>
        <w:rPr>
          <w:rFonts w:cs="Arial"/>
          <w:noProof/>
          <w:szCs w:val="20"/>
          <w:lang w:eastAsia="ar-SA"/>
        </w:rPr>
        <w:lastRenderedPageBreak/>
        <w:t xml:space="preserve">spodbujanja gospodarstva v regijah, upoštevajoč njihove razvojne potenciale in regijske razvojne specializacije. </w:t>
      </w:r>
    </w:p>
    <w:p w14:paraId="2DA6698C" w14:textId="49DE668A" w:rsidR="00A271A8" w:rsidRPr="00105B08" w:rsidRDefault="00A271A8" w:rsidP="00A271A8">
      <w:pPr>
        <w:jc w:val="both"/>
        <w:rPr>
          <w:rFonts w:cs="Arial"/>
          <w:noProof/>
          <w:szCs w:val="20"/>
          <w:lang w:eastAsia="ar-SA"/>
        </w:rPr>
      </w:pPr>
    </w:p>
    <w:p w14:paraId="0651E950" w14:textId="77777777" w:rsidR="00BB0E08" w:rsidRDefault="00BB0E08" w:rsidP="00BB0E08">
      <w:pPr>
        <w:jc w:val="both"/>
        <w:rPr>
          <w:rFonts w:cs="Arial"/>
          <w:noProof/>
          <w:szCs w:val="20"/>
          <w:lang w:eastAsia="ar-SA"/>
        </w:rPr>
      </w:pPr>
    </w:p>
    <w:p w14:paraId="0F704D26" w14:textId="2E9AC0B9" w:rsidR="00BB0E08" w:rsidRPr="003C31C3" w:rsidRDefault="00BB0E08" w:rsidP="00105B08">
      <w:pPr>
        <w:pStyle w:val="Odstavekseznama"/>
        <w:numPr>
          <w:ilvl w:val="0"/>
          <w:numId w:val="39"/>
        </w:numPr>
        <w:jc w:val="both"/>
        <w:rPr>
          <w:rFonts w:ascii="Arial" w:eastAsia="Times New Roman" w:hAnsi="Arial" w:cs="Arial"/>
          <w:b/>
          <w:bCs/>
          <w:noProof/>
          <w:sz w:val="20"/>
          <w:szCs w:val="20"/>
          <w:lang w:val="sl-SI" w:eastAsia="ar-SA"/>
        </w:rPr>
      </w:pPr>
      <w:r w:rsidRPr="003C31C3">
        <w:rPr>
          <w:rFonts w:ascii="Arial" w:eastAsia="Times New Roman" w:hAnsi="Arial" w:cs="Arial"/>
          <w:b/>
          <w:bCs/>
          <w:noProof/>
          <w:sz w:val="20"/>
          <w:szCs w:val="20"/>
          <w:lang w:val="sl-SI" w:eastAsia="ar-SA"/>
        </w:rPr>
        <w:t xml:space="preserve">TEMATSKI AKCIJSKI PROGRAM – INDUSTRIJSKO POSLOVNE CONE NACIONALNEGA </w:t>
      </w:r>
      <w:r w:rsidR="0095751C">
        <w:rPr>
          <w:rFonts w:ascii="Arial" w:eastAsia="Times New Roman" w:hAnsi="Arial" w:cs="Arial"/>
          <w:b/>
          <w:bCs/>
          <w:noProof/>
          <w:sz w:val="20"/>
          <w:szCs w:val="20"/>
          <w:lang w:val="sl-SI" w:eastAsia="ar-SA"/>
        </w:rPr>
        <w:t>POMENA</w:t>
      </w:r>
    </w:p>
    <w:p w14:paraId="086CDAEE" w14:textId="77777777" w:rsidR="00680162" w:rsidRDefault="00BB0E08" w:rsidP="00BB0E08">
      <w:pPr>
        <w:jc w:val="both"/>
        <w:rPr>
          <w:rFonts w:cs="Arial"/>
          <w:noProof/>
          <w:szCs w:val="20"/>
          <w:lang w:eastAsia="ar-SA"/>
        </w:rPr>
      </w:pPr>
      <w:r w:rsidRPr="00D91C6C">
        <w:rPr>
          <w:rFonts w:cs="Arial"/>
          <w:noProof/>
          <w:szCs w:val="20"/>
          <w:lang w:eastAsia="ar-SA"/>
        </w:rPr>
        <w:t xml:space="preserve">S Tematskim akcijskim programom za </w:t>
      </w:r>
      <w:r>
        <w:rPr>
          <w:rFonts w:cs="Arial"/>
          <w:noProof/>
          <w:szCs w:val="20"/>
          <w:lang w:eastAsia="ar-SA"/>
        </w:rPr>
        <w:t>industrijsko</w:t>
      </w:r>
      <w:r w:rsidRPr="00D91C6C">
        <w:rPr>
          <w:rFonts w:cs="Arial"/>
          <w:noProof/>
          <w:szCs w:val="20"/>
          <w:lang w:eastAsia="ar-SA"/>
        </w:rPr>
        <w:t xml:space="preserve"> – poslovne </w:t>
      </w:r>
      <w:r>
        <w:rPr>
          <w:rFonts w:cs="Arial"/>
          <w:noProof/>
          <w:szCs w:val="20"/>
          <w:lang w:eastAsia="ar-SA"/>
        </w:rPr>
        <w:t xml:space="preserve">cone </w:t>
      </w:r>
      <w:r w:rsidR="008C6AF6">
        <w:rPr>
          <w:rFonts w:cs="Arial"/>
          <w:noProof/>
          <w:szCs w:val="20"/>
          <w:lang w:eastAsia="ar-SA"/>
        </w:rPr>
        <w:t xml:space="preserve">nacionalnega pomena </w:t>
      </w:r>
      <w:r w:rsidRPr="00D91C6C">
        <w:rPr>
          <w:rFonts w:cs="Arial"/>
          <w:noProof/>
          <w:szCs w:val="20"/>
          <w:lang w:eastAsia="ar-SA"/>
        </w:rPr>
        <w:t>se</w:t>
      </w:r>
    </w:p>
    <w:p w14:paraId="059991F3" w14:textId="70764886" w:rsidR="00177504" w:rsidRDefault="00680162" w:rsidP="00680162">
      <w:pPr>
        <w:jc w:val="both"/>
        <w:rPr>
          <w:rFonts w:cs="Arial"/>
          <w:noProof/>
          <w:szCs w:val="20"/>
          <w:lang w:eastAsia="ar-SA"/>
        </w:rPr>
      </w:pPr>
      <w:r w:rsidRPr="00B35CD2">
        <w:rPr>
          <w:rFonts w:cs="Arial"/>
          <w:noProof/>
          <w:szCs w:val="20"/>
          <w:lang w:eastAsia="ar-SA"/>
        </w:rPr>
        <w:t>celovito načrtuj</w:t>
      </w:r>
      <w:r>
        <w:rPr>
          <w:rFonts w:cs="Arial"/>
          <w:noProof/>
          <w:szCs w:val="20"/>
          <w:lang w:eastAsia="ar-SA"/>
        </w:rPr>
        <w:t>e</w:t>
      </w:r>
      <w:r w:rsidRPr="00B35CD2">
        <w:rPr>
          <w:rFonts w:cs="Arial"/>
          <w:noProof/>
          <w:szCs w:val="20"/>
          <w:lang w:eastAsia="ar-SA"/>
        </w:rPr>
        <w:t xml:space="preserve"> </w:t>
      </w:r>
      <w:r w:rsidR="00BB0E08" w:rsidRPr="00D91C6C">
        <w:rPr>
          <w:rFonts w:cs="Arial"/>
          <w:noProof/>
          <w:szCs w:val="20"/>
          <w:lang w:eastAsia="ar-SA"/>
        </w:rPr>
        <w:t xml:space="preserve"> prostorski razvoj države področju gospodarstva. </w:t>
      </w:r>
    </w:p>
    <w:p w14:paraId="624C6F4A" w14:textId="166A4303" w:rsidR="00BB0E08" w:rsidRDefault="00BB0E08" w:rsidP="00BB0E08">
      <w:pPr>
        <w:jc w:val="both"/>
        <w:rPr>
          <w:rFonts w:cs="Arial"/>
          <w:noProof/>
          <w:szCs w:val="20"/>
          <w:lang w:eastAsia="ar-SA"/>
        </w:rPr>
      </w:pPr>
      <w:r>
        <w:rPr>
          <w:rFonts w:cs="Arial"/>
          <w:noProof/>
          <w:szCs w:val="20"/>
          <w:lang w:eastAsia="ar-SA"/>
        </w:rPr>
        <w:t>Z njim</w:t>
      </w:r>
      <w:r w:rsidRPr="00D91C6C">
        <w:rPr>
          <w:rFonts w:cs="Arial"/>
          <w:noProof/>
          <w:szCs w:val="20"/>
          <w:lang w:eastAsia="ar-SA"/>
        </w:rPr>
        <w:t xml:space="preserve"> se:</w:t>
      </w:r>
    </w:p>
    <w:p w14:paraId="3C0BB2FC" w14:textId="77777777" w:rsidR="00177504" w:rsidRPr="00D91C6C" w:rsidRDefault="00177504" w:rsidP="00BB0E08">
      <w:pPr>
        <w:jc w:val="both"/>
        <w:rPr>
          <w:rFonts w:cs="Arial"/>
          <w:noProof/>
          <w:szCs w:val="20"/>
          <w:lang w:eastAsia="ar-SA"/>
        </w:rPr>
      </w:pPr>
    </w:p>
    <w:p w14:paraId="29564479" w14:textId="37A476AD" w:rsidR="00BB0E08" w:rsidRPr="00D91C6C" w:rsidRDefault="00BB0E08" w:rsidP="00BB0E08">
      <w:pPr>
        <w:pStyle w:val="Odstavekseznama"/>
        <w:numPr>
          <w:ilvl w:val="0"/>
          <w:numId w:val="16"/>
        </w:numPr>
        <w:spacing w:after="0"/>
        <w:jc w:val="both"/>
        <w:rPr>
          <w:rFonts w:ascii="Arial" w:eastAsia="Calibri" w:hAnsi="Arial" w:cs="Arial"/>
          <w:noProof/>
          <w:sz w:val="20"/>
          <w:szCs w:val="20"/>
          <w:lang w:eastAsia="ar-SA"/>
        </w:rPr>
      </w:pPr>
      <w:r>
        <w:rPr>
          <w:rFonts w:ascii="Arial" w:eastAsia="Calibri" w:hAnsi="Arial" w:cs="Arial"/>
          <w:noProof/>
          <w:sz w:val="20"/>
          <w:szCs w:val="20"/>
          <w:lang w:eastAsia="ar-SA"/>
        </w:rPr>
        <w:t>d</w:t>
      </w:r>
      <w:r w:rsidRPr="00D91C6C">
        <w:rPr>
          <w:rFonts w:ascii="Arial" w:eastAsia="Calibri" w:hAnsi="Arial" w:cs="Arial"/>
          <w:noProof/>
          <w:sz w:val="20"/>
          <w:szCs w:val="20"/>
          <w:lang w:eastAsia="ar-SA"/>
        </w:rPr>
        <w:t>oločijo pre</w:t>
      </w:r>
      <w:r>
        <w:rPr>
          <w:rFonts w:ascii="Arial" w:eastAsia="Calibri" w:hAnsi="Arial" w:cs="Arial"/>
          <w:noProof/>
          <w:sz w:val="20"/>
          <w:szCs w:val="20"/>
          <w:lang w:eastAsia="ar-SA"/>
        </w:rPr>
        <w:t>dn</w:t>
      </w:r>
      <w:r w:rsidRPr="00D91C6C">
        <w:rPr>
          <w:rFonts w:ascii="Arial" w:eastAsia="Calibri" w:hAnsi="Arial" w:cs="Arial"/>
          <w:noProof/>
          <w:sz w:val="20"/>
          <w:szCs w:val="20"/>
          <w:lang w:eastAsia="ar-SA"/>
        </w:rPr>
        <w:t>ostn</w:t>
      </w:r>
      <w:r>
        <w:rPr>
          <w:rFonts w:ascii="Arial" w:eastAsia="Calibri" w:hAnsi="Arial" w:cs="Arial"/>
          <w:noProof/>
          <w:sz w:val="20"/>
          <w:szCs w:val="20"/>
          <w:lang w:eastAsia="ar-SA"/>
        </w:rPr>
        <w:t>a</w:t>
      </w:r>
      <w:r w:rsidRPr="00D91C6C">
        <w:rPr>
          <w:rFonts w:ascii="Arial" w:eastAsia="Calibri" w:hAnsi="Arial" w:cs="Arial"/>
          <w:noProof/>
          <w:sz w:val="20"/>
          <w:szCs w:val="20"/>
          <w:lang w:eastAsia="ar-SA"/>
        </w:rPr>
        <w:t xml:space="preserve"> </w:t>
      </w:r>
      <w:r>
        <w:rPr>
          <w:rFonts w:ascii="Arial" w:eastAsia="Calibri" w:hAnsi="Arial" w:cs="Arial"/>
          <w:noProof/>
          <w:sz w:val="20"/>
          <w:szCs w:val="20"/>
          <w:lang w:eastAsia="ar-SA"/>
        </w:rPr>
        <w:t>območja</w:t>
      </w:r>
      <w:r w:rsidRPr="00D91C6C">
        <w:rPr>
          <w:rFonts w:ascii="Arial" w:eastAsia="Calibri" w:hAnsi="Arial" w:cs="Arial"/>
          <w:noProof/>
          <w:sz w:val="20"/>
          <w:szCs w:val="20"/>
          <w:lang w:eastAsia="ar-SA"/>
        </w:rPr>
        <w:t xml:space="preserve"> za umeščanje gospodarskih dejavnosti in potrebne ureditve </w:t>
      </w:r>
      <w:r>
        <w:rPr>
          <w:rFonts w:ascii="Arial" w:eastAsia="Calibri" w:hAnsi="Arial" w:cs="Arial"/>
          <w:noProof/>
          <w:sz w:val="20"/>
          <w:szCs w:val="20"/>
          <w:lang w:eastAsia="ar-SA"/>
        </w:rPr>
        <w:t>le-</w:t>
      </w:r>
      <w:r w:rsidRPr="00D91C6C">
        <w:rPr>
          <w:rFonts w:ascii="Arial" w:eastAsia="Calibri" w:hAnsi="Arial" w:cs="Arial"/>
          <w:noProof/>
          <w:sz w:val="20"/>
          <w:szCs w:val="20"/>
          <w:lang w:eastAsia="ar-SA"/>
        </w:rPr>
        <w:t>teh</w:t>
      </w:r>
      <w:r w:rsidR="00C17022" w:rsidRPr="00D91C6C">
        <w:rPr>
          <w:rFonts w:ascii="Arial" w:eastAsia="Calibri" w:hAnsi="Arial" w:cs="Arial"/>
          <w:noProof/>
          <w:sz w:val="20"/>
          <w:szCs w:val="20"/>
          <w:lang w:eastAsia="ar-SA"/>
        </w:rPr>
        <w:t xml:space="preserve"> </w:t>
      </w:r>
      <w:r w:rsidR="00C17022">
        <w:rPr>
          <w:rFonts w:ascii="Arial" w:eastAsia="Calibri" w:hAnsi="Arial" w:cs="Arial"/>
          <w:noProof/>
          <w:sz w:val="20"/>
          <w:szCs w:val="20"/>
          <w:lang w:eastAsia="ar-SA"/>
        </w:rPr>
        <w:t>ob upoštevanju dostopnosti tako za tovorni, kot za potniški promet in s poudarkom na razvrednotenih območjih</w:t>
      </w:r>
      <w:r w:rsidR="0095751C">
        <w:rPr>
          <w:rFonts w:ascii="Arial" w:eastAsia="Calibri" w:hAnsi="Arial" w:cs="Arial"/>
          <w:noProof/>
          <w:sz w:val="20"/>
          <w:szCs w:val="20"/>
          <w:lang w:eastAsia="ar-SA"/>
        </w:rPr>
        <w:t xml:space="preserve"> ter uporabe teh območij tudi za namen umeščanja naprav, ki proizvajajo električno energijo z izrabo obnovljivih virov energije,  </w:t>
      </w:r>
    </w:p>
    <w:p w14:paraId="6D8DA095" w14:textId="77777777" w:rsidR="00BB0E08" w:rsidRPr="00D91C6C" w:rsidRDefault="00BB0E08" w:rsidP="00BB0E08">
      <w:pPr>
        <w:pStyle w:val="Odstavekseznama"/>
        <w:numPr>
          <w:ilvl w:val="0"/>
          <w:numId w:val="16"/>
        </w:numPr>
        <w:spacing w:after="0"/>
        <w:jc w:val="both"/>
        <w:rPr>
          <w:rFonts w:ascii="Arial" w:eastAsia="Calibri" w:hAnsi="Arial" w:cs="Arial"/>
          <w:noProof/>
          <w:sz w:val="20"/>
          <w:szCs w:val="20"/>
          <w:lang w:eastAsia="ar-SA"/>
        </w:rPr>
      </w:pPr>
      <w:r>
        <w:rPr>
          <w:rFonts w:ascii="Arial" w:eastAsia="Calibri" w:hAnsi="Arial" w:cs="Arial"/>
          <w:noProof/>
          <w:sz w:val="20"/>
          <w:szCs w:val="20"/>
          <w:lang w:eastAsia="ar-SA"/>
        </w:rPr>
        <w:t>d</w:t>
      </w:r>
      <w:r w:rsidRPr="00D91C6C">
        <w:rPr>
          <w:rFonts w:ascii="Arial" w:eastAsia="Calibri" w:hAnsi="Arial" w:cs="Arial"/>
          <w:noProof/>
          <w:sz w:val="20"/>
          <w:szCs w:val="20"/>
          <w:lang w:eastAsia="ar-SA"/>
        </w:rPr>
        <w:t>oločitev maksimalnih prostorskih kapacitet con</w:t>
      </w:r>
      <w:r>
        <w:rPr>
          <w:rFonts w:ascii="Arial" w:eastAsia="Calibri" w:hAnsi="Arial" w:cs="Arial"/>
          <w:noProof/>
          <w:sz w:val="20"/>
          <w:szCs w:val="20"/>
          <w:lang w:eastAsia="ar-SA"/>
        </w:rPr>
        <w:t xml:space="preserve">, </w:t>
      </w:r>
      <w:r w:rsidRPr="00D91C6C">
        <w:rPr>
          <w:rFonts w:ascii="Arial" w:eastAsia="Calibri" w:hAnsi="Arial" w:cs="Arial"/>
          <w:noProof/>
          <w:sz w:val="20"/>
          <w:szCs w:val="20"/>
          <w:lang w:eastAsia="ar-SA"/>
        </w:rPr>
        <w:t>dejavnosti v conah ter okoljskih emisij (hrup, odpadki) ter ukrepov za omilitev vplivov</w:t>
      </w:r>
      <w:r>
        <w:rPr>
          <w:rFonts w:ascii="Arial" w:eastAsia="Calibri" w:hAnsi="Arial" w:cs="Arial"/>
          <w:noProof/>
          <w:sz w:val="20"/>
          <w:szCs w:val="20"/>
          <w:lang w:eastAsia="ar-SA"/>
        </w:rPr>
        <w:t>,</w:t>
      </w:r>
    </w:p>
    <w:p w14:paraId="6D567108" w14:textId="77777777" w:rsidR="00BB0E08" w:rsidRPr="00D91C6C" w:rsidRDefault="00BB0E08" w:rsidP="00BB0E08">
      <w:pPr>
        <w:pStyle w:val="Odstavekseznama"/>
        <w:numPr>
          <w:ilvl w:val="0"/>
          <w:numId w:val="16"/>
        </w:numPr>
        <w:spacing w:after="0"/>
        <w:jc w:val="both"/>
        <w:rPr>
          <w:rFonts w:ascii="Arial" w:eastAsia="Calibri" w:hAnsi="Arial" w:cs="Arial"/>
          <w:noProof/>
          <w:sz w:val="20"/>
          <w:szCs w:val="20"/>
          <w:lang w:eastAsia="ar-SA"/>
        </w:rPr>
      </w:pPr>
      <w:r>
        <w:rPr>
          <w:rFonts w:ascii="Arial" w:eastAsia="Calibri" w:hAnsi="Arial" w:cs="Arial"/>
          <w:noProof/>
          <w:sz w:val="20"/>
          <w:szCs w:val="20"/>
          <w:lang w:eastAsia="ar-SA"/>
        </w:rPr>
        <w:t>u</w:t>
      </w:r>
      <w:r w:rsidRPr="00D91C6C">
        <w:rPr>
          <w:rFonts w:ascii="Arial" w:eastAsia="Calibri" w:hAnsi="Arial" w:cs="Arial"/>
          <w:noProof/>
          <w:sz w:val="20"/>
          <w:szCs w:val="20"/>
          <w:lang w:eastAsia="ar-SA"/>
        </w:rPr>
        <w:t xml:space="preserve">smeritve za določanje namenske rabe na prednostnih </w:t>
      </w:r>
      <w:r>
        <w:rPr>
          <w:rFonts w:ascii="Arial" w:eastAsia="Calibri" w:hAnsi="Arial" w:cs="Arial"/>
          <w:noProof/>
          <w:sz w:val="20"/>
          <w:szCs w:val="20"/>
          <w:lang w:eastAsia="ar-SA"/>
        </w:rPr>
        <w:t>območjih</w:t>
      </w:r>
      <w:r w:rsidRPr="00D91C6C">
        <w:rPr>
          <w:rFonts w:ascii="Arial" w:eastAsia="Calibri" w:hAnsi="Arial" w:cs="Arial"/>
          <w:noProof/>
          <w:sz w:val="20"/>
          <w:szCs w:val="20"/>
          <w:lang w:eastAsia="ar-SA"/>
        </w:rPr>
        <w:t xml:space="preserve"> za umeščanje gospodarskih dejavnosti in potrebne ureditve </w:t>
      </w:r>
      <w:r>
        <w:rPr>
          <w:rFonts w:ascii="Arial" w:eastAsia="Calibri" w:hAnsi="Arial" w:cs="Arial"/>
          <w:noProof/>
          <w:sz w:val="20"/>
          <w:szCs w:val="20"/>
          <w:lang w:eastAsia="ar-SA"/>
        </w:rPr>
        <w:t>le-teh,</w:t>
      </w:r>
    </w:p>
    <w:p w14:paraId="283B3851" w14:textId="77777777" w:rsidR="00BB0E08" w:rsidRPr="00D91C6C" w:rsidRDefault="00BB0E08" w:rsidP="00BB0E08">
      <w:pPr>
        <w:pStyle w:val="Odstavekseznama"/>
        <w:numPr>
          <w:ilvl w:val="0"/>
          <w:numId w:val="16"/>
        </w:numPr>
        <w:spacing w:after="0"/>
        <w:jc w:val="both"/>
        <w:rPr>
          <w:rFonts w:ascii="Arial" w:eastAsia="Calibri" w:hAnsi="Arial" w:cs="Arial"/>
          <w:noProof/>
          <w:sz w:val="20"/>
          <w:szCs w:val="20"/>
          <w:lang w:eastAsia="ar-SA"/>
        </w:rPr>
      </w:pPr>
      <w:r>
        <w:rPr>
          <w:rFonts w:ascii="Arial" w:eastAsia="Calibri" w:hAnsi="Arial" w:cs="Arial"/>
          <w:noProof/>
          <w:sz w:val="20"/>
          <w:szCs w:val="20"/>
          <w:lang w:eastAsia="ar-SA"/>
        </w:rPr>
        <w:t>u</w:t>
      </w:r>
      <w:r w:rsidRPr="00D91C6C">
        <w:rPr>
          <w:rFonts w:ascii="Arial" w:eastAsia="Calibri" w:hAnsi="Arial" w:cs="Arial"/>
          <w:noProof/>
          <w:sz w:val="20"/>
          <w:szCs w:val="20"/>
          <w:lang w:eastAsia="ar-SA"/>
        </w:rPr>
        <w:t>smeritve za načrtovanje prostorskih ureditev ter določanje izvedbene regulacije prostora</w:t>
      </w:r>
      <w:r>
        <w:rPr>
          <w:rFonts w:ascii="Arial" w:eastAsia="Calibri" w:hAnsi="Arial" w:cs="Arial"/>
          <w:noProof/>
          <w:sz w:val="20"/>
          <w:szCs w:val="20"/>
          <w:lang w:eastAsia="ar-SA"/>
        </w:rPr>
        <w:t>,</w:t>
      </w:r>
    </w:p>
    <w:p w14:paraId="02EC515F" w14:textId="77777777" w:rsidR="00BB0E08" w:rsidRPr="00D91C6C" w:rsidRDefault="00BB0E08" w:rsidP="00BB0E08">
      <w:pPr>
        <w:pStyle w:val="Odstavekseznama"/>
        <w:numPr>
          <w:ilvl w:val="0"/>
          <w:numId w:val="16"/>
        </w:numPr>
        <w:spacing w:after="0"/>
        <w:jc w:val="both"/>
        <w:rPr>
          <w:rFonts w:ascii="Arial" w:eastAsia="Calibri" w:hAnsi="Arial" w:cs="Arial"/>
          <w:noProof/>
          <w:sz w:val="20"/>
          <w:szCs w:val="20"/>
          <w:lang w:eastAsia="ar-SA"/>
        </w:rPr>
      </w:pPr>
      <w:r>
        <w:rPr>
          <w:rFonts w:ascii="Arial" w:eastAsia="Calibri" w:hAnsi="Arial" w:cs="Arial"/>
          <w:noProof/>
          <w:sz w:val="20"/>
          <w:szCs w:val="20"/>
          <w:lang w:eastAsia="ar-SA"/>
        </w:rPr>
        <w:t>a</w:t>
      </w:r>
      <w:r w:rsidRPr="00D91C6C">
        <w:rPr>
          <w:rFonts w:ascii="Arial" w:eastAsia="Calibri" w:hAnsi="Arial" w:cs="Arial"/>
          <w:noProof/>
          <w:sz w:val="20"/>
          <w:szCs w:val="20"/>
          <w:lang w:eastAsia="ar-SA"/>
        </w:rPr>
        <w:t xml:space="preserve">kcijski načrt za pripravo izvedbenih prostorskih aktov, ki bodo podlaga za pridobivanje gradbenih dovoljenj za izgradnjo infrastrukture in objektov v </w:t>
      </w:r>
      <w:r>
        <w:rPr>
          <w:rFonts w:ascii="Arial" w:eastAsia="Calibri" w:hAnsi="Arial" w:cs="Arial"/>
          <w:noProof/>
          <w:sz w:val="20"/>
          <w:szCs w:val="20"/>
          <w:lang w:eastAsia="ar-SA"/>
        </w:rPr>
        <w:t>industrijsko</w:t>
      </w:r>
      <w:r w:rsidRPr="00D91C6C">
        <w:rPr>
          <w:rFonts w:ascii="Arial" w:eastAsia="Calibri" w:hAnsi="Arial" w:cs="Arial"/>
          <w:noProof/>
          <w:sz w:val="20"/>
          <w:szCs w:val="20"/>
          <w:lang w:eastAsia="ar-SA"/>
        </w:rPr>
        <w:t xml:space="preserve"> poslovnih conah. </w:t>
      </w:r>
    </w:p>
    <w:p w14:paraId="3EFA6A1A" w14:textId="77777777" w:rsidR="00BB0E08" w:rsidRPr="00D91C6C" w:rsidRDefault="00BB0E08" w:rsidP="00BB0E08">
      <w:pPr>
        <w:jc w:val="both"/>
        <w:rPr>
          <w:rFonts w:cs="Arial"/>
          <w:noProof/>
          <w:szCs w:val="20"/>
          <w:lang w:eastAsia="ar-SA"/>
        </w:rPr>
      </w:pPr>
    </w:p>
    <w:p w14:paraId="27C530F4" w14:textId="31343A4C" w:rsidR="00BB0E08" w:rsidRPr="00786FBC" w:rsidRDefault="00BB0E08" w:rsidP="00BB0E08">
      <w:pPr>
        <w:jc w:val="both"/>
        <w:rPr>
          <w:rFonts w:cs="Arial"/>
          <w:noProof/>
          <w:szCs w:val="20"/>
          <w:lang w:eastAsia="ar-SA"/>
        </w:rPr>
      </w:pPr>
      <w:r w:rsidRPr="00786FBC">
        <w:rPr>
          <w:rFonts w:cs="Arial"/>
          <w:noProof/>
          <w:szCs w:val="20"/>
          <w:lang w:eastAsia="ar-SA"/>
        </w:rPr>
        <w:t>S tematskim akcijskim program</w:t>
      </w:r>
      <w:r w:rsidR="00680162">
        <w:rPr>
          <w:rFonts w:cs="Arial"/>
          <w:noProof/>
          <w:szCs w:val="20"/>
          <w:lang w:eastAsia="ar-SA"/>
        </w:rPr>
        <w:t>om</w:t>
      </w:r>
      <w:r w:rsidRPr="00786FBC">
        <w:rPr>
          <w:rFonts w:cs="Arial"/>
          <w:noProof/>
          <w:szCs w:val="20"/>
          <w:lang w:eastAsia="ar-SA"/>
        </w:rPr>
        <w:t xml:space="preserve"> se predvidi </w:t>
      </w:r>
      <w:r w:rsidR="008C6AF6">
        <w:rPr>
          <w:rFonts w:cs="Arial"/>
          <w:noProof/>
          <w:szCs w:val="20"/>
          <w:lang w:eastAsia="ar-SA"/>
        </w:rPr>
        <w:t>od</w:t>
      </w:r>
      <w:r w:rsidRPr="00786FBC">
        <w:rPr>
          <w:rFonts w:cs="Arial"/>
          <w:noProof/>
          <w:szCs w:val="20"/>
          <w:lang w:eastAsia="ar-SA"/>
        </w:rPr>
        <w:t xml:space="preserve">3 </w:t>
      </w:r>
      <w:r w:rsidR="008C6AF6">
        <w:rPr>
          <w:rFonts w:cs="Arial"/>
          <w:noProof/>
          <w:szCs w:val="20"/>
          <w:lang w:eastAsia="ar-SA"/>
        </w:rPr>
        <w:t xml:space="preserve">do 7 </w:t>
      </w:r>
      <w:r>
        <w:rPr>
          <w:rFonts w:cs="Arial"/>
          <w:noProof/>
          <w:szCs w:val="20"/>
          <w:lang w:eastAsia="ar-SA"/>
        </w:rPr>
        <w:t>industrijsko</w:t>
      </w:r>
      <w:r w:rsidRPr="00786FBC">
        <w:rPr>
          <w:rFonts w:cs="Arial"/>
          <w:noProof/>
          <w:szCs w:val="20"/>
          <w:lang w:eastAsia="ar-SA"/>
        </w:rPr>
        <w:t xml:space="preserve"> – poslovn</w:t>
      </w:r>
      <w:r>
        <w:rPr>
          <w:rFonts w:cs="Arial"/>
          <w:noProof/>
          <w:szCs w:val="20"/>
          <w:lang w:eastAsia="ar-SA"/>
        </w:rPr>
        <w:t>ih</w:t>
      </w:r>
      <w:r w:rsidRPr="00786FBC">
        <w:rPr>
          <w:rFonts w:cs="Arial"/>
          <w:noProof/>
          <w:szCs w:val="20"/>
          <w:lang w:eastAsia="ar-SA"/>
        </w:rPr>
        <w:t xml:space="preserve"> </w:t>
      </w:r>
      <w:r>
        <w:rPr>
          <w:rFonts w:cs="Arial"/>
          <w:noProof/>
          <w:szCs w:val="20"/>
          <w:lang w:eastAsia="ar-SA"/>
        </w:rPr>
        <w:t>območij</w:t>
      </w:r>
      <w:r w:rsidRPr="00786FBC">
        <w:rPr>
          <w:rFonts w:cs="Arial"/>
          <w:noProof/>
          <w:szCs w:val="20"/>
          <w:lang w:eastAsia="ar-SA"/>
        </w:rPr>
        <w:t xml:space="preserve"> nacionalnega pomena. </w:t>
      </w:r>
    </w:p>
    <w:p w14:paraId="52F3D263" w14:textId="3B699FD1" w:rsidR="00BB0E08" w:rsidRPr="00786FBC" w:rsidRDefault="00BB0E08" w:rsidP="00BB0E08">
      <w:pPr>
        <w:jc w:val="both"/>
        <w:rPr>
          <w:rFonts w:cs="Arial"/>
          <w:noProof/>
          <w:szCs w:val="20"/>
          <w:lang w:eastAsia="ar-SA"/>
        </w:rPr>
      </w:pPr>
      <w:r w:rsidRPr="00786FBC">
        <w:rPr>
          <w:rFonts w:cs="Arial"/>
          <w:noProof/>
          <w:szCs w:val="20"/>
          <w:lang w:eastAsia="ar-SA"/>
        </w:rPr>
        <w:t xml:space="preserve">Pobudnik in </w:t>
      </w:r>
      <w:r>
        <w:rPr>
          <w:rFonts w:cs="Arial"/>
          <w:noProof/>
          <w:szCs w:val="20"/>
          <w:lang w:eastAsia="ar-SA"/>
        </w:rPr>
        <w:t>financer</w:t>
      </w:r>
      <w:r w:rsidRPr="00786FBC">
        <w:rPr>
          <w:rFonts w:cs="Arial"/>
          <w:noProof/>
          <w:szCs w:val="20"/>
          <w:lang w:eastAsia="ar-SA"/>
        </w:rPr>
        <w:t xml:space="preserve"> tematskega akcijskega programa je Ministrstvo za gospodarstvo, turizem in šport, pripravljavec tematskega akcijskega programa </w:t>
      </w:r>
      <w:r>
        <w:rPr>
          <w:rFonts w:cs="Arial"/>
          <w:noProof/>
          <w:szCs w:val="20"/>
          <w:lang w:eastAsia="ar-SA"/>
        </w:rPr>
        <w:t xml:space="preserve">pa </w:t>
      </w:r>
      <w:r w:rsidRPr="00786FBC">
        <w:rPr>
          <w:rFonts w:cs="Arial"/>
          <w:noProof/>
          <w:szCs w:val="20"/>
          <w:lang w:eastAsia="ar-SA"/>
        </w:rPr>
        <w:t>je Ministrstvo za naravne vire in prostor</w:t>
      </w:r>
      <w:r w:rsidR="00FD109A">
        <w:rPr>
          <w:rFonts w:cs="Arial"/>
          <w:noProof/>
          <w:szCs w:val="20"/>
          <w:lang w:eastAsia="ar-SA"/>
        </w:rPr>
        <w:t>, pri teh aktivnostih vsebinsko sodeluje tudi Ministrstvo za kohezijo in regionalni razvoj</w:t>
      </w:r>
      <w:r w:rsidR="0095751C">
        <w:rPr>
          <w:rFonts w:cs="Arial"/>
          <w:noProof/>
          <w:szCs w:val="20"/>
          <w:lang w:eastAsia="ar-SA"/>
        </w:rPr>
        <w:t xml:space="preserve"> ter Ministrstvo za okolje, podnebje in energijo (dostopnost do prometnega in energetskega omrežja ter umeščanje naprav, ki proizvajajo električno energijo iz OVE).</w:t>
      </w:r>
    </w:p>
    <w:p w14:paraId="6EDB0052" w14:textId="77777777" w:rsidR="00BB0E08" w:rsidRPr="00BC6DF9" w:rsidRDefault="00BB0E08" w:rsidP="00BB0E08">
      <w:pPr>
        <w:jc w:val="both"/>
        <w:rPr>
          <w:rFonts w:cs="Arial"/>
          <w:b/>
          <w:bCs/>
          <w:noProof/>
          <w:szCs w:val="20"/>
          <w:lang w:eastAsia="ar-SA"/>
        </w:rPr>
      </w:pPr>
    </w:p>
    <w:p w14:paraId="62A83A41" w14:textId="77777777" w:rsidR="00BB0E08" w:rsidRPr="00BC6DF9" w:rsidRDefault="00BB0E08" w:rsidP="00BB0E08">
      <w:pPr>
        <w:jc w:val="both"/>
        <w:rPr>
          <w:rFonts w:cs="Arial"/>
          <w:b/>
          <w:bCs/>
          <w:noProof/>
          <w:szCs w:val="20"/>
          <w:lang w:eastAsia="ar-SA"/>
        </w:rPr>
      </w:pPr>
      <w:r w:rsidRPr="00BC6DF9">
        <w:rPr>
          <w:rFonts w:cs="Arial"/>
          <w:b/>
          <w:bCs/>
          <w:noProof/>
          <w:szCs w:val="20"/>
          <w:lang w:eastAsia="ar-SA"/>
        </w:rPr>
        <w:t xml:space="preserve">4. 1. POSTOPEK PRIPRAVE,  DELOVNI SKLOPI IN OKVIRNI TERMINSKI NAČRT  </w:t>
      </w:r>
    </w:p>
    <w:p w14:paraId="6ACFC22D" w14:textId="77777777" w:rsidR="00BB0E08" w:rsidRDefault="00BB0E08" w:rsidP="00BB0E08">
      <w:pPr>
        <w:jc w:val="both"/>
        <w:rPr>
          <w:rFonts w:cs="Arial"/>
          <w:noProof/>
          <w:szCs w:val="20"/>
          <w:lang w:eastAsia="ar-SA"/>
        </w:rPr>
      </w:pPr>
      <w:r w:rsidRPr="00D91C6C">
        <w:rPr>
          <w:rFonts w:cs="Arial"/>
          <w:noProof/>
          <w:szCs w:val="20"/>
          <w:lang w:eastAsia="ar-SA"/>
        </w:rPr>
        <w:t>Priprava tematskega akcijskega programa vsebuje več delovnih sklopov, ki vsebujejo različne aktivnosti, in sicer:</w:t>
      </w:r>
    </w:p>
    <w:p w14:paraId="696658D1" w14:textId="77777777" w:rsidR="00177504" w:rsidRPr="00D91C6C" w:rsidRDefault="00177504" w:rsidP="00BB0E08">
      <w:pPr>
        <w:jc w:val="both"/>
        <w:rPr>
          <w:rFonts w:cs="Arial"/>
          <w:noProof/>
          <w:szCs w:val="20"/>
          <w:lang w:eastAsia="ar-SA"/>
        </w:rPr>
      </w:pPr>
    </w:p>
    <w:p w14:paraId="3F592E23" w14:textId="5C97B868" w:rsidR="00BB0E08" w:rsidRPr="00D91C6C" w:rsidRDefault="00BB0E08" w:rsidP="00BB0E08">
      <w:pPr>
        <w:pStyle w:val="Odstavekseznama"/>
        <w:numPr>
          <w:ilvl w:val="0"/>
          <w:numId w:val="18"/>
        </w:numPr>
        <w:spacing w:after="0" w:line="240"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u</w:t>
      </w:r>
      <w:r w:rsidRPr="00D91C6C">
        <w:rPr>
          <w:rFonts w:ascii="Arial" w:eastAsia="Calibri" w:hAnsi="Arial" w:cs="Arial"/>
          <w:noProof/>
          <w:sz w:val="20"/>
          <w:szCs w:val="20"/>
          <w:lang w:eastAsia="ar-SA"/>
        </w:rPr>
        <w:t>vodne aktivnosti</w:t>
      </w:r>
      <w:r w:rsidR="00CF603A">
        <w:rPr>
          <w:rFonts w:ascii="Arial" w:eastAsia="Calibri" w:hAnsi="Arial" w:cs="Arial"/>
          <w:noProof/>
          <w:sz w:val="20"/>
          <w:szCs w:val="20"/>
          <w:lang w:eastAsia="ar-SA"/>
        </w:rPr>
        <w:t>,</w:t>
      </w:r>
    </w:p>
    <w:p w14:paraId="5B4BBCDF" w14:textId="2AEA706F" w:rsidR="00BB0E08" w:rsidRPr="00D91C6C" w:rsidRDefault="00BB0E08" w:rsidP="00BB0E08">
      <w:pPr>
        <w:pStyle w:val="Odstavekseznama"/>
        <w:numPr>
          <w:ilvl w:val="0"/>
          <w:numId w:val="18"/>
        </w:numPr>
        <w:spacing w:after="0" w:line="240"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i</w:t>
      </w:r>
      <w:r w:rsidRPr="00D91C6C">
        <w:rPr>
          <w:rFonts w:ascii="Arial" w:eastAsia="Calibri" w:hAnsi="Arial" w:cs="Arial"/>
          <w:noProof/>
          <w:sz w:val="20"/>
          <w:szCs w:val="20"/>
          <w:lang w:eastAsia="ar-SA"/>
        </w:rPr>
        <w:t>zdelava strokovnih podlag: analiza stanja na področju con, prognoza potreb po obsegu in namenu površin za gospodarsko in poslovno dejavnost, vzpostavitev kriterij</w:t>
      </w:r>
      <w:r>
        <w:rPr>
          <w:rFonts w:ascii="Arial" w:eastAsia="Calibri" w:hAnsi="Arial" w:cs="Arial"/>
          <w:noProof/>
          <w:sz w:val="20"/>
          <w:szCs w:val="20"/>
          <w:lang w:eastAsia="ar-SA"/>
        </w:rPr>
        <w:t xml:space="preserve">ev </w:t>
      </w:r>
      <w:r w:rsidRPr="00D91C6C">
        <w:rPr>
          <w:rFonts w:ascii="Arial" w:eastAsia="Calibri" w:hAnsi="Arial" w:cs="Arial"/>
          <w:noProof/>
          <w:sz w:val="20"/>
          <w:szCs w:val="20"/>
          <w:lang w:eastAsia="ar-SA"/>
        </w:rPr>
        <w:t xml:space="preserve">za izbor ustreznih con na </w:t>
      </w:r>
      <w:r>
        <w:rPr>
          <w:rFonts w:ascii="Arial" w:eastAsia="Calibri" w:hAnsi="Arial" w:cs="Arial"/>
          <w:noProof/>
          <w:sz w:val="20"/>
          <w:szCs w:val="20"/>
          <w:lang w:eastAsia="ar-SA"/>
        </w:rPr>
        <w:t>nacionalni</w:t>
      </w:r>
      <w:r w:rsidRPr="00D91C6C">
        <w:rPr>
          <w:rFonts w:ascii="Arial" w:eastAsia="Calibri" w:hAnsi="Arial" w:cs="Arial"/>
          <w:noProof/>
          <w:sz w:val="20"/>
          <w:szCs w:val="20"/>
          <w:lang w:eastAsia="ar-SA"/>
        </w:rPr>
        <w:t xml:space="preserve"> ravni, določitev </w:t>
      </w:r>
      <w:r>
        <w:rPr>
          <w:rFonts w:ascii="Arial" w:eastAsia="Calibri" w:hAnsi="Arial" w:cs="Arial"/>
          <w:noProof/>
          <w:sz w:val="20"/>
          <w:szCs w:val="20"/>
          <w:lang w:eastAsia="ar-SA"/>
        </w:rPr>
        <w:t xml:space="preserve">prednostnih območij, </w:t>
      </w:r>
      <w:r w:rsidRPr="00D91C6C">
        <w:rPr>
          <w:rFonts w:ascii="Arial" w:eastAsia="Calibri" w:hAnsi="Arial" w:cs="Arial"/>
          <w:noProof/>
          <w:sz w:val="20"/>
          <w:szCs w:val="20"/>
          <w:lang w:eastAsia="ar-SA"/>
        </w:rPr>
        <w:t xml:space="preserve"> ki ustrezajo kriterijem (v več variantah), analiza variant in predlog najustreznejše variante</w:t>
      </w:r>
      <w:r w:rsidR="00CF603A">
        <w:rPr>
          <w:rFonts w:ascii="Arial" w:eastAsia="Calibri" w:hAnsi="Arial" w:cs="Arial"/>
          <w:noProof/>
          <w:sz w:val="20"/>
          <w:szCs w:val="20"/>
          <w:lang w:eastAsia="ar-SA"/>
        </w:rPr>
        <w:t>,</w:t>
      </w:r>
    </w:p>
    <w:p w14:paraId="03998DC8" w14:textId="7EE82BB6" w:rsidR="00BB0E08" w:rsidRPr="00D91C6C" w:rsidRDefault="00BB0E08" w:rsidP="00BB0E08">
      <w:pPr>
        <w:pStyle w:val="Odstavekseznama"/>
        <w:numPr>
          <w:ilvl w:val="0"/>
          <w:numId w:val="18"/>
        </w:numPr>
        <w:spacing w:after="0" w:line="240"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p</w:t>
      </w:r>
      <w:r w:rsidRPr="00D91C6C">
        <w:rPr>
          <w:rFonts w:ascii="Arial" w:eastAsia="Calibri" w:hAnsi="Arial" w:cs="Arial"/>
          <w:noProof/>
          <w:sz w:val="20"/>
          <w:szCs w:val="20"/>
          <w:lang w:eastAsia="ar-SA"/>
        </w:rPr>
        <w:t xml:space="preserve">riprava osnutka </w:t>
      </w:r>
      <w:r>
        <w:rPr>
          <w:rFonts w:ascii="Arial" w:eastAsia="Calibri" w:hAnsi="Arial" w:cs="Arial"/>
          <w:noProof/>
          <w:sz w:val="20"/>
          <w:szCs w:val="20"/>
          <w:lang w:eastAsia="ar-SA"/>
        </w:rPr>
        <w:t>tematskega a</w:t>
      </w:r>
      <w:r w:rsidRPr="00D91C6C">
        <w:rPr>
          <w:rFonts w:ascii="Arial" w:eastAsia="Calibri" w:hAnsi="Arial" w:cs="Arial"/>
          <w:noProof/>
          <w:sz w:val="20"/>
          <w:szCs w:val="20"/>
          <w:lang w:eastAsia="ar-SA"/>
        </w:rPr>
        <w:t xml:space="preserve">kcijskega programa </w:t>
      </w:r>
      <w:r>
        <w:rPr>
          <w:rFonts w:ascii="Arial" w:eastAsia="Calibri" w:hAnsi="Arial" w:cs="Arial"/>
          <w:noProof/>
          <w:sz w:val="20"/>
          <w:szCs w:val="20"/>
          <w:lang w:eastAsia="ar-SA"/>
        </w:rPr>
        <w:t xml:space="preserve">(TAP) </w:t>
      </w:r>
      <w:r w:rsidRPr="00D91C6C">
        <w:rPr>
          <w:rFonts w:ascii="Arial" w:eastAsia="Calibri" w:hAnsi="Arial" w:cs="Arial"/>
          <w:noProof/>
          <w:sz w:val="20"/>
          <w:szCs w:val="20"/>
          <w:lang w:eastAsia="ar-SA"/>
        </w:rPr>
        <w:t>za javno obravnavo in postopek celovite presoje vplivov na okolje (CPVO)</w:t>
      </w:r>
      <w:r w:rsidR="00CF603A">
        <w:rPr>
          <w:rFonts w:ascii="Arial" w:eastAsia="Calibri" w:hAnsi="Arial" w:cs="Arial"/>
          <w:noProof/>
          <w:sz w:val="20"/>
          <w:szCs w:val="20"/>
          <w:lang w:eastAsia="ar-SA"/>
        </w:rPr>
        <w:t>,</w:t>
      </w:r>
    </w:p>
    <w:p w14:paraId="34E0F22C" w14:textId="2BE1D9B5" w:rsidR="00BB0E08" w:rsidRPr="00D91C6C" w:rsidRDefault="00BB0E08" w:rsidP="00BB0E08">
      <w:pPr>
        <w:pStyle w:val="Odstavekseznama"/>
        <w:numPr>
          <w:ilvl w:val="0"/>
          <w:numId w:val="18"/>
        </w:numPr>
        <w:spacing w:after="0" w:line="240"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s</w:t>
      </w:r>
      <w:r w:rsidRPr="00D91C6C">
        <w:rPr>
          <w:rFonts w:ascii="Arial" w:eastAsia="Calibri" w:hAnsi="Arial" w:cs="Arial"/>
          <w:noProof/>
          <w:sz w:val="20"/>
          <w:szCs w:val="20"/>
          <w:lang w:eastAsia="ar-SA"/>
        </w:rPr>
        <w:t>odelovanje v postopku javne razgrnitve in javne razprave o osnutku akcijskega programa in okoljskega poročila</w:t>
      </w:r>
      <w:r w:rsidR="00CF603A">
        <w:rPr>
          <w:rFonts w:ascii="Arial" w:eastAsia="Calibri" w:hAnsi="Arial" w:cs="Arial"/>
          <w:noProof/>
          <w:sz w:val="20"/>
          <w:szCs w:val="20"/>
          <w:lang w:eastAsia="ar-SA"/>
        </w:rPr>
        <w:t>,</w:t>
      </w:r>
    </w:p>
    <w:p w14:paraId="34B74486" w14:textId="1269C082" w:rsidR="00BB0E08" w:rsidRPr="00D91C6C" w:rsidRDefault="00BB0E08" w:rsidP="00BB0E08">
      <w:pPr>
        <w:pStyle w:val="Odstavekseznama"/>
        <w:numPr>
          <w:ilvl w:val="0"/>
          <w:numId w:val="18"/>
        </w:numPr>
        <w:spacing w:after="0" w:line="240"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p</w:t>
      </w:r>
      <w:r w:rsidRPr="00D91C6C">
        <w:rPr>
          <w:rFonts w:ascii="Arial" w:eastAsia="Calibri" w:hAnsi="Arial" w:cs="Arial"/>
          <w:noProof/>
          <w:sz w:val="20"/>
          <w:szCs w:val="20"/>
          <w:lang w:eastAsia="ar-SA"/>
        </w:rPr>
        <w:t>riprava prvega predloga akcijskega programa ter prvih predlogov uredb o najustreznejši varianti</w:t>
      </w:r>
      <w:r w:rsidR="00CF603A">
        <w:rPr>
          <w:rFonts w:ascii="Arial" w:eastAsia="Calibri" w:hAnsi="Arial" w:cs="Arial"/>
          <w:noProof/>
          <w:sz w:val="20"/>
          <w:szCs w:val="20"/>
          <w:lang w:eastAsia="ar-SA"/>
        </w:rPr>
        <w:t>,</w:t>
      </w:r>
    </w:p>
    <w:p w14:paraId="75CC878B" w14:textId="49CBE82B" w:rsidR="00BB0E08" w:rsidRPr="00D91C6C" w:rsidRDefault="00BB0E08" w:rsidP="00BB0E08">
      <w:pPr>
        <w:pStyle w:val="Odstavekseznama"/>
        <w:numPr>
          <w:ilvl w:val="0"/>
          <w:numId w:val="18"/>
        </w:numPr>
        <w:spacing w:after="0" w:line="240"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p</w:t>
      </w:r>
      <w:r w:rsidRPr="00D91C6C">
        <w:rPr>
          <w:rFonts w:ascii="Arial" w:eastAsia="Calibri" w:hAnsi="Arial" w:cs="Arial"/>
          <w:noProof/>
          <w:sz w:val="20"/>
          <w:szCs w:val="20"/>
          <w:lang w:eastAsia="ar-SA"/>
        </w:rPr>
        <w:t xml:space="preserve">riprava predloga akcijskega programa, </w:t>
      </w:r>
    </w:p>
    <w:p w14:paraId="4278C88C" w14:textId="56E21E86" w:rsidR="00BB0E08" w:rsidRPr="00D91C6C" w:rsidRDefault="00BB0E08" w:rsidP="00BB0E08">
      <w:pPr>
        <w:pStyle w:val="Odstavekseznama"/>
        <w:numPr>
          <w:ilvl w:val="0"/>
          <w:numId w:val="18"/>
        </w:numPr>
        <w:spacing w:after="0" w:line="240"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p</w:t>
      </w:r>
      <w:r w:rsidRPr="00D91C6C">
        <w:rPr>
          <w:rFonts w:ascii="Arial" w:eastAsia="Calibri" w:hAnsi="Arial" w:cs="Arial"/>
          <w:noProof/>
          <w:sz w:val="20"/>
          <w:szCs w:val="20"/>
          <w:lang w:eastAsia="ar-SA"/>
        </w:rPr>
        <w:t>redlog nadaljnjega postopanja ter dokončno oblikovanje vseh strokovnih podlag</w:t>
      </w:r>
      <w:r w:rsidR="00CF603A">
        <w:rPr>
          <w:rFonts w:ascii="Arial" w:eastAsia="Calibri" w:hAnsi="Arial" w:cs="Arial"/>
          <w:noProof/>
          <w:sz w:val="20"/>
          <w:szCs w:val="20"/>
          <w:lang w:eastAsia="ar-SA"/>
        </w:rPr>
        <w:t>,</w:t>
      </w:r>
    </w:p>
    <w:p w14:paraId="2EB26FD0" w14:textId="77777777" w:rsidR="00BB0E08" w:rsidRPr="00D91C6C" w:rsidRDefault="00BB0E08" w:rsidP="00BB0E08">
      <w:pPr>
        <w:pStyle w:val="Odstavekseznama"/>
        <w:numPr>
          <w:ilvl w:val="0"/>
          <w:numId w:val="18"/>
        </w:numPr>
        <w:spacing w:after="0" w:line="240" w:lineRule="auto"/>
        <w:jc w:val="both"/>
        <w:rPr>
          <w:rFonts w:ascii="Arial" w:eastAsia="Calibri" w:hAnsi="Arial" w:cs="Arial"/>
          <w:noProof/>
          <w:sz w:val="20"/>
          <w:szCs w:val="20"/>
          <w:lang w:eastAsia="ar-SA"/>
        </w:rPr>
      </w:pPr>
      <w:r>
        <w:rPr>
          <w:rFonts w:ascii="Arial" w:eastAsia="Calibri" w:hAnsi="Arial" w:cs="Arial"/>
          <w:noProof/>
          <w:sz w:val="20"/>
          <w:szCs w:val="20"/>
          <w:lang w:eastAsia="ar-SA"/>
        </w:rPr>
        <w:t>e</w:t>
      </w:r>
      <w:r w:rsidRPr="00D91C6C">
        <w:rPr>
          <w:rFonts w:ascii="Arial" w:eastAsia="Calibri" w:hAnsi="Arial" w:cs="Arial"/>
          <w:noProof/>
          <w:sz w:val="20"/>
          <w:szCs w:val="20"/>
          <w:lang w:eastAsia="ar-SA"/>
        </w:rPr>
        <w:t>valvacija procesa in predlogi izboljšav.</w:t>
      </w:r>
    </w:p>
    <w:p w14:paraId="0E7846F2" w14:textId="77777777" w:rsidR="00BB0E08" w:rsidRPr="00D91C6C" w:rsidRDefault="00BB0E08" w:rsidP="00BB0E08">
      <w:pPr>
        <w:jc w:val="both"/>
        <w:rPr>
          <w:rFonts w:cs="Arial"/>
          <w:noProof/>
          <w:szCs w:val="20"/>
          <w:lang w:eastAsia="ar-SA"/>
        </w:rPr>
      </w:pPr>
    </w:p>
    <w:p w14:paraId="37467739" w14:textId="20A26C5A" w:rsidR="00BB0E08" w:rsidRDefault="00BB0E08" w:rsidP="00BB0E08">
      <w:pPr>
        <w:jc w:val="both"/>
        <w:rPr>
          <w:rFonts w:cs="Arial"/>
          <w:noProof/>
          <w:szCs w:val="20"/>
          <w:lang w:eastAsia="ar-SA"/>
        </w:rPr>
      </w:pPr>
      <w:r>
        <w:rPr>
          <w:rFonts w:cs="Arial"/>
          <w:noProof/>
          <w:szCs w:val="20"/>
          <w:lang w:eastAsia="ar-SA"/>
        </w:rPr>
        <w:t>P</w:t>
      </w:r>
      <w:r w:rsidRPr="00D91C6C">
        <w:rPr>
          <w:rFonts w:cs="Arial"/>
          <w:noProof/>
          <w:szCs w:val="20"/>
          <w:lang w:eastAsia="ar-SA"/>
        </w:rPr>
        <w:t>riprav</w:t>
      </w:r>
      <w:r>
        <w:rPr>
          <w:rFonts w:cs="Arial"/>
          <w:noProof/>
          <w:szCs w:val="20"/>
          <w:lang w:eastAsia="ar-SA"/>
        </w:rPr>
        <w:t>a</w:t>
      </w:r>
      <w:r w:rsidRPr="00D91C6C">
        <w:rPr>
          <w:rFonts w:cs="Arial"/>
          <w:noProof/>
          <w:szCs w:val="20"/>
          <w:lang w:eastAsia="ar-SA"/>
        </w:rPr>
        <w:t xml:space="preserve"> tematskega akcijskega programa </w:t>
      </w:r>
      <w:r>
        <w:rPr>
          <w:rFonts w:cs="Arial"/>
          <w:noProof/>
          <w:szCs w:val="20"/>
          <w:lang w:eastAsia="ar-SA"/>
        </w:rPr>
        <w:t xml:space="preserve">bo izhajala </w:t>
      </w:r>
      <w:r w:rsidRPr="00D91C6C">
        <w:rPr>
          <w:rFonts w:cs="Arial"/>
          <w:noProof/>
          <w:szCs w:val="20"/>
          <w:lang w:eastAsia="ar-SA"/>
        </w:rPr>
        <w:t>iz relevantnih strateških dokumentov in pravnih aktov EU</w:t>
      </w:r>
      <w:r>
        <w:rPr>
          <w:rFonts w:cs="Arial"/>
          <w:noProof/>
          <w:szCs w:val="20"/>
          <w:lang w:eastAsia="ar-SA"/>
        </w:rPr>
        <w:t>,</w:t>
      </w:r>
      <w:r w:rsidRPr="00D91C6C">
        <w:rPr>
          <w:rFonts w:cs="Arial"/>
          <w:noProof/>
          <w:szCs w:val="20"/>
          <w:lang w:eastAsia="ar-SA"/>
        </w:rPr>
        <w:t xml:space="preserve"> določb </w:t>
      </w:r>
      <w:r w:rsidR="004B1D1C" w:rsidRPr="004B1D1C">
        <w:rPr>
          <w:rFonts w:cs="Arial"/>
          <w:noProof/>
          <w:szCs w:val="20"/>
          <w:lang w:eastAsia="ar-SA"/>
        </w:rPr>
        <w:t xml:space="preserve"> </w:t>
      </w:r>
      <w:r w:rsidR="004B1D1C" w:rsidRPr="00D91C6C">
        <w:rPr>
          <w:rFonts w:cs="Arial"/>
          <w:noProof/>
          <w:szCs w:val="20"/>
          <w:lang w:eastAsia="ar-SA"/>
        </w:rPr>
        <w:t>ZU</w:t>
      </w:r>
      <w:r w:rsidR="004B1D1C">
        <w:rPr>
          <w:rFonts w:cs="Arial"/>
          <w:noProof/>
          <w:szCs w:val="20"/>
          <w:lang w:eastAsia="ar-SA"/>
        </w:rPr>
        <w:t>r</w:t>
      </w:r>
      <w:r w:rsidR="004B1D1C" w:rsidRPr="00D91C6C">
        <w:rPr>
          <w:rFonts w:cs="Arial"/>
          <w:noProof/>
          <w:szCs w:val="20"/>
          <w:lang w:eastAsia="ar-SA"/>
        </w:rPr>
        <w:t>e</w:t>
      </w:r>
      <w:r w:rsidR="004B1D1C">
        <w:rPr>
          <w:rFonts w:cs="Arial"/>
          <w:noProof/>
          <w:szCs w:val="20"/>
          <w:lang w:eastAsia="ar-SA"/>
        </w:rPr>
        <w:t xml:space="preserve">P-3 </w:t>
      </w:r>
      <w:r w:rsidRPr="00D91C6C">
        <w:rPr>
          <w:rFonts w:cs="Arial"/>
          <w:noProof/>
          <w:szCs w:val="20"/>
          <w:lang w:eastAsia="ar-SA"/>
        </w:rPr>
        <w:t>in vseh drugih relevantnih predpisov.</w:t>
      </w:r>
      <w:r w:rsidR="0095751C" w:rsidRPr="0095751C">
        <w:rPr>
          <w:rFonts w:cs="Arial"/>
          <w:noProof/>
          <w:szCs w:val="20"/>
          <w:lang w:eastAsia="ar-SA"/>
        </w:rPr>
        <w:t xml:space="preserve"> </w:t>
      </w:r>
      <w:r w:rsidR="0095751C">
        <w:rPr>
          <w:rFonts w:cs="Arial"/>
          <w:noProof/>
          <w:szCs w:val="20"/>
          <w:lang w:eastAsia="ar-SA"/>
        </w:rPr>
        <w:t xml:space="preserve">Pri pripravi tematskega akcijskega programa </w:t>
      </w:r>
      <w:r w:rsidR="0095751C">
        <w:rPr>
          <w:rFonts w:eastAsia="Calibri" w:cs="Arial"/>
          <w:noProof/>
          <w:szCs w:val="20"/>
          <w:lang w:eastAsia="ar-SA"/>
        </w:rPr>
        <w:t>se upoštevajo cilji in ukrepi predvideni v Posodobljenem celovitem nacionalnem in podnebnem načrtu (NEPN).</w:t>
      </w:r>
    </w:p>
    <w:p w14:paraId="1F9891EE" w14:textId="77777777" w:rsidR="0095751C" w:rsidRDefault="0095751C" w:rsidP="00BB0E08">
      <w:pPr>
        <w:jc w:val="both"/>
        <w:rPr>
          <w:rFonts w:cs="Arial"/>
          <w:noProof/>
          <w:szCs w:val="20"/>
          <w:lang w:eastAsia="ar-SA"/>
        </w:rPr>
      </w:pPr>
    </w:p>
    <w:p w14:paraId="2558A039" w14:textId="77777777" w:rsidR="00BB0E08" w:rsidRPr="00D91C6C" w:rsidRDefault="00BB0E08" w:rsidP="00BB0E08">
      <w:pPr>
        <w:jc w:val="both"/>
        <w:rPr>
          <w:rFonts w:cs="Arial"/>
          <w:noProof/>
          <w:szCs w:val="20"/>
          <w:lang w:eastAsia="ar-SA"/>
        </w:rPr>
      </w:pPr>
    </w:p>
    <w:p w14:paraId="54076E5E" w14:textId="77777777" w:rsidR="00BB0E08" w:rsidRDefault="00BB0E08" w:rsidP="00BB0E08">
      <w:pPr>
        <w:jc w:val="both"/>
        <w:rPr>
          <w:rFonts w:cs="Arial"/>
          <w:noProof/>
          <w:szCs w:val="20"/>
          <w:lang w:eastAsia="ar-SA"/>
        </w:rPr>
      </w:pPr>
      <w:r w:rsidRPr="00786FBC">
        <w:rPr>
          <w:rFonts w:cs="Arial"/>
          <w:noProof/>
          <w:szCs w:val="20"/>
          <w:lang w:eastAsia="ar-SA"/>
        </w:rPr>
        <w:t>Planirani rok za izvedbo vseh aktivnosti je</w:t>
      </w:r>
      <w:r>
        <w:rPr>
          <w:rFonts w:cs="Arial"/>
          <w:noProof/>
          <w:szCs w:val="20"/>
          <w:lang w:eastAsia="ar-SA"/>
        </w:rPr>
        <w:t xml:space="preserve"> do 20 mesecev od seznanitve na Vladi RS. </w:t>
      </w:r>
    </w:p>
    <w:p w14:paraId="08D3818C" w14:textId="77777777" w:rsidR="008C6AF6" w:rsidRDefault="008C6AF6" w:rsidP="00BB0E08">
      <w:pPr>
        <w:jc w:val="both"/>
        <w:rPr>
          <w:rFonts w:cs="Arial"/>
          <w:noProof/>
          <w:szCs w:val="20"/>
          <w:lang w:eastAsia="ar-SA"/>
        </w:rPr>
      </w:pPr>
    </w:p>
    <w:p w14:paraId="57B89EEA" w14:textId="737CCE36" w:rsidR="008C6AF6" w:rsidRPr="00105B08" w:rsidRDefault="008C6AF6" w:rsidP="00105B08">
      <w:pPr>
        <w:pStyle w:val="Odstavekseznama"/>
        <w:numPr>
          <w:ilvl w:val="0"/>
          <w:numId w:val="39"/>
        </w:numPr>
        <w:jc w:val="both"/>
        <w:rPr>
          <w:rFonts w:cs="Arial"/>
          <w:b/>
          <w:bCs/>
          <w:noProof/>
          <w:szCs w:val="20"/>
          <w:lang w:eastAsia="ar-SA"/>
        </w:rPr>
      </w:pPr>
      <w:r w:rsidRPr="00105B08">
        <w:rPr>
          <w:rFonts w:ascii="Arial" w:eastAsia="Times New Roman" w:hAnsi="Arial" w:cs="Arial"/>
          <w:b/>
          <w:bCs/>
          <w:noProof/>
          <w:sz w:val="20"/>
          <w:szCs w:val="20"/>
          <w:lang w:val="sl-SI" w:eastAsia="ar-SA"/>
        </w:rPr>
        <w:t xml:space="preserve">REGIONALNO PROSTORSKO NAČRTOVANJE </w:t>
      </w:r>
    </w:p>
    <w:p w14:paraId="063EFE22" w14:textId="77777777" w:rsidR="00BC1DE7" w:rsidRPr="00105B08" w:rsidRDefault="00BC1DE7" w:rsidP="00BC1DE7">
      <w:pPr>
        <w:spacing w:line="276" w:lineRule="auto"/>
        <w:rPr>
          <w:rFonts w:eastAsia="Calibri" w:cs="Arial"/>
          <w:noProof/>
          <w:szCs w:val="20"/>
          <w:lang w:val="de-DE" w:eastAsia="ar-SA"/>
        </w:rPr>
      </w:pPr>
      <w:r w:rsidRPr="00105B08">
        <w:rPr>
          <w:rFonts w:eastAsia="Calibri" w:cs="Arial"/>
          <w:noProof/>
          <w:szCs w:val="20"/>
          <w:lang w:val="de-DE" w:eastAsia="ar-SA"/>
        </w:rPr>
        <w:t xml:space="preserve">Priprava RPP je določena v 78. členu ZUreP-3 in bo predvidoma potekala štirih fazah: </w:t>
      </w:r>
    </w:p>
    <w:p w14:paraId="39A82383" w14:textId="77777777" w:rsidR="00BC1DE7" w:rsidRDefault="00BC1DE7" w:rsidP="00BC1DE7">
      <w:pPr>
        <w:spacing w:line="276" w:lineRule="auto"/>
        <w:rPr>
          <w:rFonts w:ascii="Arial Nova Cond" w:hAnsi="Arial Nova Cond"/>
          <w:sz w:val="10"/>
          <w:szCs w:val="10"/>
        </w:rPr>
      </w:pPr>
    </w:p>
    <w:p w14:paraId="0267252C" w14:textId="77777777" w:rsidR="00BC1DE7" w:rsidRPr="00105B08" w:rsidRDefault="00BC1DE7" w:rsidP="00BC1DE7">
      <w:pPr>
        <w:pStyle w:val="Odstavekseznama"/>
        <w:numPr>
          <w:ilvl w:val="0"/>
          <w:numId w:val="35"/>
        </w:numPr>
        <w:spacing w:after="0"/>
        <w:jc w:val="both"/>
        <w:rPr>
          <w:rFonts w:ascii="Arial" w:eastAsia="Times New Roman" w:hAnsi="Arial" w:cs="Arial"/>
          <w:noProof/>
          <w:sz w:val="20"/>
          <w:szCs w:val="20"/>
          <w:lang w:val="sl-SI" w:eastAsia="ar-SA"/>
        </w:rPr>
      </w:pPr>
      <w:r w:rsidRPr="00105B08">
        <w:rPr>
          <w:rFonts w:ascii="Arial" w:eastAsia="Times New Roman" w:hAnsi="Arial" w:cs="Arial"/>
          <w:noProof/>
          <w:sz w:val="20"/>
          <w:szCs w:val="20"/>
          <w:lang w:val="sl-SI" w:eastAsia="ar-SA"/>
        </w:rPr>
        <w:t xml:space="preserve">Priprava strokovnih podlag </w:t>
      </w:r>
    </w:p>
    <w:p w14:paraId="4A09AE86" w14:textId="77777777" w:rsidR="00BC1DE7" w:rsidRPr="00105B08" w:rsidRDefault="00BC1DE7" w:rsidP="00BC1DE7">
      <w:pPr>
        <w:pStyle w:val="Napis"/>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 xml:space="preserve">Izdelava obveznih strokovnih podlag za pripravo RPP: analiza stanja v prostoru, analiza razvojnih potencialov in pomanjkljivosti regij, usmeritve za regije. </w:t>
      </w:r>
    </w:p>
    <w:p w14:paraId="70792498" w14:textId="77777777" w:rsidR="00BC1DE7" w:rsidRPr="00105B08" w:rsidRDefault="00BC1DE7" w:rsidP="00BC1DE7">
      <w:pPr>
        <w:pStyle w:val="Napis"/>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Pridobitev podatkov in že izdelanih strokovnih gradiv občin in ministrstev (veljavni prostorski akti, področne strategije, že izdelane strokovne podlage, podatki o prostorskih aktih in strokovnih podlaga v pripravi idr.)</w:t>
      </w:r>
    </w:p>
    <w:p w14:paraId="727DCADC" w14:textId="77777777" w:rsidR="00BC1DE7" w:rsidRPr="00105B08" w:rsidRDefault="00BC1DE7" w:rsidP="00BC1DE7">
      <w:pPr>
        <w:pStyle w:val="Napis"/>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 xml:space="preserve">Izdelava urbanistične in krajinske zasnove kot obvezne strokovne podlage – predvidoma do konca 2025. </w:t>
      </w:r>
    </w:p>
    <w:p w14:paraId="5EDC4CA3" w14:textId="77777777" w:rsidR="00BC1DE7" w:rsidRPr="00105B08" w:rsidRDefault="00BC1DE7" w:rsidP="00BC1DE7">
      <w:pPr>
        <w:spacing w:line="276" w:lineRule="auto"/>
        <w:rPr>
          <w:rFonts w:cs="Arial"/>
          <w:noProof/>
          <w:szCs w:val="20"/>
          <w:lang w:eastAsia="ar-SA"/>
        </w:rPr>
      </w:pPr>
    </w:p>
    <w:p w14:paraId="4474E6A7" w14:textId="2E9695DC" w:rsidR="00BC1DE7" w:rsidRPr="00105B08" w:rsidRDefault="00BC1DE7" w:rsidP="00BC1DE7">
      <w:pPr>
        <w:pStyle w:val="Odstavekseznama"/>
        <w:numPr>
          <w:ilvl w:val="0"/>
          <w:numId w:val="35"/>
        </w:numPr>
        <w:spacing w:after="0"/>
        <w:jc w:val="both"/>
        <w:rPr>
          <w:rFonts w:ascii="Arial" w:eastAsia="Times New Roman" w:hAnsi="Arial" w:cs="Arial"/>
          <w:noProof/>
          <w:sz w:val="20"/>
          <w:szCs w:val="20"/>
          <w:lang w:val="sl-SI" w:eastAsia="ar-SA"/>
        </w:rPr>
      </w:pPr>
      <w:r w:rsidRPr="00105B08">
        <w:rPr>
          <w:rFonts w:ascii="Arial" w:eastAsia="Times New Roman" w:hAnsi="Arial" w:cs="Arial"/>
          <w:noProof/>
          <w:sz w:val="20"/>
          <w:szCs w:val="20"/>
          <w:lang w:val="sl-SI" w:eastAsia="ar-SA"/>
        </w:rPr>
        <w:t xml:space="preserve">Izdelava Izhodišč za pripravo RPP </w:t>
      </w:r>
    </w:p>
    <w:p w14:paraId="53C15B8D" w14:textId="77777777" w:rsidR="00BC1DE7" w:rsidRDefault="00BC1DE7" w:rsidP="00BC1DE7">
      <w:pPr>
        <w:pStyle w:val="Napis"/>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Izdelava Izhodišč za pripravo RPP, ki se po potrditvi na razvojnem svetu regije in svetu regije objavijo v prostorskem informacijskem sistemu.</w:t>
      </w:r>
    </w:p>
    <w:p w14:paraId="01BBA723" w14:textId="77777777" w:rsidR="00EF60BF" w:rsidRPr="00105B08" w:rsidRDefault="00EF60BF" w:rsidP="00105B08">
      <w:pPr>
        <w:pStyle w:val="Napis"/>
        <w:spacing w:after="0" w:line="276" w:lineRule="auto"/>
        <w:ind w:left="1068"/>
        <w:rPr>
          <w:rFonts w:ascii="Arial" w:eastAsia="Times New Roman" w:hAnsi="Arial" w:cs="Arial"/>
          <w:noProof/>
          <w:color w:val="auto"/>
          <w:sz w:val="20"/>
          <w:szCs w:val="20"/>
          <w:lang w:eastAsia="ar-SA"/>
          <w14:ligatures w14:val="none"/>
        </w:rPr>
      </w:pPr>
    </w:p>
    <w:p w14:paraId="3BE2039E" w14:textId="77777777" w:rsidR="00BC1DE7" w:rsidRPr="00105B08" w:rsidRDefault="00BC1DE7" w:rsidP="00BC1DE7">
      <w:pPr>
        <w:pStyle w:val="Odstavekseznama"/>
        <w:numPr>
          <w:ilvl w:val="0"/>
          <w:numId w:val="35"/>
        </w:numPr>
        <w:spacing w:after="0"/>
        <w:jc w:val="both"/>
        <w:rPr>
          <w:rFonts w:ascii="Arial" w:eastAsia="Times New Roman" w:hAnsi="Arial" w:cs="Arial"/>
          <w:noProof/>
          <w:sz w:val="20"/>
          <w:szCs w:val="20"/>
          <w:lang w:val="sl-SI" w:eastAsia="ar-SA"/>
        </w:rPr>
      </w:pPr>
      <w:r w:rsidRPr="00105B08">
        <w:rPr>
          <w:rFonts w:ascii="Arial" w:eastAsia="Times New Roman" w:hAnsi="Arial" w:cs="Arial"/>
          <w:noProof/>
          <w:sz w:val="20"/>
          <w:szCs w:val="20"/>
          <w:lang w:val="sl-SI" w:eastAsia="ar-SA"/>
        </w:rPr>
        <w:t xml:space="preserve">Izdelava osnutka RPP – do 31.12.2025 </w:t>
      </w:r>
    </w:p>
    <w:p w14:paraId="68B1A49B" w14:textId="77777777" w:rsidR="00BC1DE7" w:rsidRPr="00105B08" w:rsidRDefault="00BC1DE7" w:rsidP="00BC1DE7">
      <w:pPr>
        <w:pStyle w:val="Napis"/>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 xml:space="preserve">Osnutek RPP pripravi izdelovalec RPP, izbran z javnim naročilom. Osnutek RPP se pripravi na podlagi strokovnih podlag, ki jih zagotovijo tudi nosilci urejanja prostora za svoje področje  pristojnosti. Osnutek RPP se objavi v prostorskem informacijskem sistemu, po potrditvi na razvojnem svetu regije in svetu regije. </w:t>
      </w:r>
    </w:p>
    <w:p w14:paraId="0204B0D8" w14:textId="77777777" w:rsidR="00BC1DE7" w:rsidRPr="00105B08" w:rsidRDefault="00BC1DE7" w:rsidP="00BC1DE7">
      <w:pPr>
        <w:pStyle w:val="Napis"/>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 xml:space="preserve">Sočasno z izdelavo RPP poteka tudi izdelava Okoljskega poročila. Usklajen osnutek okoljskega poročila se posreduje ministrstvu, pristojnemu za celovito presojo vplivov na okolje. </w:t>
      </w:r>
    </w:p>
    <w:p w14:paraId="0900FC7A" w14:textId="77777777" w:rsidR="00BC1DE7" w:rsidRPr="00105B08" w:rsidRDefault="00BC1DE7" w:rsidP="00BC1DE7">
      <w:pPr>
        <w:spacing w:line="276" w:lineRule="auto"/>
        <w:rPr>
          <w:rFonts w:cs="Arial"/>
          <w:noProof/>
          <w:szCs w:val="20"/>
          <w:lang w:eastAsia="ar-SA"/>
        </w:rPr>
      </w:pPr>
    </w:p>
    <w:p w14:paraId="05E29C08" w14:textId="77777777" w:rsidR="00BC1DE7" w:rsidRPr="00105B08" w:rsidRDefault="00BC1DE7" w:rsidP="00BC1DE7">
      <w:pPr>
        <w:pStyle w:val="Odstavekseznama"/>
        <w:numPr>
          <w:ilvl w:val="0"/>
          <w:numId w:val="35"/>
        </w:numPr>
        <w:spacing w:after="0"/>
        <w:jc w:val="both"/>
        <w:rPr>
          <w:rFonts w:ascii="Arial" w:eastAsia="Times New Roman" w:hAnsi="Arial" w:cs="Arial"/>
          <w:noProof/>
          <w:sz w:val="20"/>
          <w:szCs w:val="20"/>
          <w:lang w:val="sl-SI" w:eastAsia="ar-SA"/>
        </w:rPr>
      </w:pPr>
      <w:r w:rsidRPr="00105B08">
        <w:rPr>
          <w:rFonts w:ascii="Arial" w:eastAsia="Times New Roman" w:hAnsi="Arial" w:cs="Arial"/>
          <w:noProof/>
          <w:sz w:val="20"/>
          <w:szCs w:val="20"/>
          <w:lang w:val="sl-SI" w:eastAsia="ar-SA"/>
        </w:rPr>
        <w:t>Izdelava RPP – do 31.12.2026</w:t>
      </w:r>
    </w:p>
    <w:p w14:paraId="6188A2DB" w14:textId="77777777" w:rsidR="00BC1DE7" w:rsidRPr="00105B08" w:rsidRDefault="00BC1DE7" w:rsidP="00BC1DE7">
      <w:pPr>
        <w:pStyle w:val="Napis"/>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 xml:space="preserve">Javna razgrnitev RPP poteka v prostorskem informacijskem sistemu in na krajevno običajen način v posameznih občinah za najmanj 60 dni. </w:t>
      </w:r>
    </w:p>
    <w:p w14:paraId="51DC92D6" w14:textId="77777777" w:rsidR="00BC1DE7" w:rsidRPr="00105B08" w:rsidRDefault="00BC1DE7" w:rsidP="00BC1DE7">
      <w:pPr>
        <w:pStyle w:val="Napis"/>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Na podlagi pridobljenih predlogov in pripomb javnosti ter mnenj nosilcev urejanja prostora se pripravi predlog RPP.</w:t>
      </w:r>
    </w:p>
    <w:p w14:paraId="15FA088A" w14:textId="77777777" w:rsidR="00BC1DE7" w:rsidRPr="00105B08" w:rsidRDefault="00BC1DE7" w:rsidP="00BC1DE7">
      <w:pPr>
        <w:pStyle w:val="Napis"/>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RPP sprejme razvojni svet regije po potrditvi vlade in sveta regije.</w:t>
      </w:r>
    </w:p>
    <w:p w14:paraId="34266615" w14:textId="77777777" w:rsidR="00BC1DE7" w:rsidRPr="00105B08" w:rsidRDefault="00BC1DE7" w:rsidP="00BC1DE7">
      <w:pPr>
        <w:pStyle w:val="Napis"/>
        <w:numPr>
          <w:ilvl w:val="0"/>
          <w:numId w:val="36"/>
        </w:numPr>
        <w:spacing w:after="0" w:line="276" w:lineRule="auto"/>
        <w:rPr>
          <w:rFonts w:ascii="Arial" w:eastAsia="Times New Roman" w:hAnsi="Arial" w:cs="Arial"/>
          <w:noProof/>
          <w:color w:val="auto"/>
          <w:sz w:val="20"/>
          <w:szCs w:val="20"/>
          <w:lang w:eastAsia="ar-SA"/>
          <w14:ligatures w14:val="none"/>
        </w:rPr>
      </w:pPr>
      <w:r w:rsidRPr="00105B08">
        <w:rPr>
          <w:rFonts w:ascii="Arial" w:eastAsia="Times New Roman" w:hAnsi="Arial" w:cs="Arial"/>
          <w:noProof/>
          <w:color w:val="auto"/>
          <w:sz w:val="20"/>
          <w:szCs w:val="20"/>
          <w:lang w:eastAsia="ar-SA"/>
          <w14:ligatures w14:val="none"/>
        </w:rPr>
        <w:t>RPP se po sprejetju javno objavi v prostorskem infrormacijskem sistemu, predvidoma do 15. 3. 2027.</w:t>
      </w:r>
    </w:p>
    <w:p w14:paraId="213EEE38" w14:textId="77777777" w:rsidR="00BC1DE7" w:rsidRDefault="00BC1DE7" w:rsidP="00BB0E08">
      <w:pPr>
        <w:jc w:val="both"/>
        <w:rPr>
          <w:rFonts w:cs="Arial"/>
          <w:noProof/>
          <w:szCs w:val="20"/>
          <w:lang w:eastAsia="ar-SA"/>
        </w:rPr>
      </w:pPr>
    </w:p>
    <w:p w14:paraId="031C7A4E" w14:textId="6537FDEE" w:rsidR="008C6AF6" w:rsidRDefault="008C6AF6" w:rsidP="00105B08">
      <w:pPr>
        <w:pStyle w:val="Napis"/>
        <w:spacing w:after="0" w:line="276" w:lineRule="auto"/>
        <w:rPr>
          <w:rFonts w:ascii="Arial" w:eastAsia="Times New Roman" w:hAnsi="Arial" w:cs="Arial"/>
          <w:noProof/>
          <w:color w:val="auto"/>
          <w:sz w:val="20"/>
          <w:szCs w:val="20"/>
          <w:lang w:eastAsia="ar-SA"/>
          <w14:ligatures w14:val="none"/>
        </w:rPr>
      </w:pPr>
      <w:r w:rsidRPr="006D250D">
        <w:rPr>
          <w:rFonts w:ascii="Arial" w:eastAsia="Times New Roman" w:hAnsi="Arial" w:cs="Arial"/>
          <w:noProof/>
          <w:color w:val="auto"/>
          <w:sz w:val="20"/>
          <w:szCs w:val="20"/>
          <w:lang w:eastAsia="ar-SA"/>
          <w14:ligatures w14:val="none"/>
        </w:rPr>
        <w:t xml:space="preserve">V okviru regionalnih prostorskih planov se predvidi </w:t>
      </w:r>
      <w:r w:rsidRPr="00105B08">
        <w:rPr>
          <w:rFonts w:ascii="Arial" w:eastAsia="Times New Roman" w:hAnsi="Arial" w:cs="Arial"/>
          <w:noProof/>
          <w:color w:val="auto"/>
          <w:sz w:val="20"/>
          <w:szCs w:val="20"/>
          <w:lang w:eastAsia="ar-SA"/>
          <w14:ligatures w14:val="none"/>
        </w:rPr>
        <w:t xml:space="preserve">v vsako razvojno regijo </w:t>
      </w:r>
      <w:r w:rsidR="00CF603A" w:rsidRPr="00105B08">
        <w:rPr>
          <w:rFonts w:ascii="Arial" w:eastAsia="Times New Roman" w:hAnsi="Arial" w:cs="Arial"/>
          <w:noProof/>
          <w:color w:val="auto"/>
          <w:sz w:val="20"/>
          <w:szCs w:val="20"/>
          <w:lang w:eastAsia="ar-SA"/>
          <w14:ligatures w14:val="none"/>
        </w:rPr>
        <w:t xml:space="preserve">umestiti </w:t>
      </w:r>
      <w:r w:rsidRPr="00105B08">
        <w:rPr>
          <w:rFonts w:ascii="Arial" w:eastAsia="Times New Roman" w:hAnsi="Arial" w:cs="Arial"/>
          <w:noProof/>
          <w:color w:val="auto"/>
          <w:sz w:val="20"/>
          <w:szCs w:val="20"/>
          <w:lang w:eastAsia="ar-SA"/>
          <w14:ligatures w14:val="none"/>
        </w:rPr>
        <w:t xml:space="preserve">vsaj 1 cono </w:t>
      </w:r>
      <w:r w:rsidRPr="006D250D">
        <w:rPr>
          <w:rFonts w:ascii="Arial" w:eastAsia="Times New Roman" w:hAnsi="Arial" w:cs="Arial"/>
          <w:noProof/>
          <w:color w:val="auto"/>
          <w:sz w:val="20"/>
          <w:szCs w:val="20"/>
          <w:lang w:eastAsia="ar-SA"/>
          <w14:ligatures w14:val="none"/>
        </w:rPr>
        <w:t>regionalnega pomena.</w:t>
      </w:r>
    </w:p>
    <w:p w14:paraId="21B9AF04" w14:textId="77777777" w:rsidR="00C17022" w:rsidRDefault="00C17022" w:rsidP="00105B08">
      <w:pPr>
        <w:pStyle w:val="Napis"/>
        <w:spacing w:after="0" w:line="276" w:lineRule="auto"/>
        <w:rPr>
          <w:rFonts w:ascii="Arial" w:eastAsia="Times New Roman" w:hAnsi="Arial" w:cs="Arial"/>
          <w:noProof/>
          <w:color w:val="auto"/>
          <w:sz w:val="20"/>
          <w:szCs w:val="20"/>
          <w:lang w:eastAsia="ar-SA"/>
          <w14:ligatures w14:val="none"/>
        </w:rPr>
      </w:pPr>
    </w:p>
    <w:p w14:paraId="33D37778" w14:textId="3558C513" w:rsidR="00C17022" w:rsidRPr="00B35CD2" w:rsidRDefault="00C17022" w:rsidP="00C17022">
      <w:pPr>
        <w:pStyle w:val="Napis"/>
        <w:spacing w:after="0" w:line="276" w:lineRule="auto"/>
        <w:rPr>
          <w:rFonts w:ascii="Arial" w:eastAsia="Times New Roman" w:hAnsi="Arial" w:cs="Arial"/>
          <w:noProof/>
          <w:color w:val="auto"/>
          <w:sz w:val="20"/>
          <w:szCs w:val="20"/>
          <w:lang w:eastAsia="ar-SA"/>
          <w14:ligatures w14:val="none"/>
        </w:rPr>
      </w:pPr>
      <w:r>
        <w:rPr>
          <w:rFonts w:ascii="Arial" w:eastAsia="Times New Roman" w:hAnsi="Arial" w:cs="Arial"/>
          <w:noProof/>
          <w:color w:val="auto"/>
          <w:sz w:val="20"/>
          <w:szCs w:val="20"/>
          <w:lang w:eastAsia="ar-SA"/>
          <w14:ligatures w14:val="none"/>
        </w:rPr>
        <w:t>Vzporedno s pripravo RPP bo potekala tudi priprava Regionalnih celostnih prometnih strategij, v katerih se predvidi ukrepe za prometno dostopnost lokacij in razvoj prometnega sistema, ki bo podpiral gospodar</w:t>
      </w:r>
      <w:r w:rsidR="0095751C">
        <w:rPr>
          <w:rFonts w:ascii="Arial" w:eastAsia="Times New Roman" w:hAnsi="Arial" w:cs="Arial"/>
          <w:noProof/>
          <w:color w:val="auto"/>
          <w:sz w:val="20"/>
          <w:szCs w:val="20"/>
          <w:lang w:eastAsia="ar-SA"/>
          <w14:ligatures w14:val="none"/>
        </w:rPr>
        <w:t>s</w:t>
      </w:r>
      <w:r>
        <w:rPr>
          <w:rFonts w:ascii="Arial" w:eastAsia="Times New Roman" w:hAnsi="Arial" w:cs="Arial"/>
          <w:noProof/>
          <w:color w:val="auto"/>
          <w:sz w:val="20"/>
          <w:szCs w:val="20"/>
          <w:lang w:eastAsia="ar-SA"/>
          <w14:ligatures w14:val="none"/>
        </w:rPr>
        <w:t>ki razvoj v regijah</w:t>
      </w:r>
      <w:r w:rsidR="0095751C">
        <w:rPr>
          <w:rFonts w:ascii="Arial" w:eastAsia="Times New Roman" w:hAnsi="Arial" w:cs="Arial"/>
          <w:noProof/>
          <w:color w:val="auto"/>
          <w:sz w:val="20"/>
          <w:szCs w:val="20"/>
          <w:lang w:eastAsia="ar-SA"/>
          <w14:ligatures w14:val="none"/>
        </w:rPr>
        <w:t xml:space="preserve"> ter </w:t>
      </w:r>
      <w:r w:rsidR="0095751C" w:rsidRPr="00B35CD2">
        <w:rPr>
          <w:rFonts w:ascii="Arial" w:eastAsia="Times New Roman" w:hAnsi="Arial" w:cs="Arial"/>
          <w:noProof/>
          <w:color w:val="auto"/>
          <w:sz w:val="20"/>
          <w:szCs w:val="20"/>
          <w:lang w:eastAsia="ar-SA"/>
          <w14:ligatures w14:val="none"/>
        </w:rPr>
        <w:t>cilje in ukrepe predvidene v Posodobljenem celovitem nacionalnem in podnebnem načrtu (NEPN).</w:t>
      </w:r>
    </w:p>
    <w:p w14:paraId="090EABC6" w14:textId="77777777" w:rsidR="00C17022" w:rsidRPr="006D250D" w:rsidRDefault="00C17022" w:rsidP="00105B08">
      <w:pPr>
        <w:pStyle w:val="Napis"/>
        <w:spacing w:after="0" w:line="276" w:lineRule="auto"/>
        <w:rPr>
          <w:rFonts w:cs="Arial"/>
          <w:noProof/>
          <w:szCs w:val="20"/>
          <w:lang w:eastAsia="ar-SA"/>
        </w:rPr>
      </w:pPr>
    </w:p>
    <w:p w14:paraId="3C21E6D0" w14:textId="77777777" w:rsidR="00BB0E08" w:rsidRDefault="00BB0E08" w:rsidP="00BB0E08">
      <w:pPr>
        <w:jc w:val="both"/>
        <w:rPr>
          <w:rFonts w:cs="Arial"/>
          <w:noProof/>
          <w:szCs w:val="20"/>
          <w:lang w:eastAsia="ar-SA"/>
        </w:rPr>
      </w:pPr>
    </w:p>
    <w:p w14:paraId="7BA08B28" w14:textId="77777777" w:rsidR="00BB0E08" w:rsidRPr="00FE3F47" w:rsidRDefault="00BB0E08" w:rsidP="00105B08">
      <w:pPr>
        <w:pStyle w:val="Odstavekseznama"/>
        <w:numPr>
          <w:ilvl w:val="0"/>
          <w:numId w:val="39"/>
        </w:numPr>
        <w:jc w:val="both"/>
        <w:rPr>
          <w:rFonts w:ascii="Arial" w:eastAsia="Times New Roman" w:hAnsi="Arial" w:cs="Arial"/>
          <w:b/>
          <w:bCs/>
          <w:noProof/>
          <w:sz w:val="20"/>
          <w:szCs w:val="20"/>
          <w:lang w:val="sl-SI" w:eastAsia="ar-SA"/>
        </w:rPr>
      </w:pPr>
      <w:r w:rsidRPr="003C31C3">
        <w:rPr>
          <w:rFonts w:ascii="Arial" w:eastAsia="Times New Roman" w:hAnsi="Arial" w:cs="Arial"/>
          <w:b/>
          <w:bCs/>
          <w:noProof/>
          <w:sz w:val="20"/>
          <w:szCs w:val="20"/>
          <w:lang w:val="sl-SI" w:eastAsia="ar-SA"/>
        </w:rPr>
        <w:t xml:space="preserve">KRATKO-, SREDNJE- IN DOLGOROČNI CILJI </w:t>
      </w:r>
    </w:p>
    <w:p w14:paraId="2733731D" w14:textId="7CC14989" w:rsidR="00C17022" w:rsidRDefault="00BB0E08" w:rsidP="00BB0E08">
      <w:pPr>
        <w:spacing w:after="160" w:line="256" w:lineRule="auto"/>
        <w:jc w:val="both"/>
        <w:rPr>
          <w:rFonts w:cs="Arial"/>
          <w:noProof/>
          <w:szCs w:val="20"/>
          <w:lang w:eastAsia="ar-SA"/>
        </w:rPr>
      </w:pPr>
      <w:r w:rsidRPr="00786FBC">
        <w:rPr>
          <w:rFonts w:cs="Arial"/>
          <w:noProof/>
          <w:szCs w:val="20"/>
          <w:lang w:eastAsia="ar-SA"/>
        </w:rPr>
        <w:t xml:space="preserve">Namen tega </w:t>
      </w:r>
      <w:bookmarkStart w:id="0" w:name="_Hlk178856059"/>
      <w:r w:rsidRPr="00786FBC">
        <w:rPr>
          <w:rFonts w:cs="Arial"/>
          <w:noProof/>
          <w:szCs w:val="20"/>
          <w:lang w:eastAsia="ar-SA"/>
        </w:rPr>
        <w:t>medresor</w:t>
      </w:r>
      <w:r>
        <w:rPr>
          <w:rFonts w:cs="Arial"/>
          <w:noProof/>
          <w:szCs w:val="20"/>
          <w:lang w:eastAsia="ar-SA"/>
        </w:rPr>
        <w:t>skega</w:t>
      </w:r>
      <w:r w:rsidRPr="00786FBC">
        <w:rPr>
          <w:rFonts w:cs="Arial"/>
          <w:noProof/>
          <w:szCs w:val="20"/>
          <w:lang w:eastAsia="ar-SA"/>
        </w:rPr>
        <w:t xml:space="preserve"> projekta Vlade RS </w:t>
      </w:r>
      <w:bookmarkEnd w:id="0"/>
      <w:r w:rsidRPr="00786FBC">
        <w:rPr>
          <w:rFonts w:cs="Arial"/>
          <w:noProof/>
          <w:szCs w:val="20"/>
          <w:lang w:eastAsia="ar-SA"/>
        </w:rPr>
        <w:t xml:space="preserve">predstavlja torej udejanjanje politike policentričnega razvoja in skladnejšega regionalnega razvoja na podlagi trdnega temelja evropske kohezijske politike. </w:t>
      </w:r>
      <w:r w:rsidR="00C17022">
        <w:rPr>
          <w:rFonts w:cs="Arial"/>
          <w:noProof/>
          <w:szCs w:val="20"/>
          <w:lang w:eastAsia="ar-SA"/>
        </w:rPr>
        <w:lastRenderedPageBreak/>
        <w:t>Cilj projekta je tudi zagotoviti, da so lokacije poslovnih con nacionalnega in regionalnega pomena optimalno dostopne in povezane v prometna omrežja</w:t>
      </w:r>
    </w:p>
    <w:p w14:paraId="59077650" w14:textId="4C7217D7" w:rsidR="00BB0E08" w:rsidRDefault="00BB0E08" w:rsidP="00BB0E08">
      <w:pPr>
        <w:spacing w:after="160" w:line="256" w:lineRule="auto"/>
        <w:jc w:val="both"/>
        <w:rPr>
          <w:rFonts w:cs="Arial"/>
          <w:noProof/>
          <w:szCs w:val="20"/>
          <w:lang w:eastAsia="ar-SA"/>
        </w:rPr>
      </w:pPr>
      <w:r w:rsidRPr="00786FBC">
        <w:rPr>
          <w:rFonts w:cs="Arial"/>
          <w:noProof/>
          <w:szCs w:val="20"/>
          <w:lang w:eastAsia="ar-SA"/>
        </w:rPr>
        <w:t xml:space="preserve">Poudarjamo, da se s projektom ne zmanjšujeta vloga in pomen glavnega mesta na eni strani in tudi </w:t>
      </w:r>
      <w:r w:rsidR="00680162">
        <w:rPr>
          <w:rFonts w:cs="Arial"/>
          <w:noProof/>
          <w:szCs w:val="20"/>
          <w:lang w:eastAsia="ar-SA"/>
        </w:rPr>
        <w:t xml:space="preserve">ne vseh ostalih </w:t>
      </w:r>
      <w:r w:rsidRPr="00786FBC">
        <w:rPr>
          <w:rFonts w:cs="Arial"/>
          <w:noProof/>
          <w:szCs w:val="20"/>
          <w:lang w:eastAsia="ar-SA"/>
        </w:rPr>
        <w:t xml:space="preserve">občin na drugi strani; ravno obratno, s projektom </w:t>
      </w:r>
      <w:r w:rsidR="004B1D1C">
        <w:rPr>
          <w:rFonts w:cs="Arial"/>
          <w:noProof/>
          <w:szCs w:val="20"/>
          <w:lang w:eastAsia="ar-SA"/>
        </w:rPr>
        <w:t xml:space="preserve">se </w:t>
      </w:r>
      <w:r w:rsidRPr="00786FBC">
        <w:rPr>
          <w:rFonts w:cs="Arial"/>
          <w:noProof/>
          <w:szCs w:val="20"/>
          <w:lang w:eastAsia="ar-SA"/>
        </w:rPr>
        <w:t>zmanjšuj</w:t>
      </w:r>
      <w:r w:rsidR="004B1D1C">
        <w:rPr>
          <w:rFonts w:cs="Arial"/>
          <w:noProof/>
          <w:szCs w:val="20"/>
          <w:lang w:eastAsia="ar-SA"/>
        </w:rPr>
        <w:t>e</w:t>
      </w:r>
      <w:r w:rsidRPr="00786FBC">
        <w:rPr>
          <w:rFonts w:cs="Arial"/>
          <w:noProof/>
          <w:szCs w:val="20"/>
          <w:lang w:eastAsia="ar-SA"/>
        </w:rPr>
        <w:t xml:space="preserve"> tako preveliko centralizacijo v Ljubljani kot tudi preveliko atomizacijo v </w:t>
      </w:r>
      <w:r w:rsidR="00680162">
        <w:rPr>
          <w:rFonts w:cs="Arial"/>
          <w:noProof/>
          <w:szCs w:val="20"/>
          <w:lang w:eastAsia="ar-SA"/>
        </w:rPr>
        <w:t>preostalih</w:t>
      </w:r>
      <w:r w:rsidRPr="00786FBC">
        <w:rPr>
          <w:rFonts w:cs="Arial"/>
          <w:noProof/>
          <w:szCs w:val="20"/>
          <w:lang w:eastAsia="ar-SA"/>
        </w:rPr>
        <w:t xml:space="preserve"> občinah.  </w:t>
      </w:r>
    </w:p>
    <w:p w14:paraId="64A3016C" w14:textId="34D4F8B6" w:rsidR="00C17022" w:rsidRPr="00786FBC" w:rsidRDefault="00C17022" w:rsidP="00BB0E08">
      <w:pPr>
        <w:spacing w:after="160" w:line="256" w:lineRule="auto"/>
        <w:jc w:val="both"/>
        <w:rPr>
          <w:rFonts w:cs="Arial"/>
          <w:noProof/>
          <w:szCs w:val="20"/>
          <w:lang w:eastAsia="ar-SA"/>
        </w:rPr>
      </w:pPr>
      <w:r>
        <w:rPr>
          <w:rFonts w:cs="Arial"/>
          <w:noProof/>
          <w:szCs w:val="20"/>
          <w:lang w:eastAsia="ar-SA"/>
        </w:rPr>
        <w:t>S projektom se vpliva tudi na negativne trende prometnih tokov v državi, predvsem se zmanjša pritisk na osrednje prometno vozlišče v Ljubljani.</w:t>
      </w:r>
    </w:p>
    <w:p w14:paraId="75F23A1B" w14:textId="26C14DA0" w:rsidR="004B4538" w:rsidRDefault="00BB0E08" w:rsidP="00BB0E08">
      <w:pPr>
        <w:spacing w:after="160" w:line="256" w:lineRule="auto"/>
        <w:jc w:val="both"/>
        <w:rPr>
          <w:rFonts w:cs="Arial"/>
          <w:noProof/>
          <w:szCs w:val="20"/>
          <w:lang w:eastAsia="ar-SA"/>
        </w:rPr>
      </w:pPr>
      <w:r w:rsidRPr="00786FBC">
        <w:rPr>
          <w:rFonts w:cs="Arial"/>
          <w:noProof/>
          <w:szCs w:val="20"/>
          <w:lang w:eastAsia="ar-SA"/>
        </w:rPr>
        <w:t xml:space="preserve">Medresorski projekt Vlade RS ima kratkoročne, srednjeročne in dolgoročne cilje. Kratkoročni cilj je, da je v </w:t>
      </w:r>
      <w:r w:rsidR="005B20D8">
        <w:rPr>
          <w:rFonts w:cs="Arial"/>
          <w:noProof/>
          <w:szCs w:val="20"/>
          <w:lang w:eastAsia="ar-SA"/>
        </w:rPr>
        <w:t xml:space="preserve">začetku </w:t>
      </w:r>
      <w:r w:rsidRPr="00786FBC">
        <w:rPr>
          <w:rFonts w:cs="Arial"/>
          <w:noProof/>
          <w:szCs w:val="20"/>
          <w:lang w:eastAsia="ar-SA"/>
        </w:rPr>
        <w:t>202</w:t>
      </w:r>
      <w:r w:rsidR="005B20D8">
        <w:rPr>
          <w:rFonts w:cs="Arial"/>
          <w:noProof/>
          <w:szCs w:val="20"/>
          <w:lang w:eastAsia="ar-SA"/>
        </w:rPr>
        <w:t>5</w:t>
      </w:r>
      <w:r w:rsidRPr="00786FBC">
        <w:rPr>
          <w:rFonts w:cs="Arial"/>
          <w:noProof/>
          <w:szCs w:val="20"/>
          <w:lang w:eastAsia="ar-SA"/>
        </w:rPr>
        <w:t xml:space="preserve"> sprejet in potrjen na Vladi RS. Srednjeročni cilj je, da je prva faza projekta implementirana do drugega kvartala 2026; na en način predstavlja druga faza tudi dokončanje EU perspektive 2021 – 2027</w:t>
      </w:r>
      <w:r>
        <w:rPr>
          <w:rFonts w:cs="Arial"/>
          <w:noProof/>
          <w:szCs w:val="20"/>
          <w:lang w:eastAsia="ar-SA"/>
        </w:rPr>
        <w:t xml:space="preserve"> in je obenem uvod dolgoročni cilj in v </w:t>
      </w:r>
      <w:r w:rsidRPr="00786FBC">
        <w:rPr>
          <w:rFonts w:cs="Arial"/>
          <w:noProof/>
          <w:szCs w:val="20"/>
          <w:lang w:eastAsia="ar-SA"/>
        </w:rPr>
        <w:t>pripravo in izvedbo EU perspektive 2028 – 2035.</w:t>
      </w:r>
      <w:r w:rsidR="004B4538">
        <w:rPr>
          <w:rFonts w:cs="Arial"/>
          <w:noProof/>
          <w:szCs w:val="20"/>
          <w:lang w:eastAsia="ar-SA"/>
        </w:rPr>
        <w:t>. Vsebinske usmeritve delovanja Evropske komisije se kažejo v smeri krepitve konkurenčnosti držav EU, posledično pa tudi regij znotraj posameznih držav, saj EU vse bolj gospodarsko zaostaja za ZDA in Kitajsko.  Zaradi navedenega je nujno potrebno gospodarsko</w:t>
      </w:r>
    </w:p>
    <w:p w14:paraId="77A3F736" w14:textId="77777777" w:rsidR="004B4538" w:rsidRDefault="004B4538" w:rsidP="00BB0E08">
      <w:pPr>
        <w:spacing w:after="160" w:line="256" w:lineRule="auto"/>
        <w:jc w:val="both"/>
        <w:rPr>
          <w:rFonts w:cs="Arial"/>
          <w:noProof/>
          <w:szCs w:val="20"/>
          <w:lang w:eastAsia="ar-SA"/>
        </w:rPr>
      </w:pPr>
    </w:p>
    <w:p w14:paraId="0E52D3C6" w14:textId="1B40B6FB" w:rsidR="00BB0E08" w:rsidRDefault="00BB0E08" w:rsidP="00BB0E08">
      <w:pPr>
        <w:spacing w:after="160" w:line="256" w:lineRule="auto"/>
        <w:jc w:val="both"/>
        <w:rPr>
          <w:rFonts w:cs="Arial"/>
          <w:noProof/>
          <w:szCs w:val="20"/>
          <w:lang w:eastAsia="ar-SA"/>
        </w:rPr>
      </w:pPr>
      <w:r w:rsidRPr="00786FBC">
        <w:rPr>
          <w:rFonts w:cs="Arial"/>
          <w:noProof/>
          <w:szCs w:val="20"/>
          <w:lang w:eastAsia="ar-SA"/>
        </w:rPr>
        <w:t>o</w:t>
      </w:r>
      <w:r>
        <w:rPr>
          <w:rFonts w:cs="Arial"/>
          <w:noProof/>
          <w:szCs w:val="20"/>
          <w:lang w:eastAsia="ar-SA"/>
        </w:rPr>
        <w:t>krepiti</w:t>
      </w:r>
      <w:r w:rsidRPr="00786FBC">
        <w:rPr>
          <w:rFonts w:cs="Arial"/>
          <w:noProof/>
          <w:szCs w:val="20"/>
          <w:lang w:eastAsia="ar-SA"/>
        </w:rPr>
        <w:t xml:space="preserve"> 12 razvojnih regij; naše stališče je, da zmoremo o</w:t>
      </w:r>
      <w:r>
        <w:rPr>
          <w:rFonts w:cs="Arial"/>
          <w:noProof/>
          <w:szCs w:val="20"/>
          <w:lang w:eastAsia="ar-SA"/>
        </w:rPr>
        <w:t>krepiti</w:t>
      </w:r>
      <w:r w:rsidRPr="00786FBC">
        <w:rPr>
          <w:rFonts w:cs="Arial"/>
          <w:noProof/>
          <w:szCs w:val="20"/>
          <w:lang w:eastAsia="ar-SA"/>
        </w:rPr>
        <w:t xml:space="preserve"> razvojne regije na način socialnega, gospodarskega in teritorialnega </w:t>
      </w:r>
      <w:r>
        <w:rPr>
          <w:rFonts w:cs="Arial"/>
          <w:noProof/>
          <w:szCs w:val="20"/>
          <w:lang w:eastAsia="ar-SA"/>
        </w:rPr>
        <w:t xml:space="preserve">dialoga ter zasledovati </w:t>
      </w:r>
      <w:r w:rsidRPr="00786FBC">
        <w:rPr>
          <w:rFonts w:cs="Arial"/>
          <w:noProof/>
          <w:szCs w:val="20"/>
          <w:lang w:eastAsia="ar-SA"/>
        </w:rPr>
        <w:t xml:space="preserve">politike skladnejšega regionalnega razvoja in hkratne </w:t>
      </w:r>
      <w:r>
        <w:rPr>
          <w:rFonts w:cs="Arial"/>
          <w:noProof/>
          <w:szCs w:val="20"/>
          <w:lang w:eastAsia="ar-SA"/>
        </w:rPr>
        <w:t>krepitve</w:t>
      </w:r>
      <w:r w:rsidRPr="00786FBC">
        <w:rPr>
          <w:rFonts w:cs="Arial"/>
          <w:noProof/>
          <w:szCs w:val="20"/>
          <w:lang w:eastAsia="ar-SA"/>
        </w:rPr>
        <w:t xml:space="preserve"> urbanih centrov v regijah. </w:t>
      </w:r>
    </w:p>
    <w:p w14:paraId="4EC6581B" w14:textId="42BEA59C" w:rsidR="002401A8" w:rsidRPr="007056B1" w:rsidRDefault="002401A8" w:rsidP="002401A8">
      <w:pPr>
        <w:spacing w:after="160" w:line="256" w:lineRule="auto"/>
        <w:jc w:val="both"/>
        <w:rPr>
          <w:rFonts w:cs="Arial"/>
          <w:noProof/>
          <w:szCs w:val="20"/>
          <w:lang w:eastAsia="ar-SA"/>
        </w:rPr>
      </w:pPr>
      <w:r w:rsidRPr="007056B1">
        <w:rPr>
          <w:rFonts w:cs="Arial"/>
          <w:noProof/>
          <w:szCs w:val="20"/>
          <w:lang w:eastAsia="ar-SA"/>
        </w:rPr>
        <w:t>Pomembne so tudi okoljevarstve</w:t>
      </w:r>
      <w:r>
        <w:rPr>
          <w:rFonts w:cs="Arial"/>
          <w:noProof/>
          <w:szCs w:val="20"/>
          <w:lang w:eastAsia="ar-SA"/>
        </w:rPr>
        <w:t>ne</w:t>
      </w:r>
      <w:r w:rsidRPr="007056B1">
        <w:rPr>
          <w:rFonts w:cs="Arial"/>
          <w:noProof/>
          <w:szCs w:val="20"/>
          <w:lang w:eastAsia="ar-SA"/>
        </w:rPr>
        <w:t xml:space="preserve"> posledice, ker bomo z razvojem regionalnih urbanih centrov, ki naj nadomestijo občinske, zmanjševali pritiske na okolje in ohranjeno naravo, ki jih povzročajo pobude o umestitvi preko sto občinskih industrijskih con. Tako bo tudi lažje in bolje varovati značilna krajinska območja in območja varovanja narave.</w:t>
      </w:r>
    </w:p>
    <w:p w14:paraId="3DBA6927" w14:textId="7C05C908" w:rsidR="00341EBA" w:rsidRPr="00102439" w:rsidRDefault="00BB0E08" w:rsidP="00105B08">
      <w:pPr>
        <w:spacing w:after="160" w:line="256" w:lineRule="auto"/>
        <w:rPr>
          <w:szCs w:val="20"/>
        </w:rPr>
      </w:pPr>
      <w:r w:rsidRPr="00786FBC">
        <w:rPr>
          <w:rFonts w:cs="Arial"/>
          <w:noProof/>
          <w:szCs w:val="20"/>
          <w:lang w:eastAsia="ar-SA"/>
        </w:rPr>
        <w:t xml:space="preserve">. </w:t>
      </w:r>
    </w:p>
    <w:sectPr w:rsidR="00341EBA" w:rsidRPr="00102439" w:rsidSect="00264A13">
      <w:headerReference w:type="first" r:id="rId20"/>
      <w:pgSz w:w="11906" w:h="16838"/>
      <w:pgMar w:top="15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9B7E" w14:textId="77777777" w:rsidR="000170FF" w:rsidRDefault="000170FF">
      <w:r>
        <w:separator/>
      </w:r>
    </w:p>
  </w:endnote>
  <w:endnote w:type="continuationSeparator" w:id="0">
    <w:p w14:paraId="7B23D558" w14:textId="77777777" w:rsidR="000170FF" w:rsidRDefault="0001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39"/>
      <w:gridCol w:w="2848"/>
      <w:gridCol w:w="2927"/>
    </w:tblGrid>
    <w:tr w:rsidR="009F1587" w:rsidRPr="00DE2523" w14:paraId="5FCEAEB3" w14:textId="77777777" w:rsidTr="003E70A1">
      <w:tc>
        <w:tcPr>
          <w:tcW w:w="2939" w:type="dxa"/>
        </w:tcPr>
        <w:p w14:paraId="2D70B060" w14:textId="18855410" w:rsidR="009F1587" w:rsidRPr="00DE2523" w:rsidRDefault="009F1587" w:rsidP="003E70A1">
          <w:pPr>
            <w:pStyle w:val="Noga"/>
            <w:rPr>
              <w:sz w:val="16"/>
              <w:szCs w:val="16"/>
            </w:rPr>
          </w:pPr>
        </w:p>
      </w:tc>
      <w:tc>
        <w:tcPr>
          <w:tcW w:w="2848" w:type="dxa"/>
        </w:tcPr>
        <w:p w14:paraId="572B11E3" w14:textId="77777777" w:rsidR="009F1587" w:rsidRPr="00DE2523" w:rsidRDefault="009F1587" w:rsidP="003E70A1">
          <w:pPr>
            <w:pStyle w:val="Noga"/>
            <w:jc w:val="center"/>
            <w:rPr>
              <w:rFonts w:ascii="Arial Black" w:hAnsi="Arial Black"/>
              <w:b/>
              <w:color w:val="F0200A"/>
              <w:sz w:val="28"/>
              <w:szCs w:val="28"/>
            </w:rPr>
          </w:pPr>
        </w:p>
      </w:tc>
      <w:tc>
        <w:tcPr>
          <w:tcW w:w="2927" w:type="dxa"/>
        </w:tcPr>
        <w:p w14:paraId="2A5A2874" w14:textId="77777777" w:rsidR="009F1587" w:rsidRPr="00B444CC" w:rsidRDefault="00103DB8" w:rsidP="003E70A1">
          <w:pPr>
            <w:pStyle w:val="Noga"/>
            <w:jc w:val="right"/>
            <w:rPr>
              <w:sz w:val="16"/>
              <w:szCs w:val="16"/>
            </w:rPr>
          </w:pPr>
          <w:r w:rsidRPr="00B444CC">
            <w:rPr>
              <w:rStyle w:val="tevilkastrani"/>
              <w:sz w:val="16"/>
              <w:szCs w:val="16"/>
            </w:rPr>
            <w:fldChar w:fldCharType="begin"/>
          </w:r>
          <w:r w:rsidR="009F1587" w:rsidRPr="00B444CC">
            <w:rPr>
              <w:rStyle w:val="tevilkastrani"/>
              <w:sz w:val="16"/>
              <w:szCs w:val="16"/>
            </w:rPr>
            <w:instrText xml:space="preserve"> PAGE </w:instrText>
          </w:r>
          <w:r w:rsidRPr="00B444CC">
            <w:rPr>
              <w:rStyle w:val="tevilkastrani"/>
              <w:sz w:val="16"/>
              <w:szCs w:val="16"/>
            </w:rPr>
            <w:fldChar w:fldCharType="separate"/>
          </w:r>
          <w:r w:rsidR="005760E9">
            <w:rPr>
              <w:rStyle w:val="tevilkastrani"/>
              <w:noProof/>
              <w:sz w:val="16"/>
              <w:szCs w:val="16"/>
            </w:rPr>
            <w:t>6</w:t>
          </w:r>
          <w:r w:rsidRPr="00B444CC">
            <w:rPr>
              <w:rStyle w:val="tevilkastrani"/>
              <w:sz w:val="16"/>
              <w:szCs w:val="16"/>
            </w:rPr>
            <w:fldChar w:fldCharType="end"/>
          </w:r>
          <w:r w:rsidR="009F1587" w:rsidRPr="00B444CC">
            <w:rPr>
              <w:sz w:val="16"/>
              <w:szCs w:val="16"/>
            </w:rPr>
            <w:t>/</w:t>
          </w:r>
          <w:r w:rsidRPr="00B444CC">
            <w:rPr>
              <w:rStyle w:val="tevilkastrani"/>
              <w:sz w:val="16"/>
              <w:szCs w:val="16"/>
            </w:rPr>
            <w:fldChar w:fldCharType="begin"/>
          </w:r>
          <w:r w:rsidR="009F1587" w:rsidRPr="00B444CC">
            <w:rPr>
              <w:rStyle w:val="tevilkastrani"/>
              <w:sz w:val="16"/>
              <w:szCs w:val="16"/>
            </w:rPr>
            <w:instrText xml:space="preserve"> NUMPAGES </w:instrText>
          </w:r>
          <w:r w:rsidRPr="00B444CC">
            <w:rPr>
              <w:rStyle w:val="tevilkastrani"/>
              <w:sz w:val="16"/>
              <w:szCs w:val="16"/>
            </w:rPr>
            <w:fldChar w:fldCharType="separate"/>
          </w:r>
          <w:r w:rsidR="005760E9">
            <w:rPr>
              <w:rStyle w:val="tevilkastrani"/>
              <w:noProof/>
              <w:sz w:val="16"/>
              <w:szCs w:val="16"/>
            </w:rPr>
            <w:t>6</w:t>
          </w:r>
          <w:r w:rsidRPr="00B444CC">
            <w:rPr>
              <w:rStyle w:val="tevilkastrani"/>
              <w:sz w:val="16"/>
              <w:szCs w:val="16"/>
            </w:rPr>
            <w:fldChar w:fldCharType="end"/>
          </w:r>
        </w:p>
      </w:tc>
    </w:tr>
  </w:tbl>
  <w:p w14:paraId="1710EA96" w14:textId="0B3883F9" w:rsidR="009F1587" w:rsidRPr="00341C27" w:rsidRDefault="009F1587" w:rsidP="009D5B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39"/>
      <w:gridCol w:w="2848"/>
      <w:gridCol w:w="2927"/>
    </w:tblGrid>
    <w:tr w:rsidR="009F1587" w:rsidRPr="00DE2523" w14:paraId="24A3DEB3" w14:textId="77777777" w:rsidTr="003E70A1">
      <w:tc>
        <w:tcPr>
          <w:tcW w:w="2939" w:type="dxa"/>
        </w:tcPr>
        <w:p w14:paraId="05DB7EF3" w14:textId="14F29411" w:rsidR="009F1587" w:rsidRPr="00DE2523" w:rsidRDefault="009F1587" w:rsidP="003E70A1">
          <w:pPr>
            <w:pStyle w:val="Noga"/>
            <w:rPr>
              <w:sz w:val="16"/>
              <w:szCs w:val="16"/>
            </w:rPr>
          </w:pPr>
        </w:p>
      </w:tc>
      <w:tc>
        <w:tcPr>
          <w:tcW w:w="2848" w:type="dxa"/>
        </w:tcPr>
        <w:p w14:paraId="50A1EFE4" w14:textId="77777777" w:rsidR="009F1587" w:rsidRPr="00DE2523" w:rsidRDefault="009F1587" w:rsidP="003E70A1">
          <w:pPr>
            <w:pStyle w:val="Noga"/>
            <w:jc w:val="center"/>
            <w:rPr>
              <w:rFonts w:ascii="Arial Black" w:hAnsi="Arial Black"/>
              <w:b/>
              <w:color w:val="F0200A"/>
              <w:sz w:val="28"/>
              <w:szCs w:val="28"/>
            </w:rPr>
          </w:pPr>
        </w:p>
      </w:tc>
      <w:tc>
        <w:tcPr>
          <w:tcW w:w="2927" w:type="dxa"/>
        </w:tcPr>
        <w:p w14:paraId="6F7CDFD5" w14:textId="77777777" w:rsidR="009F1587" w:rsidRPr="006400FF" w:rsidRDefault="00103DB8" w:rsidP="003E70A1">
          <w:pPr>
            <w:pStyle w:val="Noga"/>
            <w:jc w:val="right"/>
            <w:rPr>
              <w:sz w:val="16"/>
              <w:szCs w:val="16"/>
            </w:rPr>
          </w:pPr>
          <w:r w:rsidRPr="006400FF">
            <w:rPr>
              <w:rStyle w:val="tevilkastrani"/>
              <w:sz w:val="16"/>
              <w:szCs w:val="16"/>
            </w:rPr>
            <w:fldChar w:fldCharType="begin"/>
          </w:r>
          <w:r w:rsidR="009F1587" w:rsidRPr="006400FF">
            <w:rPr>
              <w:rStyle w:val="tevilkastrani"/>
              <w:sz w:val="16"/>
              <w:szCs w:val="16"/>
            </w:rPr>
            <w:instrText xml:space="preserve"> PAGE </w:instrText>
          </w:r>
          <w:r w:rsidRPr="006400FF">
            <w:rPr>
              <w:rStyle w:val="tevilkastrani"/>
              <w:sz w:val="16"/>
              <w:szCs w:val="16"/>
            </w:rPr>
            <w:fldChar w:fldCharType="separate"/>
          </w:r>
          <w:r w:rsidR="005760E9">
            <w:rPr>
              <w:rStyle w:val="tevilkastrani"/>
              <w:noProof/>
              <w:sz w:val="16"/>
              <w:szCs w:val="16"/>
            </w:rPr>
            <w:t>1</w:t>
          </w:r>
          <w:r w:rsidRPr="006400FF">
            <w:rPr>
              <w:rStyle w:val="tevilkastrani"/>
              <w:sz w:val="16"/>
              <w:szCs w:val="16"/>
            </w:rPr>
            <w:fldChar w:fldCharType="end"/>
          </w:r>
          <w:r w:rsidR="009F1587" w:rsidRPr="006400FF">
            <w:rPr>
              <w:sz w:val="16"/>
              <w:szCs w:val="16"/>
            </w:rPr>
            <w:t>/</w:t>
          </w:r>
          <w:r w:rsidRPr="006400FF">
            <w:rPr>
              <w:rStyle w:val="tevilkastrani"/>
              <w:sz w:val="16"/>
              <w:szCs w:val="16"/>
            </w:rPr>
            <w:fldChar w:fldCharType="begin"/>
          </w:r>
          <w:r w:rsidR="009F1587" w:rsidRPr="006400FF">
            <w:rPr>
              <w:rStyle w:val="tevilkastrani"/>
              <w:sz w:val="16"/>
              <w:szCs w:val="16"/>
            </w:rPr>
            <w:instrText xml:space="preserve"> NUMPAGES </w:instrText>
          </w:r>
          <w:r w:rsidRPr="006400FF">
            <w:rPr>
              <w:rStyle w:val="tevilkastrani"/>
              <w:sz w:val="16"/>
              <w:szCs w:val="16"/>
            </w:rPr>
            <w:fldChar w:fldCharType="separate"/>
          </w:r>
          <w:r w:rsidR="005760E9">
            <w:rPr>
              <w:rStyle w:val="tevilkastrani"/>
              <w:noProof/>
              <w:sz w:val="16"/>
              <w:szCs w:val="16"/>
            </w:rPr>
            <w:t>6</w:t>
          </w:r>
          <w:r w:rsidRPr="006400FF">
            <w:rPr>
              <w:rStyle w:val="tevilkastrani"/>
              <w:sz w:val="16"/>
              <w:szCs w:val="16"/>
            </w:rPr>
            <w:fldChar w:fldCharType="end"/>
          </w:r>
        </w:p>
      </w:tc>
    </w:tr>
  </w:tbl>
  <w:p w14:paraId="3DA3374B" w14:textId="6D099CA3" w:rsidR="009F1587" w:rsidRDefault="009F1587" w:rsidP="006213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301A" w14:textId="77777777" w:rsidR="000170FF" w:rsidRDefault="000170FF">
      <w:r>
        <w:separator/>
      </w:r>
    </w:p>
  </w:footnote>
  <w:footnote w:type="continuationSeparator" w:id="0">
    <w:p w14:paraId="1C416220" w14:textId="77777777" w:rsidR="000170FF" w:rsidRDefault="0001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2DEA" w14:textId="04D9D326" w:rsidR="009F1587" w:rsidRPr="00D84B7A" w:rsidRDefault="006D2CFB" w:rsidP="00015D64">
    <w:pPr>
      <w:pStyle w:val="Glava"/>
      <w:tabs>
        <w:tab w:val="clear" w:pos="4320"/>
        <w:tab w:val="clear" w:pos="8640"/>
        <w:tab w:val="left" w:pos="5112"/>
      </w:tabs>
      <w:ind w:firstLine="3600"/>
      <w:rPr>
        <w:b/>
        <w:color w:val="FF0000"/>
      </w:rPr>
    </w:pPr>
    <w:r>
      <w:rPr>
        <w:b/>
        <w:noProof/>
        <w:color w:val="FF0000"/>
        <w:lang w:eastAsia="sl-SI"/>
      </w:rPr>
      <mc:AlternateContent>
        <mc:Choice Requires="wps">
          <w:drawing>
            <wp:anchor distT="360045" distB="360045" distL="0" distR="0" simplePos="0" relativeHeight="251655680" behindDoc="0" locked="0" layoutInCell="1" allowOverlap="0" wp14:anchorId="194E569C" wp14:editId="3386162C">
              <wp:simplePos x="0" y="0"/>
              <wp:positionH relativeFrom="page">
                <wp:posOffset>889000</wp:posOffset>
              </wp:positionH>
              <wp:positionV relativeFrom="page">
                <wp:posOffset>629920</wp:posOffset>
              </wp:positionV>
              <wp:extent cx="1723390" cy="303530"/>
              <wp:effectExtent l="0" t="0" r="0" b="0"/>
              <wp:wrapTopAndBottom/>
              <wp:docPr id="1" name="Text Box 1"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55A96" w14:textId="77777777" w:rsidR="009F1587" w:rsidRPr="00123E54" w:rsidRDefault="009F1587" w:rsidP="00341C27">
                          <w:pPr>
                            <w:spacing w:line="240" w:lineRule="auto"/>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E569C" id="_x0000_t202" coordsize="21600,21600" o:spt="202" path="m,l,21600r21600,l21600,xe">
              <v:stroke joinstyle="miter"/>
              <v:path gradientshapeok="t" o:connecttype="rect"/>
            </v:shapetype>
            <v:shape id="Text Box 1" o:spid="_x0000_s1026" type="#_x0000_t202" alt="Prostor za vnos naslovnika&#10;" style="position:absolute;left:0;text-align:left;margin-left:70pt;margin-top:49.6pt;width:135.7pt;height:23.9pt;z-index:251655680;visibility:visible;mso-wrap-style:square;mso-width-percent:0;mso-height-percent:0;mso-wrap-distance-left:0;mso-wrap-distance-top:28.35pt;mso-wrap-distance-right:0;mso-wrap-distance-bottom:28.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" o:allowoverlap="f" filled="f" stroked="f">
              <v:textbox inset="0,0,0,0">
                <w:txbxContent>
                  <w:p w14:paraId="1F355A96" w14:textId="77777777" w:rsidR="009F1587" w:rsidRPr="00123E54" w:rsidRDefault="009F1587" w:rsidP="00341C27">
                    <w:pPr>
                      <w:spacing w:line="240" w:lineRule="auto"/>
                      <w:rPr>
                        <w:sz w:val="16"/>
                        <w:szCs w:val="16"/>
                      </w:rPr>
                    </w:pPr>
                  </w:p>
                </w:txbxContent>
              </v:textbox>
              <w10:wrap type="topAndBottom" anchorx="page" anchory="page"/>
            </v:shape>
          </w:pict>
        </mc:Fallback>
      </mc:AlternateContent>
    </w:r>
    <w:r w:rsidR="00015D64">
      <w:rPr>
        <w:b/>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4B69" w14:textId="77777777" w:rsidR="009F1587" w:rsidRPr="008F3500" w:rsidRDefault="009F1587" w:rsidP="005F456B">
    <w:pPr>
      <w:pStyle w:val="Glava"/>
      <w:tabs>
        <w:tab w:val="clear" w:pos="4320"/>
        <w:tab w:val="clear" w:pos="8640"/>
        <w:tab w:val="left" w:pos="5112"/>
      </w:tabs>
      <w:spacing w:line="240" w:lineRule="exact"/>
      <w:rPr>
        <w:rFonts w:cs="Arial"/>
        <w:sz w:val="16"/>
      </w:rPr>
    </w:pPr>
    <w:r w:rsidRPr="008F3500">
      <w:rPr>
        <w:rFonts w:cs="Arial"/>
        <w:sz w:val="16"/>
      </w:rPr>
      <w:tab/>
    </w:r>
  </w:p>
  <w:p w14:paraId="1A61FF52" w14:textId="77777777" w:rsidR="009F1587" w:rsidRPr="008F3500" w:rsidRDefault="009F1587"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09C"/>
    <w:multiLevelType w:val="hybridMultilevel"/>
    <w:tmpl w:val="F1CA6F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62BE1"/>
    <w:multiLevelType w:val="hybridMultilevel"/>
    <w:tmpl w:val="7DBAC6BC"/>
    <w:lvl w:ilvl="0" w:tplc="157C7D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 w15:restartNumberingAfterBreak="0">
    <w:nsid w:val="1AC7742B"/>
    <w:multiLevelType w:val="hybridMultilevel"/>
    <w:tmpl w:val="CFF0D0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9A4473"/>
    <w:multiLevelType w:val="hybridMultilevel"/>
    <w:tmpl w:val="FF6C973C"/>
    <w:lvl w:ilvl="0" w:tplc="2E18D8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073E7"/>
    <w:multiLevelType w:val="hybridMultilevel"/>
    <w:tmpl w:val="5C22FD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017AAB"/>
    <w:multiLevelType w:val="hybridMultilevel"/>
    <w:tmpl w:val="AC167C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B479B4"/>
    <w:multiLevelType w:val="multilevel"/>
    <w:tmpl w:val="2162186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243B1CBE"/>
    <w:multiLevelType w:val="hybridMultilevel"/>
    <w:tmpl w:val="1E38B7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403C9E"/>
    <w:multiLevelType w:val="hybridMultilevel"/>
    <w:tmpl w:val="2E969CEA"/>
    <w:lvl w:ilvl="0" w:tplc="0EDA085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6500929"/>
    <w:multiLevelType w:val="hybridMultilevel"/>
    <w:tmpl w:val="3C02A2E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275056C3"/>
    <w:multiLevelType w:val="hybridMultilevel"/>
    <w:tmpl w:val="909C450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30CA78F1"/>
    <w:multiLevelType w:val="hybridMultilevel"/>
    <w:tmpl w:val="23D406B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3F4508E9"/>
    <w:multiLevelType w:val="hybridMultilevel"/>
    <w:tmpl w:val="034245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E653DB7"/>
    <w:multiLevelType w:val="hybridMultilevel"/>
    <w:tmpl w:val="2FD0C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DC1406"/>
    <w:multiLevelType w:val="hybridMultilevel"/>
    <w:tmpl w:val="E2C43C0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7057D4"/>
    <w:multiLevelType w:val="multilevel"/>
    <w:tmpl w:val="801C3F80"/>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644F67"/>
    <w:multiLevelType w:val="hybridMultilevel"/>
    <w:tmpl w:val="E74C0C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440E92"/>
    <w:multiLevelType w:val="multilevel"/>
    <w:tmpl w:val="4E9C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97675"/>
    <w:multiLevelType w:val="multilevel"/>
    <w:tmpl w:val="62E0C7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9077A01"/>
    <w:multiLevelType w:val="hybridMultilevel"/>
    <w:tmpl w:val="8738FB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A58009A"/>
    <w:multiLevelType w:val="hybridMultilevel"/>
    <w:tmpl w:val="9A04FAA8"/>
    <w:lvl w:ilvl="0" w:tplc="C1987B68">
      <w:start w:val="1"/>
      <w:numFmt w:val="bullet"/>
      <w:lvlText w:val="‐"/>
      <w:lvlJc w:val="left"/>
      <w:pPr>
        <w:ind w:left="1068" w:hanging="360"/>
      </w:pPr>
      <w:rPr>
        <w:rFonts w:ascii="Calibri" w:hAnsi="Calibri" w:cs="Times New Roman" w:hint="default"/>
        <w:color w:val="auto"/>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7" w15:restartNumberingAfterBreak="0">
    <w:nsid w:val="6D4C5767"/>
    <w:multiLevelType w:val="hybridMultilevel"/>
    <w:tmpl w:val="92204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F851F26"/>
    <w:multiLevelType w:val="multilevel"/>
    <w:tmpl w:val="FC04CE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0C056E9"/>
    <w:multiLevelType w:val="hybridMultilevel"/>
    <w:tmpl w:val="35F2EB90"/>
    <w:lvl w:ilvl="0" w:tplc="7D7EC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2A6E64"/>
    <w:multiLevelType w:val="hybridMultilevel"/>
    <w:tmpl w:val="777A10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6737DF1"/>
    <w:multiLevelType w:val="multilevel"/>
    <w:tmpl w:val="62E0C7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614D07"/>
    <w:multiLevelType w:val="hybridMultilevel"/>
    <w:tmpl w:val="DFB602C8"/>
    <w:lvl w:ilvl="0" w:tplc="A6DE1BF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9F879CC"/>
    <w:multiLevelType w:val="hybridMultilevel"/>
    <w:tmpl w:val="EEF2581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AFD13CA"/>
    <w:multiLevelType w:val="hybridMultilevel"/>
    <w:tmpl w:val="A27A9540"/>
    <w:lvl w:ilvl="0" w:tplc="8C261D40">
      <w:numFmt w:val="bullet"/>
      <w:lvlText w:val="-"/>
      <w:lvlJc w:val="left"/>
      <w:pPr>
        <w:ind w:left="720" w:hanging="360"/>
      </w:pPr>
      <w:rPr>
        <w:rFonts w:ascii="Segoe UI" w:eastAsiaTheme="minorHAnsi"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3F00BB"/>
    <w:multiLevelType w:val="hybridMultilevel"/>
    <w:tmpl w:val="712646DA"/>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D4D4C66"/>
    <w:multiLevelType w:val="multilevel"/>
    <w:tmpl w:val="FC04CE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D893BAC"/>
    <w:multiLevelType w:val="hybridMultilevel"/>
    <w:tmpl w:val="0F28F00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48513C"/>
    <w:multiLevelType w:val="multilevel"/>
    <w:tmpl w:val="62E0C7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64941668">
    <w:abstractNumId w:val="16"/>
  </w:num>
  <w:num w:numId="2" w16cid:durableId="2118283370">
    <w:abstractNumId w:val="13"/>
  </w:num>
  <w:num w:numId="3" w16cid:durableId="925458090">
    <w:abstractNumId w:val="14"/>
    <w:lvlOverride w:ilvl="0">
      <w:startOverride w:val="1"/>
    </w:lvlOverride>
  </w:num>
  <w:num w:numId="4" w16cid:durableId="864102173">
    <w:abstractNumId w:val="2"/>
  </w:num>
  <w:num w:numId="5" w16cid:durableId="739710958">
    <w:abstractNumId w:val="21"/>
  </w:num>
  <w:num w:numId="6" w16cid:durableId="1121996035">
    <w:abstractNumId w:val="35"/>
  </w:num>
  <w:num w:numId="7" w16cid:durableId="847066265">
    <w:abstractNumId w:val="1"/>
  </w:num>
  <w:num w:numId="8" w16cid:durableId="1975519289">
    <w:abstractNumId w:val="12"/>
  </w:num>
  <w:num w:numId="9" w16cid:durableId="1615403282">
    <w:abstractNumId w:val="22"/>
  </w:num>
  <w:num w:numId="10" w16cid:durableId="1685982855">
    <w:abstractNumId w:val="19"/>
  </w:num>
  <w:num w:numId="11" w16cid:durableId="1152940563">
    <w:abstractNumId w:val="37"/>
  </w:num>
  <w:num w:numId="12" w16cid:durableId="1669746947">
    <w:abstractNumId w:val="32"/>
  </w:num>
  <w:num w:numId="13" w16cid:durableId="1622149179">
    <w:abstractNumId w:val="29"/>
  </w:num>
  <w:num w:numId="14" w16cid:durableId="1462923214">
    <w:abstractNumId w:val="18"/>
  </w:num>
  <w:num w:numId="15" w16cid:durableId="1128741404">
    <w:abstractNumId w:val="17"/>
  </w:num>
  <w:num w:numId="16" w16cid:durableId="322897465">
    <w:abstractNumId w:val="27"/>
  </w:num>
  <w:num w:numId="17" w16cid:durableId="2045787437">
    <w:abstractNumId w:val="34"/>
  </w:num>
  <w:num w:numId="18" w16cid:durableId="16627357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5330527">
    <w:abstractNumId w:val="20"/>
  </w:num>
  <w:num w:numId="20" w16cid:durableId="626812591">
    <w:abstractNumId w:val="9"/>
  </w:num>
  <w:num w:numId="21" w16cid:durableId="1341085554">
    <w:abstractNumId w:val="23"/>
  </w:num>
  <w:num w:numId="22" w16cid:durableId="1809084352">
    <w:abstractNumId w:val="24"/>
  </w:num>
  <w:num w:numId="23" w16cid:durableId="1885634037">
    <w:abstractNumId w:val="30"/>
  </w:num>
  <w:num w:numId="24" w16cid:durableId="898905304">
    <w:abstractNumId w:val="33"/>
  </w:num>
  <w:num w:numId="25" w16cid:durableId="1971857052">
    <w:abstractNumId w:val="28"/>
  </w:num>
  <w:num w:numId="26" w16cid:durableId="656693621">
    <w:abstractNumId w:val="6"/>
  </w:num>
  <w:num w:numId="27" w16cid:durableId="1380007787">
    <w:abstractNumId w:val="3"/>
  </w:num>
  <w:num w:numId="28" w16cid:durableId="414940455">
    <w:abstractNumId w:val="10"/>
  </w:num>
  <w:num w:numId="29" w16cid:durableId="1990280926">
    <w:abstractNumId w:val="25"/>
  </w:num>
  <w:num w:numId="30" w16cid:durableId="1429812327">
    <w:abstractNumId w:val="8"/>
  </w:num>
  <w:num w:numId="31" w16cid:durableId="650328981">
    <w:abstractNumId w:val="15"/>
  </w:num>
  <w:num w:numId="32" w16cid:durableId="1619799953">
    <w:abstractNumId w:val="0"/>
  </w:num>
  <w:num w:numId="33" w16cid:durableId="1735395399">
    <w:abstractNumId w:val="5"/>
  </w:num>
  <w:num w:numId="34" w16cid:durableId="260529004">
    <w:abstractNumId w:val="4"/>
  </w:num>
  <w:num w:numId="35" w16cid:durableId="1046414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06015">
    <w:abstractNumId w:val="26"/>
  </w:num>
  <w:num w:numId="37" w16cid:durableId="925262452">
    <w:abstractNumId w:val="36"/>
  </w:num>
  <w:num w:numId="38" w16cid:durableId="683823008">
    <w:abstractNumId w:val="31"/>
  </w:num>
  <w:num w:numId="39" w16cid:durableId="952246940">
    <w:abstractNumId w:val="38"/>
  </w:num>
  <w:num w:numId="40" w16cid:durableId="2070492627">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7QwNjA1NDc3MTE0NLdQ0lEKTi0uzszPAykwrAUAahpYWCwAAAA="/>
  </w:docVars>
  <w:rsids>
    <w:rsidRoot w:val="00D04605"/>
    <w:rsid w:val="00001082"/>
    <w:rsid w:val="00013F36"/>
    <w:rsid w:val="000151E4"/>
    <w:rsid w:val="00015D64"/>
    <w:rsid w:val="000170FF"/>
    <w:rsid w:val="00023A88"/>
    <w:rsid w:val="00025D7B"/>
    <w:rsid w:val="00036784"/>
    <w:rsid w:val="00036C8A"/>
    <w:rsid w:val="00042A7A"/>
    <w:rsid w:val="0007453D"/>
    <w:rsid w:val="000803BC"/>
    <w:rsid w:val="00084830"/>
    <w:rsid w:val="000917A3"/>
    <w:rsid w:val="000946C9"/>
    <w:rsid w:val="000A6293"/>
    <w:rsid w:val="000A6850"/>
    <w:rsid w:val="000A7238"/>
    <w:rsid w:val="000B1395"/>
    <w:rsid w:val="000B4262"/>
    <w:rsid w:val="000C43F9"/>
    <w:rsid w:val="000D47CA"/>
    <w:rsid w:val="000F122E"/>
    <w:rsid w:val="000F1D81"/>
    <w:rsid w:val="00100228"/>
    <w:rsid w:val="00102439"/>
    <w:rsid w:val="0010261A"/>
    <w:rsid w:val="00102798"/>
    <w:rsid w:val="00103DB8"/>
    <w:rsid w:val="00105B08"/>
    <w:rsid w:val="001123A8"/>
    <w:rsid w:val="0012392B"/>
    <w:rsid w:val="001357B2"/>
    <w:rsid w:val="00137AA2"/>
    <w:rsid w:val="00143847"/>
    <w:rsid w:val="001453A9"/>
    <w:rsid w:val="001478DB"/>
    <w:rsid w:val="00147EA2"/>
    <w:rsid w:val="0015258E"/>
    <w:rsid w:val="00155763"/>
    <w:rsid w:val="00170BD8"/>
    <w:rsid w:val="00171E3B"/>
    <w:rsid w:val="00172039"/>
    <w:rsid w:val="0017478F"/>
    <w:rsid w:val="00177504"/>
    <w:rsid w:val="0018551D"/>
    <w:rsid w:val="00186643"/>
    <w:rsid w:val="001903C2"/>
    <w:rsid w:val="0019610B"/>
    <w:rsid w:val="0019798E"/>
    <w:rsid w:val="001A51C5"/>
    <w:rsid w:val="001B12CF"/>
    <w:rsid w:val="001B4125"/>
    <w:rsid w:val="001B5C26"/>
    <w:rsid w:val="001D3CA8"/>
    <w:rsid w:val="001E5D5F"/>
    <w:rsid w:val="001F4006"/>
    <w:rsid w:val="001F4AD9"/>
    <w:rsid w:val="00202A77"/>
    <w:rsid w:val="00203813"/>
    <w:rsid w:val="00213263"/>
    <w:rsid w:val="00214B39"/>
    <w:rsid w:val="00223FBE"/>
    <w:rsid w:val="00226B4D"/>
    <w:rsid w:val="0023314B"/>
    <w:rsid w:val="00234640"/>
    <w:rsid w:val="002401A8"/>
    <w:rsid w:val="00256993"/>
    <w:rsid w:val="002578BC"/>
    <w:rsid w:val="00263ED0"/>
    <w:rsid w:val="00263F8C"/>
    <w:rsid w:val="00264792"/>
    <w:rsid w:val="00264A13"/>
    <w:rsid w:val="002666DF"/>
    <w:rsid w:val="00271CE5"/>
    <w:rsid w:val="0027304F"/>
    <w:rsid w:val="0028175F"/>
    <w:rsid w:val="00282020"/>
    <w:rsid w:val="00285BD5"/>
    <w:rsid w:val="002A12FA"/>
    <w:rsid w:val="002A2B69"/>
    <w:rsid w:val="002A5B52"/>
    <w:rsid w:val="002A667B"/>
    <w:rsid w:val="002B4664"/>
    <w:rsid w:val="002C093C"/>
    <w:rsid w:val="002C1FA5"/>
    <w:rsid w:val="002C2184"/>
    <w:rsid w:val="002C406E"/>
    <w:rsid w:val="002C6459"/>
    <w:rsid w:val="002C71C1"/>
    <w:rsid w:val="002D4324"/>
    <w:rsid w:val="002D5EB8"/>
    <w:rsid w:val="002F4AB0"/>
    <w:rsid w:val="003041C8"/>
    <w:rsid w:val="00304E6B"/>
    <w:rsid w:val="00313C6C"/>
    <w:rsid w:val="0031688D"/>
    <w:rsid w:val="0031713A"/>
    <w:rsid w:val="00325BC1"/>
    <w:rsid w:val="00331C80"/>
    <w:rsid w:val="003339AE"/>
    <w:rsid w:val="00341C27"/>
    <w:rsid w:val="00341EBA"/>
    <w:rsid w:val="00347B11"/>
    <w:rsid w:val="00357A5C"/>
    <w:rsid w:val="00361E19"/>
    <w:rsid w:val="003636BF"/>
    <w:rsid w:val="0036577A"/>
    <w:rsid w:val="00371442"/>
    <w:rsid w:val="00380941"/>
    <w:rsid w:val="003845B4"/>
    <w:rsid w:val="003849A6"/>
    <w:rsid w:val="00387B1A"/>
    <w:rsid w:val="00393C31"/>
    <w:rsid w:val="003943B6"/>
    <w:rsid w:val="00397976"/>
    <w:rsid w:val="003A4BBA"/>
    <w:rsid w:val="003A66CC"/>
    <w:rsid w:val="003B2076"/>
    <w:rsid w:val="003B4904"/>
    <w:rsid w:val="003B4A96"/>
    <w:rsid w:val="003B60B0"/>
    <w:rsid w:val="003C17A0"/>
    <w:rsid w:val="003C31C3"/>
    <w:rsid w:val="003C5EE5"/>
    <w:rsid w:val="003D20AE"/>
    <w:rsid w:val="003D3BE6"/>
    <w:rsid w:val="003D4625"/>
    <w:rsid w:val="003D47DD"/>
    <w:rsid w:val="003D4B82"/>
    <w:rsid w:val="003E1C74"/>
    <w:rsid w:val="003E3E2B"/>
    <w:rsid w:val="003E70A1"/>
    <w:rsid w:val="003F2E2E"/>
    <w:rsid w:val="003F38C2"/>
    <w:rsid w:val="003F4C8F"/>
    <w:rsid w:val="003F4D18"/>
    <w:rsid w:val="00400601"/>
    <w:rsid w:val="00403587"/>
    <w:rsid w:val="004136F9"/>
    <w:rsid w:val="0041497B"/>
    <w:rsid w:val="00415D1F"/>
    <w:rsid w:val="0042087E"/>
    <w:rsid w:val="0042735C"/>
    <w:rsid w:val="00432933"/>
    <w:rsid w:val="00434222"/>
    <w:rsid w:val="00454EB9"/>
    <w:rsid w:val="00456039"/>
    <w:rsid w:val="004643B0"/>
    <w:rsid w:val="004657EE"/>
    <w:rsid w:val="0047081D"/>
    <w:rsid w:val="004740E2"/>
    <w:rsid w:val="0047647E"/>
    <w:rsid w:val="004800B2"/>
    <w:rsid w:val="0048284B"/>
    <w:rsid w:val="00486E53"/>
    <w:rsid w:val="0049286C"/>
    <w:rsid w:val="004A061D"/>
    <w:rsid w:val="004A6F9B"/>
    <w:rsid w:val="004B1D1C"/>
    <w:rsid w:val="004B4538"/>
    <w:rsid w:val="004C20C7"/>
    <w:rsid w:val="004C3ADD"/>
    <w:rsid w:val="004D57EB"/>
    <w:rsid w:val="004D6B7C"/>
    <w:rsid w:val="004E0B16"/>
    <w:rsid w:val="004E504A"/>
    <w:rsid w:val="004E65E3"/>
    <w:rsid w:val="004F3676"/>
    <w:rsid w:val="004F3FFA"/>
    <w:rsid w:val="004F5471"/>
    <w:rsid w:val="00505188"/>
    <w:rsid w:val="00507F8A"/>
    <w:rsid w:val="00513A7D"/>
    <w:rsid w:val="0051547D"/>
    <w:rsid w:val="0052048B"/>
    <w:rsid w:val="0052402C"/>
    <w:rsid w:val="00526246"/>
    <w:rsid w:val="00527D9C"/>
    <w:rsid w:val="00531346"/>
    <w:rsid w:val="005324B0"/>
    <w:rsid w:val="0055029F"/>
    <w:rsid w:val="005512EC"/>
    <w:rsid w:val="005515F8"/>
    <w:rsid w:val="005567B1"/>
    <w:rsid w:val="0056386B"/>
    <w:rsid w:val="00563DE9"/>
    <w:rsid w:val="00567106"/>
    <w:rsid w:val="005760E9"/>
    <w:rsid w:val="00586E49"/>
    <w:rsid w:val="005958BF"/>
    <w:rsid w:val="005B20D8"/>
    <w:rsid w:val="005B463B"/>
    <w:rsid w:val="005B4D62"/>
    <w:rsid w:val="005B6638"/>
    <w:rsid w:val="005D09F9"/>
    <w:rsid w:val="005D4B00"/>
    <w:rsid w:val="005E1D3C"/>
    <w:rsid w:val="005E6965"/>
    <w:rsid w:val="005E7DDF"/>
    <w:rsid w:val="005F3185"/>
    <w:rsid w:val="005F456B"/>
    <w:rsid w:val="00621346"/>
    <w:rsid w:val="00623527"/>
    <w:rsid w:val="0062494F"/>
    <w:rsid w:val="00625AE6"/>
    <w:rsid w:val="00631D1D"/>
    <w:rsid w:val="00632253"/>
    <w:rsid w:val="00632461"/>
    <w:rsid w:val="00641003"/>
    <w:rsid w:val="00642714"/>
    <w:rsid w:val="006437DA"/>
    <w:rsid w:val="006455CE"/>
    <w:rsid w:val="00652E1D"/>
    <w:rsid w:val="00655841"/>
    <w:rsid w:val="006567F2"/>
    <w:rsid w:val="00656C9A"/>
    <w:rsid w:val="006623D8"/>
    <w:rsid w:val="0066492B"/>
    <w:rsid w:val="00671DDA"/>
    <w:rsid w:val="0067460B"/>
    <w:rsid w:val="00680162"/>
    <w:rsid w:val="00685312"/>
    <w:rsid w:val="006A591B"/>
    <w:rsid w:val="006B25D0"/>
    <w:rsid w:val="006C4FF3"/>
    <w:rsid w:val="006C59C6"/>
    <w:rsid w:val="006D250D"/>
    <w:rsid w:val="006D2CFB"/>
    <w:rsid w:val="006D59AF"/>
    <w:rsid w:val="006D7810"/>
    <w:rsid w:val="006E5F3F"/>
    <w:rsid w:val="006E7B06"/>
    <w:rsid w:val="006F0A18"/>
    <w:rsid w:val="006F4C66"/>
    <w:rsid w:val="00704527"/>
    <w:rsid w:val="00711C2B"/>
    <w:rsid w:val="0071360D"/>
    <w:rsid w:val="00727669"/>
    <w:rsid w:val="00733017"/>
    <w:rsid w:val="00743169"/>
    <w:rsid w:val="00753E81"/>
    <w:rsid w:val="007554B9"/>
    <w:rsid w:val="00756A6E"/>
    <w:rsid w:val="0076073F"/>
    <w:rsid w:val="00783310"/>
    <w:rsid w:val="00783FB3"/>
    <w:rsid w:val="007A32E1"/>
    <w:rsid w:val="007A4A6D"/>
    <w:rsid w:val="007A57D6"/>
    <w:rsid w:val="007B72D9"/>
    <w:rsid w:val="007C3DB4"/>
    <w:rsid w:val="007D0D2D"/>
    <w:rsid w:val="007D1BCF"/>
    <w:rsid w:val="007D75CF"/>
    <w:rsid w:val="007E0440"/>
    <w:rsid w:val="007E397C"/>
    <w:rsid w:val="007E6DC5"/>
    <w:rsid w:val="007E779F"/>
    <w:rsid w:val="007E7A4B"/>
    <w:rsid w:val="007F3939"/>
    <w:rsid w:val="007F3DE4"/>
    <w:rsid w:val="007F611C"/>
    <w:rsid w:val="007F7DA2"/>
    <w:rsid w:val="008057DB"/>
    <w:rsid w:val="008106CB"/>
    <w:rsid w:val="00814FD0"/>
    <w:rsid w:val="00820E02"/>
    <w:rsid w:val="0082234D"/>
    <w:rsid w:val="00822DDC"/>
    <w:rsid w:val="00853428"/>
    <w:rsid w:val="00862E72"/>
    <w:rsid w:val="0086626D"/>
    <w:rsid w:val="008734EB"/>
    <w:rsid w:val="008762A6"/>
    <w:rsid w:val="00876BDD"/>
    <w:rsid w:val="0087731D"/>
    <w:rsid w:val="0088043C"/>
    <w:rsid w:val="008829C8"/>
    <w:rsid w:val="00884889"/>
    <w:rsid w:val="00885055"/>
    <w:rsid w:val="008906C9"/>
    <w:rsid w:val="008A544F"/>
    <w:rsid w:val="008A6171"/>
    <w:rsid w:val="008B1543"/>
    <w:rsid w:val="008B175E"/>
    <w:rsid w:val="008C1202"/>
    <w:rsid w:val="008C5738"/>
    <w:rsid w:val="008C6AF6"/>
    <w:rsid w:val="008D04F0"/>
    <w:rsid w:val="008D1806"/>
    <w:rsid w:val="008D455C"/>
    <w:rsid w:val="008D4A54"/>
    <w:rsid w:val="008F00A5"/>
    <w:rsid w:val="008F0395"/>
    <w:rsid w:val="008F3500"/>
    <w:rsid w:val="009054A1"/>
    <w:rsid w:val="009059D6"/>
    <w:rsid w:val="0091099F"/>
    <w:rsid w:val="00913007"/>
    <w:rsid w:val="009164A1"/>
    <w:rsid w:val="00920652"/>
    <w:rsid w:val="00922315"/>
    <w:rsid w:val="00924E3C"/>
    <w:rsid w:val="00936B7C"/>
    <w:rsid w:val="00940F2D"/>
    <w:rsid w:val="00943E4F"/>
    <w:rsid w:val="00951871"/>
    <w:rsid w:val="00954829"/>
    <w:rsid w:val="0095751C"/>
    <w:rsid w:val="009612BB"/>
    <w:rsid w:val="00961FFE"/>
    <w:rsid w:val="00995D19"/>
    <w:rsid w:val="009A49A0"/>
    <w:rsid w:val="009A50F3"/>
    <w:rsid w:val="009A53F9"/>
    <w:rsid w:val="009B4113"/>
    <w:rsid w:val="009C2299"/>
    <w:rsid w:val="009C423D"/>
    <w:rsid w:val="009C5343"/>
    <w:rsid w:val="009C740A"/>
    <w:rsid w:val="009D0508"/>
    <w:rsid w:val="009D5B2C"/>
    <w:rsid w:val="009D5FB1"/>
    <w:rsid w:val="009F1587"/>
    <w:rsid w:val="00A04B62"/>
    <w:rsid w:val="00A11F23"/>
    <w:rsid w:val="00A125C5"/>
    <w:rsid w:val="00A2451C"/>
    <w:rsid w:val="00A271A8"/>
    <w:rsid w:val="00A345DB"/>
    <w:rsid w:val="00A3507C"/>
    <w:rsid w:val="00A53555"/>
    <w:rsid w:val="00A55CDE"/>
    <w:rsid w:val="00A65DDA"/>
    <w:rsid w:val="00A65EE7"/>
    <w:rsid w:val="00A70133"/>
    <w:rsid w:val="00A7106C"/>
    <w:rsid w:val="00A770A6"/>
    <w:rsid w:val="00A77411"/>
    <w:rsid w:val="00A813B1"/>
    <w:rsid w:val="00AA256D"/>
    <w:rsid w:val="00AA261D"/>
    <w:rsid w:val="00AA342D"/>
    <w:rsid w:val="00AA3898"/>
    <w:rsid w:val="00AA7B37"/>
    <w:rsid w:val="00AB36C4"/>
    <w:rsid w:val="00AC32B2"/>
    <w:rsid w:val="00AC618B"/>
    <w:rsid w:val="00AD3F27"/>
    <w:rsid w:val="00AE028A"/>
    <w:rsid w:val="00AE55F0"/>
    <w:rsid w:val="00B01660"/>
    <w:rsid w:val="00B17141"/>
    <w:rsid w:val="00B20062"/>
    <w:rsid w:val="00B2014C"/>
    <w:rsid w:val="00B2475D"/>
    <w:rsid w:val="00B31575"/>
    <w:rsid w:val="00B35CD2"/>
    <w:rsid w:val="00B37C37"/>
    <w:rsid w:val="00B5060F"/>
    <w:rsid w:val="00B60A44"/>
    <w:rsid w:val="00B763BA"/>
    <w:rsid w:val="00B83A8B"/>
    <w:rsid w:val="00B8547D"/>
    <w:rsid w:val="00B921C3"/>
    <w:rsid w:val="00B95E90"/>
    <w:rsid w:val="00BA748A"/>
    <w:rsid w:val="00BA7522"/>
    <w:rsid w:val="00BB0E08"/>
    <w:rsid w:val="00BB400B"/>
    <w:rsid w:val="00BC1DE7"/>
    <w:rsid w:val="00BC6DF9"/>
    <w:rsid w:val="00C17022"/>
    <w:rsid w:val="00C24F5B"/>
    <w:rsid w:val="00C250D5"/>
    <w:rsid w:val="00C35666"/>
    <w:rsid w:val="00C3717E"/>
    <w:rsid w:val="00C5489F"/>
    <w:rsid w:val="00C5776F"/>
    <w:rsid w:val="00C63A22"/>
    <w:rsid w:val="00C648AB"/>
    <w:rsid w:val="00C75EFE"/>
    <w:rsid w:val="00C87A65"/>
    <w:rsid w:val="00C92823"/>
    <w:rsid w:val="00C92898"/>
    <w:rsid w:val="00C9340B"/>
    <w:rsid w:val="00CA4340"/>
    <w:rsid w:val="00CB009A"/>
    <w:rsid w:val="00CB575E"/>
    <w:rsid w:val="00CC2D1F"/>
    <w:rsid w:val="00CC30A5"/>
    <w:rsid w:val="00CC55DD"/>
    <w:rsid w:val="00CD19D8"/>
    <w:rsid w:val="00CD4A44"/>
    <w:rsid w:val="00CE0051"/>
    <w:rsid w:val="00CE5238"/>
    <w:rsid w:val="00CE5712"/>
    <w:rsid w:val="00CE6F35"/>
    <w:rsid w:val="00CE7514"/>
    <w:rsid w:val="00CF2D9F"/>
    <w:rsid w:val="00CF603A"/>
    <w:rsid w:val="00CF7542"/>
    <w:rsid w:val="00D00C78"/>
    <w:rsid w:val="00D02B7B"/>
    <w:rsid w:val="00D04605"/>
    <w:rsid w:val="00D07AF8"/>
    <w:rsid w:val="00D248DE"/>
    <w:rsid w:val="00D3405C"/>
    <w:rsid w:val="00D362A7"/>
    <w:rsid w:val="00D53F06"/>
    <w:rsid w:val="00D5700E"/>
    <w:rsid w:val="00D57060"/>
    <w:rsid w:val="00D635DC"/>
    <w:rsid w:val="00D70325"/>
    <w:rsid w:val="00D71FD8"/>
    <w:rsid w:val="00D731F3"/>
    <w:rsid w:val="00D75E6A"/>
    <w:rsid w:val="00D76B42"/>
    <w:rsid w:val="00D84B7A"/>
    <w:rsid w:val="00D8542D"/>
    <w:rsid w:val="00DB7704"/>
    <w:rsid w:val="00DC2BF7"/>
    <w:rsid w:val="00DC2E72"/>
    <w:rsid w:val="00DC408E"/>
    <w:rsid w:val="00DC4269"/>
    <w:rsid w:val="00DC6A71"/>
    <w:rsid w:val="00DD101C"/>
    <w:rsid w:val="00DD119B"/>
    <w:rsid w:val="00DE108F"/>
    <w:rsid w:val="00DF00AB"/>
    <w:rsid w:val="00E01330"/>
    <w:rsid w:val="00E0357D"/>
    <w:rsid w:val="00E16A34"/>
    <w:rsid w:val="00E16A61"/>
    <w:rsid w:val="00E2092E"/>
    <w:rsid w:val="00E21995"/>
    <w:rsid w:val="00E21FF9"/>
    <w:rsid w:val="00E27990"/>
    <w:rsid w:val="00E3710C"/>
    <w:rsid w:val="00E41129"/>
    <w:rsid w:val="00E4576D"/>
    <w:rsid w:val="00E45E97"/>
    <w:rsid w:val="00E52A08"/>
    <w:rsid w:val="00E635D4"/>
    <w:rsid w:val="00E70C96"/>
    <w:rsid w:val="00E7453C"/>
    <w:rsid w:val="00E77584"/>
    <w:rsid w:val="00E801BE"/>
    <w:rsid w:val="00E837AB"/>
    <w:rsid w:val="00E83827"/>
    <w:rsid w:val="00E8595C"/>
    <w:rsid w:val="00E87EA2"/>
    <w:rsid w:val="00E97D45"/>
    <w:rsid w:val="00EA553E"/>
    <w:rsid w:val="00EB5434"/>
    <w:rsid w:val="00EC1205"/>
    <w:rsid w:val="00ED1C3E"/>
    <w:rsid w:val="00ED6877"/>
    <w:rsid w:val="00EF0324"/>
    <w:rsid w:val="00EF0C51"/>
    <w:rsid w:val="00EF60BF"/>
    <w:rsid w:val="00F05F3E"/>
    <w:rsid w:val="00F11D12"/>
    <w:rsid w:val="00F125E8"/>
    <w:rsid w:val="00F15621"/>
    <w:rsid w:val="00F205D4"/>
    <w:rsid w:val="00F240BB"/>
    <w:rsid w:val="00F271F1"/>
    <w:rsid w:val="00F31E5E"/>
    <w:rsid w:val="00F32E81"/>
    <w:rsid w:val="00F40CC6"/>
    <w:rsid w:val="00F44DBA"/>
    <w:rsid w:val="00F45BB5"/>
    <w:rsid w:val="00F57FED"/>
    <w:rsid w:val="00F601E2"/>
    <w:rsid w:val="00F821BE"/>
    <w:rsid w:val="00F844D8"/>
    <w:rsid w:val="00F876C4"/>
    <w:rsid w:val="00F91BB8"/>
    <w:rsid w:val="00FA0D0A"/>
    <w:rsid w:val="00FA14C2"/>
    <w:rsid w:val="00FB05AF"/>
    <w:rsid w:val="00FB5509"/>
    <w:rsid w:val="00FB60BC"/>
    <w:rsid w:val="00FD109A"/>
    <w:rsid w:val="00FE1B5A"/>
    <w:rsid w:val="00FE3F47"/>
    <w:rsid w:val="00FE4404"/>
    <w:rsid w:val="00FE492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66476FC"/>
  <w15:docId w15:val="{12354933-50B1-4450-8D6F-416D6A39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A553E"/>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unhideWhenUsed/>
    <w:qFormat/>
    <w:rsid w:val="00D00C78"/>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unhideWhenUsed/>
    <w:qFormat/>
    <w:rsid w:val="00D00C78"/>
    <w:pPr>
      <w:keepNext/>
      <w:keepLines/>
      <w:spacing w:before="40" w:line="276" w:lineRule="auto"/>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 Char,Header Char1 Char,Header Char Char Char Char,Header Char Char1,Header Char1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aliases w:val="Header Char Znak,Header Char1 Char Znak,Header Char Char Char Char Znak,Header Char Char1 Znak,Header Char1 Char Char Znak"/>
    <w:link w:val="Glava"/>
    <w:uiPriority w:val="99"/>
    <w:rsid w:val="00E83827"/>
    <w:rPr>
      <w:rFonts w:ascii="Arial" w:hAnsi="Arial"/>
      <w:szCs w:val="24"/>
      <w:lang w:val="en-US" w:eastAsia="en-US"/>
    </w:rPr>
  </w:style>
  <w:style w:type="character" w:customStyle="1" w:styleId="Naslov1Znak">
    <w:name w:val="Naslov 1 Znak"/>
    <w:aliases w:val="NASLOV Znak"/>
    <w:link w:val="Naslov1"/>
    <w:rsid w:val="00D731F3"/>
    <w:rPr>
      <w:rFonts w:ascii="Arial" w:hAnsi="Arial"/>
      <w:b/>
      <w:kern w:val="32"/>
      <w:sz w:val="28"/>
      <w:szCs w:val="32"/>
    </w:rPr>
  </w:style>
  <w:style w:type="character" w:styleId="Pripombasklic">
    <w:name w:val="annotation reference"/>
    <w:rsid w:val="00D731F3"/>
    <w:rPr>
      <w:sz w:val="16"/>
      <w:szCs w:val="16"/>
    </w:rPr>
  </w:style>
  <w:style w:type="paragraph" w:styleId="Pripombabesedilo">
    <w:name w:val="annotation text"/>
    <w:basedOn w:val="Navaden"/>
    <w:link w:val="Pripomba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rsid w:val="00D731F3"/>
    <w:rPr>
      <w:lang w:eastAsia="en-US"/>
    </w:rPr>
  </w:style>
  <w:style w:type="paragraph" w:styleId="Besedilooblaka">
    <w:name w:val="Balloon Text"/>
    <w:basedOn w:val="Navaden"/>
    <w:link w:val="BesedilooblakaZnak"/>
    <w:rsid w:val="00D731F3"/>
    <w:pPr>
      <w:spacing w:line="240" w:lineRule="auto"/>
    </w:pPr>
    <w:rPr>
      <w:rFonts w:ascii="Tahoma" w:hAnsi="Tahoma" w:cs="Tahoma"/>
      <w:sz w:val="16"/>
      <w:szCs w:val="16"/>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character" w:customStyle="1" w:styleId="NogaZnak">
    <w:name w:val="Noga Znak"/>
    <w:link w:val="Noga"/>
    <w:uiPriority w:val="99"/>
    <w:rsid w:val="00D84B7A"/>
    <w:rPr>
      <w:rFonts w:ascii="Arial" w:hAnsi="Arial"/>
      <w:szCs w:val="24"/>
      <w:lang w:eastAsia="en-US"/>
    </w:rPr>
  </w:style>
  <w:style w:type="character" w:styleId="tevilkastrani">
    <w:name w:val="page number"/>
    <w:rsid w:val="00341C27"/>
  </w:style>
  <w:style w:type="paragraph" w:styleId="Odstavekseznama">
    <w:name w:val="List Paragraph"/>
    <w:aliases w:val="Odstavek seznama_IP,Seznam_IP_1,Odstavek -,naslov 1,Bullet 1,Bullet Points,Bullet layer,Colorful List - Accent 11,Dot pt,F5 List Paragraph,Indicator Text,Issue Action POC,List Paragraph Char Char Char,List Paragraph1,List Paragraph2,K1"/>
    <w:basedOn w:val="Navaden"/>
    <w:link w:val="OdstavekseznamaZnak"/>
    <w:uiPriority w:val="34"/>
    <w:qFormat/>
    <w:rsid w:val="00B5060F"/>
    <w:pPr>
      <w:spacing w:after="200" w:line="276" w:lineRule="auto"/>
      <w:ind w:left="720"/>
      <w:contextualSpacing/>
    </w:pPr>
    <w:rPr>
      <w:rFonts w:ascii="Calibri" w:eastAsia="SimSun" w:hAnsi="Calibri"/>
      <w:sz w:val="22"/>
      <w:szCs w:val="22"/>
      <w:lang w:val="de-DE" w:eastAsia="de-DE"/>
    </w:rPr>
  </w:style>
  <w:style w:type="paragraph" w:customStyle="1" w:styleId="TableParagraph">
    <w:name w:val="Table Paragraph"/>
    <w:basedOn w:val="Navaden"/>
    <w:uiPriority w:val="1"/>
    <w:qFormat/>
    <w:rsid w:val="00B5060F"/>
    <w:pPr>
      <w:widowControl w:val="0"/>
      <w:spacing w:line="240" w:lineRule="auto"/>
    </w:pPr>
    <w:rPr>
      <w:rFonts w:ascii="Calibri" w:eastAsia="SimSun" w:hAnsi="Calibri"/>
      <w:sz w:val="22"/>
      <w:szCs w:val="22"/>
      <w:lang w:val="en-US" w:eastAsia="de-DE"/>
    </w:rPr>
  </w:style>
  <w:style w:type="character" w:styleId="Nerazreenaomemba">
    <w:name w:val="Unresolved Mention"/>
    <w:basedOn w:val="Privzetapisavaodstavka"/>
    <w:uiPriority w:val="99"/>
    <w:semiHidden/>
    <w:unhideWhenUsed/>
    <w:rsid w:val="008829C8"/>
    <w:rPr>
      <w:color w:val="605E5C"/>
      <w:shd w:val="clear" w:color="auto" w:fill="E1DFDD"/>
    </w:rPr>
  </w:style>
  <w:style w:type="paragraph" w:styleId="Revizija">
    <w:name w:val="Revision"/>
    <w:hidden/>
    <w:uiPriority w:val="99"/>
    <w:semiHidden/>
    <w:rsid w:val="00264792"/>
    <w:rPr>
      <w:rFonts w:ascii="Arial" w:hAnsi="Arial"/>
      <w:szCs w:val="24"/>
      <w:lang w:eastAsia="en-US"/>
    </w:rPr>
  </w:style>
  <w:style w:type="character" w:customStyle="1" w:styleId="Naslov2Znak">
    <w:name w:val="Naslov 2 Znak"/>
    <w:basedOn w:val="Privzetapisavaodstavka"/>
    <w:link w:val="Naslov2"/>
    <w:uiPriority w:val="9"/>
    <w:rsid w:val="00D00C78"/>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
    <w:uiPriority w:val="9"/>
    <w:rsid w:val="00D00C78"/>
    <w:rPr>
      <w:rFonts w:asciiTheme="majorHAnsi" w:eastAsiaTheme="majorEastAsia" w:hAnsiTheme="majorHAnsi" w:cstheme="majorBidi"/>
      <w:color w:val="243F60" w:themeColor="accent1" w:themeShade="7F"/>
      <w:sz w:val="24"/>
      <w:szCs w:val="24"/>
      <w:lang w:eastAsia="en-US"/>
    </w:rPr>
  </w:style>
  <w:style w:type="paragraph" w:customStyle="1" w:styleId="Par-number1">
    <w:name w:val="Par-number 1."/>
    <w:basedOn w:val="Navaden"/>
    <w:next w:val="Navaden"/>
    <w:rsid w:val="00D00C78"/>
    <w:pPr>
      <w:widowControl w:val="0"/>
      <w:numPr>
        <w:numId w:val="15"/>
      </w:numPr>
      <w:spacing w:line="360" w:lineRule="auto"/>
    </w:pPr>
    <w:rPr>
      <w:rFonts w:ascii="Times New Roman" w:hAnsi="Times New Roman"/>
      <w:sz w:val="24"/>
      <w:szCs w:val="20"/>
      <w:lang w:eastAsia="fr-BE"/>
    </w:rPr>
  </w:style>
  <w:style w:type="paragraph" w:styleId="Navadensplet">
    <w:name w:val="Normal (Web)"/>
    <w:basedOn w:val="Navaden"/>
    <w:uiPriority w:val="99"/>
    <w:unhideWhenUsed/>
    <w:rsid w:val="00D00C78"/>
    <w:pPr>
      <w:spacing w:after="150" w:line="240" w:lineRule="auto"/>
    </w:pPr>
    <w:rPr>
      <w:rFonts w:ascii="Times New Roman" w:hAnsi="Times New Roman"/>
      <w:sz w:val="24"/>
      <w:lang w:eastAsia="sl-SI"/>
    </w:rPr>
  </w:style>
  <w:style w:type="paragraph" w:styleId="Napis">
    <w:name w:val="caption"/>
    <w:basedOn w:val="Navaden"/>
    <w:uiPriority w:val="35"/>
    <w:semiHidden/>
    <w:unhideWhenUsed/>
    <w:qFormat/>
    <w:rsid w:val="00BC1DE7"/>
    <w:pPr>
      <w:spacing w:after="200" w:line="240" w:lineRule="auto"/>
      <w:jc w:val="both"/>
    </w:pPr>
    <w:rPr>
      <w:rFonts w:ascii="Times New Roman" w:eastAsiaTheme="minorHAnsi" w:hAnsi="Times New Roman"/>
      <w:color w:val="000000"/>
      <w:sz w:val="18"/>
      <w:szCs w:val="18"/>
      <w14:ligatures w14:val="standardContextual"/>
    </w:rPr>
  </w:style>
  <w:style w:type="character" w:customStyle="1" w:styleId="OdstavekseznamaZnak">
    <w:name w:val="Odstavek seznama Znak"/>
    <w:aliases w:val="Odstavek seznama_IP Znak,Seznam_IP_1 Znak,Odstavek - Znak,naslov 1 Znak,Bullet 1 Znak,Bullet Points Znak,Bullet layer Znak,Colorful List - Accent 11 Znak,Dot pt Znak,F5 List Paragraph Znak,Indicator Text Znak,Issue Action POC Znak"/>
    <w:basedOn w:val="Privzetapisavaodstavka"/>
    <w:link w:val="Odstavekseznama"/>
    <w:uiPriority w:val="34"/>
    <w:locked/>
    <w:rsid w:val="00BC1DE7"/>
    <w:rPr>
      <w:rFonts w:ascii="Calibri" w:eastAsia="SimSun" w:hAnsi="Calibri"/>
      <w:sz w:val="22"/>
      <w:szCs w:val="22"/>
      <w:lang w:val="de-DE" w:eastAsia="de-DE"/>
    </w:rPr>
  </w:style>
  <w:style w:type="character" w:customStyle="1" w:styleId="cf01">
    <w:name w:val="cf01"/>
    <w:basedOn w:val="Privzetapisavaodstavka"/>
    <w:rsid w:val="00680162"/>
    <w:rPr>
      <w:rFonts w:ascii="Segoe UI" w:hAnsi="Segoe UI" w:cs="Segoe UI" w:hint="default"/>
      <w:color w:val="292B2C"/>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3046">
      <w:bodyDiv w:val="1"/>
      <w:marLeft w:val="0"/>
      <w:marRight w:val="0"/>
      <w:marTop w:val="0"/>
      <w:marBottom w:val="0"/>
      <w:divBdr>
        <w:top w:val="none" w:sz="0" w:space="0" w:color="auto"/>
        <w:left w:val="none" w:sz="0" w:space="0" w:color="auto"/>
        <w:bottom w:val="none" w:sz="0" w:space="0" w:color="auto"/>
        <w:right w:val="none" w:sz="0" w:space="0" w:color="auto"/>
      </w:divBdr>
    </w:div>
    <w:div w:id="737483303">
      <w:bodyDiv w:val="1"/>
      <w:marLeft w:val="0"/>
      <w:marRight w:val="0"/>
      <w:marTop w:val="0"/>
      <w:marBottom w:val="0"/>
      <w:divBdr>
        <w:top w:val="none" w:sz="0" w:space="0" w:color="auto"/>
        <w:left w:val="none" w:sz="0" w:space="0" w:color="auto"/>
        <w:bottom w:val="none" w:sz="0" w:space="0" w:color="auto"/>
        <w:right w:val="none" w:sz="0" w:space="0" w:color="auto"/>
      </w:divBdr>
    </w:div>
    <w:div w:id="74182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uradni-list.si/glasilo-uradni-list-rs/vsebina/2023-01-267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uradni-list.si/glasilo-uradni-list-rs/vsebina/2023-01-2478" TargetMode="External"/><Relationship Id="rId2" Type="http://schemas.openxmlformats.org/officeDocument/2006/relationships/numbering" Target="numbering.xml"/><Relationship Id="rId16" Type="http://schemas.openxmlformats.org/officeDocument/2006/relationships/hyperlink" Target="https://www.uradni-list.si/glasilo-uradni-list-rs/vsebina/2023-01-034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1-01-3971" TargetMode="External"/><Relationship Id="rId10" Type="http://schemas.openxmlformats.org/officeDocument/2006/relationships/hyperlink" Target="http://www.mgts.gov.si" TargetMode="External"/><Relationship Id="rId19" Type="http://schemas.openxmlformats.org/officeDocument/2006/relationships/hyperlink" Target="https://www.uradni-list.si/glasilo-uradni-list-rs/vsebina/2024-01-0694" TargetMode="External"/><Relationship Id="rId4" Type="http://schemas.openxmlformats.org/officeDocument/2006/relationships/settings" Target="settings.xml"/><Relationship Id="rId9" Type="http://schemas.openxmlformats.org/officeDocument/2006/relationships/hyperlink" Target="mailto:gp.mgts@gov.si"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E7A9E-CFCB-4F9A-9D5F-BB7BE98C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4509</Words>
  <Characters>30308</Characters>
  <Application>Microsoft Office Word</Application>
  <DocSecurity>0</DocSecurity>
  <Lines>252</Lines>
  <Paragraphs>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34748</CharactersWithSpaces>
  <SharedDoc>false</SharedDoc>
  <HLinks>
    <vt:vector size="18" baseType="variant">
      <vt:variant>
        <vt:i4>3801180</vt:i4>
      </vt:variant>
      <vt:variant>
        <vt:i4>6</vt:i4>
      </vt:variant>
      <vt:variant>
        <vt:i4>0</vt:i4>
      </vt:variant>
      <vt:variant>
        <vt:i4>5</vt:i4>
      </vt:variant>
      <vt:variant>
        <vt:lpwstr>mailto:Gp.gs@gov.si</vt:lpwstr>
      </vt:variant>
      <vt:variant>
        <vt:lpwstr/>
      </vt: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Barbara Peternelj</dc:creator>
  <cp:lastModifiedBy>Ines Lupše</cp:lastModifiedBy>
  <cp:revision>2</cp:revision>
  <cp:lastPrinted>2024-10-17T08:31:00Z</cp:lastPrinted>
  <dcterms:created xsi:type="dcterms:W3CDTF">2025-05-14T12:22:00Z</dcterms:created>
  <dcterms:modified xsi:type="dcterms:W3CDTF">2025-05-14T12:22:00Z</dcterms:modified>
</cp:coreProperties>
</file>