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031"/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7"/>
        <w:gridCol w:w="892"/>
        <w:gridCol w:w="1136"/>
        <w:gridCol w:w="695"/>
        <w:gridCol w:w="1295"/>
        <w:gridCol w:w="301"/>
        <w:gridCol w:w="385"/>
        <w:gridCol w:w="223"/>
        <w:gridCol w:w="508"/>
        <w:gridCol w:w="1700"/>
      </w:tblGrid>
      <w:tr w:rsidR="00463498" w:rsidRPr="00463498" w14:paraId="5045FF21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971" w14:textId="09D503FD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Številka </w:t>
            </w:r>
            <w:r w:rsidR="000F547B">
              <w:rPr>
                <w:rFonts w:cs="Arial"/>
                <w:szCs w:val="20"/>
                <w:lang w:eastAsia="sl-SI"/>
              </w:rPr>
              <w:t>671-1/2024/12</w:t>
            </w:r>
          </w:p>
        </w:tc>
      </w:tr>
      <w:tr w:rsidR="00463498" w:rsidRPr="00463498" w14:paraId="0A034C6F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  <w:tcBorders>
              <w:top w:val="single" w:sz="4" w:space="0" w:color="auto"/>
            </w:tcBorders>
          </w:tcPr>
          <w:p w14:paraId="28596EFB" w14:textId="2796C1CE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Ljubljana, </w:t>
            </w:r>
            <w:r w:rsidR="000F547B">
              <w:rPr>
                <w:rFonts w:cs="Arial"/>
                <w:szCs w:val="20"/>
                <w:lang w:eastAsia="sl-SI"/>
              </w:rPr>
              <w:t xml:space="preserve">26. februar 2024 </w:t>
            </w:r>
          </w:p>
        </w:tc>
      </w:tr>
      <w:tr w:rsidR="00463498" w:rsidRPr="00463498" w14:paraId="4DD6A625" w14:textId="77777777" w:rsidTr="00463498">
        <w:trPr>
          <w:gridAfter w:val="5"/>
          <w:wAfter w:w="3117" w:type="dxa"/>
        </w:trPr>
        <w:tc>
          <w:tcPr>
            <w:tcW w:w="5954" w:type="dxa"/>
            <w:gridSpan w:val="6"/>
          </w:tcPr>
          <w:p w14:paraId="3B97E91C" w14:textId="4CBEBC31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EVA: </w:t>
            </w:r>
            <w:r w:rsidR="003271C3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463498" w:rsidRPr="00463498" w14:paraId="283A235A" w14:textId="77777777" w:rsidTr="00463498">
        <w:trPr>
          <w:gridAfter w:val="5"/>
          <w:wAfter w:w="3117" w:type="dxa"/>
          <w:trHeight w:val="1007"/>
        </w:trPr>
        <w:tc>
          <w:tcPr>
            <w:tcW w:w="5954" w:type="dxa"/>
            <w:gridSpan w:val="6"/>
          </w:tcPr>
          <w:p w14:paraId="3EB0C484" w14:textId="77777777" w:rsidR="00463498" w:rsidRPr="00B74B0E" w:rsidRDefault="00463498" w:rsidP="00463498">
            <w:pPr>
              <w:widowControl w:val="0"/>
              <w:rPr>
                <w:rFonts w:cs="Arial"/>
                <w:szCs w:val="20"/>
              </w:rPr>
            </w:pPr>
          </w:p>
          <w:p w14:paraId="1E6FC516" w14:textId="77777777" w:rsidR="00463498" w:rsidRPr="00B74B0E" w:rsidRDefault="00463498" w:rsidP="00463498">
            <w:pPr>
              <w:widowControl w:val="0"/>
              <w:rPr>
                <w:rFonts w:cs="Arial"/>
                <w:szCs w:val="20"/>
              </w:rPr>
            </w:pPr>
            <w:r w:rsidRPr="00B74B0E">
              <w:rPr>
                <w:rFonts w:cs="Arial"/>
                <w:szCs w:val="20"/>
              </w:rPr>
              <w:t>GENERALNI SEKRETARIAT VLADE REPUBLIKE SLOVENIJE</w:t>
            </w:r>
          </w:p>
          <w:p w14:paraId="40E89B42" w14:textId="77777777" w:rsidR="00463498" w:rsidRPr="00B74B0E" w:rsidRDefault="000F547B" w:rsidP="00463498">
            <w:pPr>
              <w:widowControl w:val="0"/>
              <w:rPr>
                <w:rFonts w:cs="Arial"/>
                <w:szCs w:val="20"/>
              </w:rPr>
            </w:pPr>
            <w:hyperlink r:id="rId8" w:history="1">
              <w:r w:rsidR="00463498" w:rsidRPr="00B74B0E">
                <w:rPr>
                  <w:rFonts w:cs="Arial"/>
                  <w:color w:val="0000FF"/>
                  <w:szCs w:val="20"/>
                  <w:u w:val="single"/>
                </w:rPr>
                <w:t>gp.gs@gov.si</w:t>
              </w:r>
            </w:hyperlink>
          </w:p>
          <w:p w14:paraId="36990AA5" w14:textId="77777777" w:rsidR="00463498" w:rsidRPr="00463498" w:rsidRDefault="00463498" w:rsidP="00463498">
            <w:pPr>
              <w:widowControl w:val="0"/>
              <w:rPr>
                <w:rFonts w:cs="Arial"/>
                <w:szCs w:val="20"/>
              </w:rPr>
            </w:pPr>
          </w:p>
        </w:tc>
      </w:tr>
      <w:tr w:rsidR="00463498" w:rsidRPr="00463498" w14:paraId="75CBADCD" w14:textId="77777777" w:rsidTr="00463498">
        <w:tc>
          <w:tcPr>
            <w:tcW w:w="9071" w:type="dxa"/>
            <w:gridSpan w:val="11"/>
          </w:tcPr>
          <w:p w14:paraId="596AEB24" w14:textId="1D0FCA7D" w:rsidR="00463498" w:rsidRPr="000F547B" w:rsidRDefault="00463498" w:rsidP="007540C9">
            <w:pPr>
              <w:pStyle w:val="Naslovpredpisa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0F547B">
              <w:rPr>
                <w:b w:val="0"/>
                <w:bCs/>
                <w:sz w:val="20"/>
                <w:szCs w:val="20"/>
              </w:rPr>
              <w:t>ZADEVA:</w:t>
            </w:r>
            <w:r w:rsidRPr="000F547B">
              <w:rPr>
                <w:sz w:val="20"/>
                <w:szCs w:val="20"/>
              </w:rPr>
              <w:t xml:space="preserve"> </w:t>
            </w:r>
            <w:r w:rsidR="007540C9" w:rsidRPr="000F547B">
              <w:rPr>
                <w:sz w:val="20"/>
                <w:szCs w:val="20"/>
              </w:rPr>
              <w:t>Letni načrt za financiranje in sofinanciranje investicij v športno infrastrukturo za let</w:t>
            </w:r>
            <w:r w:rsidR="00D8371F" w:rsidRPr="000F547B">
              <w:rPr>
                <w:sz w:val="20"/>
                <w:szCs w:val="20"/>
              </w:rPr>
              <w:t>o</w:t>
            </w:r>
            <w:r w:rsidR="007540C9" w:rsidRPr="000F547B">
              <w:rPr>
                <w:sz w:val="20"/>
                <w:szCs w:val="20"/>
              </w:rPr>
              <w:t xml:space="preserve"> 2024</w:t>
            </w:r>
            <w:r w:rsidR="00FB2A18" w:rsidRPr="000F547B">
              <w:rPr>
                <w:sz w:val="20"/>
                <w:szCs w:val="20"/>
              </w:rPr>
              <w:t xml:space="preserve"> </w:t>
            </w:r>
            <w:r w:rsidRPr="000F547B">
              <w:rPr>
                <w:sz w:val="20"/>
                <w:szCs w:val="20"/>
              </w:rPr>
              <w:t xml:space="preserve"> </w:t>
            </w:r>
          </w:p>
        </w:tc>
      </w:tr>
      <w:tr w:rsidR="00463498" w:rsidRPr="00463498" w14:paraId="61EEBA5B" w14:textId="77777777" w:rsidTr="00463498">
        <w:tc>
          <w:tcPr>
            <w:tcW w:w="9071" w:type="dxa"/>
            <w:gridSpan w:val="11"/>
          </w:tcPr>
          <w:p w14:paraId="21D776A1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463498" w:rsidRPr="00463498" w14:paraId="5F9CA436" w14:textId="77777777" w:rsidTr="00463498">
        <w:tc>
          <w:tcPr>
            <w:tcW w:w="9071" w:type="dxa"/>
            <w:gridSpan w:val="11"/>
          </w:tcPr>
          <w:p w14:paraId="4473EFAE" w14:textId="082F9FE9" w:rsidR="00713E1B" w:rsidRPr="00E369C7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E369C7">
              <w:rPr>
                <w:rFonts w:cs="Arial"/>
                <w:szCs w:val="20"/>
                <w:lang w:eastAsia="sl-SI"/>
              </w:rPr>
              <w:t xml:space="preserve">Na podlagi </w:t>
            </w:r>
            <w:r w:rsidR="004B4D81">
              <w:rPr>
                <w:rFonts w:cs="Arial"/>
                <w:szCs w:val="20"/>
                <w:lang w:eastAsia="sl-SI"/>
              </w:rPr>
              <w:t>šestega</w:t>
            </w:r>
            <w:r w:rsidRPr="00E369C7">
              <w:rPr>
                <w:rFonts w:cs="Arial"/>
                <w:szCs w:val="20"/>
                <w:lang w:eastAsia="sl-SI"/>
              </w:rPr>
              <w:t xml:space="preserve"> odstavka 2</w:t>
            </w:r>
            <w:r w:rsidR="004B4D81">
              <w:rPr>
                <w:rFonts w:cs="Arial"/>
                <w:szCs w:val="20"/>
                <w:lang w:eastAsia="sl-SI"/>
              </w:rPr>
              <w:t>1</w:t>
            </w:r>
            <w:r w:rsidRPr="00E369C7">
              <w:rPr>
                <w:rFonts w:cs="Arial"/>
                <w:szCs w:val="20"/>
                <w:lang w:eastAsia="sl-SI"/>
              </w:rPr>
              <w:t>. člena Zakona o Vladi Republike Slovenije (</w:t>
            </w:r>
            <w:r w:rsidR="00E369C7">
              <w:t xml:space="preserve"> </w:t>
            </w:r>
            <w:r w:rsidR="00E369C7" w:rsidRPr="00E369C7">
              <w:rPr>
                <w:rFonts w:cs="Arial"/>
                <w:szCs w:val="20"/>
                <w:lang w:eastAsia="sl-SI"/>
              </w:rPr>
              <w:t xml:space="preserve">Uradni list RS, št. 24/05 – uradno prečiščeno besedilo, 109/08, 38/10 – ZUKN, 8/12, 21/13, 47/13 – ZDU-1G, 65/14, 55/17 in </w:t>
            </w:r>
            <w:bookmarkStart w:id="0" w:name="_Hlk147490438"/>
            <w:r w:rsidR="00E369C7" w:rsidRPr="00E369C7">
              <w:rPr>
                <w:rFonts w:cs="Arial"/>
                <w:szCs w:val="20"/>
                <w:lang w:eastAsia="sl-SI"/>
              </w:rPr>
              <w:t>163/22</w:t>
            </w:r>
            <w:bookmarkEnd w:id="0"/>
            <w:r w:rsidRPr="00E369C7">
              <w:rPr>
                <w:rFonts w:cs="Arial"/>
                <w:szCs w:val="20"/>
                <w:lang w:eastAsia="sl-SI"/>
              </w:rPr>
              <w:t xml:space="preserve">) </w:t>
            </w:r>
            <w:r w:rsidR="006D33F1" w:rsidRPr="00902D1A">
              <w:rPr>
                <w:iCs/>
                <w:szCs w:val="20"/>
              </w:rPr>
              <w:t xml:space="preserve">in </w:t>
            </w:r>
            <w:r w:rsidR="006D33F1">
              <w:rPr>
                <w:iCs/>
                <w:szCs w:val="20"/>
              </w:rPr>
              <w:t xml:space="preserve">prvega odstavka </w:t>
            </w:r>
            <w:r w:rsidR="006D33F1" w:rsidRPr="00902D1A">
              <w:rPr>
                <w:iCs/>
                <w:szCs w:val="20"/>
              </w:rPr>
              <w:t xml:space="preserve">3. člena Zakona o zagotavljanju finančnih sredstev za investicije v športno infrastrukturo v Republiki Sloveniji v letih 2023 do 2027 (Uradni list RS, št. 54/22) </w:t>
            </w:r>
            <w:r w:rsidRPr="00E369C7">
              <w:rPr>
                <w:rFonts w:cs="Arial"/>
                <w:szCs w:val="20"/>
                <w:lang w:eastAsia="sl-SI"/>
              </w:rPr>
              <w:t xml:space="preserve">je Vlada Republike Slovenije na ... seji ... sprejela </w:t>
            </w:r>
          </w:p>
          <w:p w14:paraId="191184E4" w14:textId="77777777" w:rsidR="00713E1B" w:rsidRPr="00E369C7" w:rsidRDefault="00713E1B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1E7013EC" w14:textId="7AA33126" w:rsidR="00463498" w:rsidRPr="00E369C7" w:rsidRDefault="00713E1B" w:rsidP="00713E1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E369C7">
              <w:rPr>
                <w:rFonts w:cs="Arial"/>
                <w:szCs w:val="20"/>
                <w:lang w:eastAsia="sl-SI"/>
              </w:rPr>
              <w:t>SKLEP:</w:t>
            </w:r>
          </w:p>
          <w:p w14:paraId="19E6CC7D" w14:textId="77777777" w:rsidR="00272256" w:rsidRPr="00272256" w:rsidRDefault="00272256" w:rsidP="0027225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bookmarkStart w:id="1" w:name="_Hlk152847791"/>
          </w:p>
          <w:p w14:paraId="668C33AD" w14:textId="6436F6D3" w:rsidR="00463498" w:rsidRDefault="00FB2A1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FB2A18">
              <w:rPr>
                <w:rFonts w:cs="Arial"/>
                <w:szCs w:val="20"/>
                <w:lang w:eastAsia="sl-SI"/>
              </w:rPr>
              <w:t xml:space="preserve">Vlada Republike Slovenije je sprejela Letni načrt za financiranje in sofinanciranje investicij v športno infrastrukturo za </w:t>
            </w:r>
            <w:r w:rsidR="00D8371F" w:rsidRPr="00FB2A18">
              <w:rPr>
                <w:rFonts w:cs="Arial"/>
                <w:szCs w:val="20"/>
                <w:lang w:eastAsia="sl-SI"/>
              </w:rPr>
              <w:t>let</w:t>
            </w:r>
            <w:r w:rsidR="00D8371F">
              <w:rPr>
                <w:rFonts w:cs="Arial"/>
                <w:szCs w:val="20"/>
                <w:lang w:eastAsia="sl-SI"/>
              </w:rPr>
              <w:t>o</w:t>
            </w:r>
            <w:r w:rsidR="00D8371F" w:rsidRPr="00FB2A18">
              <w:rPr>
                <w:rFonts w:cs="Arial"/>
                <w:szCs w:val="20"/>
                <w:lang w:eastAsia="sl-SI"/>
              </w:rPr>
              <w:t xml:space="preserve"> </w:t>
            </w:r>
            <w:r w:rsidRPr="00FB2A18">
              <w:rPr>
                <w:rFonts w:cs="Arial"/>
                <w:szCs w:val="20"/>
                <w:lang w:eastAsia="sl-SI"/>
              </w:rPr>
              <w:t>2024</w:t>
            </w:r>
            <w:r w:rsidR="0018186E">
              <w:rPr>
                <w:rFonts w:cs="Arial"/>
                <w:szCs w:val="20"/>
                <w:lang w:eastAsia="sl-SI"/>
              </w:rPr>
              <w:t>.</w:t>
            </w:r>
            <w:bookmarkEnd w:id="1"/>
          </w:p>
          <w:p w14:paraId="0BA36A85" w14:textId="77777777" w:rsidR="000F547B" w:rsidRPr="00463498" w:rsidRDefault="000F547B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2BA7604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      Barbara Kolenko Helbl </w:t>
            </w:r>
          </w:p>
          <w:p w14:paraId="4F250A89" w14:textId="2F65B1A5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                  </w:t>
            </w:r>
            <w:r w:rsidR="004D2A7A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463498">
              <w:rPr>
                <w:rFonts w:cs="Arial"/>
                <w:iCs/>
                <w:szCs w:val="20"/>
                <w:lang w:eastAsia="sl-SI"/>
              </w:rPr>
              <w:t>GENERALNA SEKRETARKA</w:t>
            </w:r>
          </w:p>
          <w:p w14:paraId="5B1210F2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4ED261C6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Sklep prejmejo:</w:t>
            </w:r>
          </w:p>
          <w:p w14:paraId="5C6DD984" w14:textId="1FB7C153" w:rsidR="00463498" w:rsidRDefault="00463498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Ministrstvo za gospodarstvo, turizem in šport</w:t>
            </w:r>
            <w:r w:rsidR="00A34007">
              <w:rPr>
                <w:rFonts w:cs="Arial"/>
                <w:szCs w:val="20"/>
                <w:lang w:eastAsia="sl-SI"/>
              </w:rPr>
              <w:t xml:space="preserve"> </w:t>
            </w:r>
            <w:r w:rsidR="00B465A9">
              <w:rPr>
                <w:rFonts w:cs="Arial"/>
                <w:szCs w:val="20"/>
                <w:lang w:eastAsia="sl-SI"/>
              </w:rPr>
              <w:t>(v nadaljevanju: MGTŠ)</w:t>
            </w:r>
          </w:p>
          <w:p w14:paraId="41BF0BF0" w14:textId="6CFC111C" w:rsidR="00BF25DF" w:rsidRDefault="00BF25DF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Ministrstvo za </w:t>
            </w:r>
            <w:r w:rsidR="00D476EE">
              <w:rPr>
                <w:rFonts w:cs="Arial"/>
                <w:szCs w:val="20"/>
                <w:lang w:eastAsia="sl-SI"/>
              </w:rPr>
              <w:t>finance</w:t>
            </w:r>
          </w:p>
          <w:p w14:paraId="10C26AA1" w14:textId="47249ABC" w:rsidR="00BF25DF" w:rsidRDefault="00BF25DF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Ministrstvo za </w:t>
            </w:r>
            <w:r w:rsidR="00CB6D92">
              <w:rPr>
                <w:rFonts w:cs="Arial"/>
                <w:szCs w:val="20"/>
                <w:lang w:eastAsia="sl-SI"/>
              </w:rPr>
              <w:t>vzgojo in izobraževanje</w:t>
            </w:r>
          </w:p>
          <w:p w14:paraId="581B1F13" w14:textId="46C2CF33" w:rsidR="00CB6D92" w:rsidRPr="00463498" w:rsidRDefault="00CB6D92" w:rsidP="00463498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Ministrstvo za delo, družino, socialne zadeve in enake možnosti</w:t>
            </w:r>
          </w:p>
          <w:p w14:paraId="7D3E71B2" w14:textId="6BB4A921" w:rsidR="009F1CE5" w:rsidRPr="000A5B1E" w:rsidRDefault="00463498" w:rsidP="0037391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Služba Vlade Republike Slovenije za zakonodajo</w:t>
            </w:r>
          </w:p>
        </w:tc>
      </w:tr>
      <w:tr w:rsidR="00463498" w:rsidRPr="00463498" w14:paraId="22459785" w14:textId="77777777" w:rsidTr="00463498">
        <w:tc>
          <w:tcPr>
            <w:tcW w:w="9071" w:type="dxa"/>
            <w:gridSpan w:val="11"/>
          </w:tcPr>
          <w:p w14:paraId="175490D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iCs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463498" w:rsidRPr="00463498" w14:paraId="7EA7364D" w14:textId="77777777" w:rsidTr="00463498">
        <w:tc>
          <w:tcPr>
            <w:tcW w:w="9071" w:type="dxa"/>
            <w:gridSpan w:val="11"/>
          </w:tcPr>
          <w:p w14:paraId="43D5DDB5" w14:textId="774221BD" w:rsidR="00463498" w:rsidRPr="00463498" w:rsidRDefault="00C535F9" w:rsidP="00C535F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/</w:t>
            </w:r>
          </w:p>
        </w:tc>
      </w:tr>
      <w:tr w:rsidR="00463498" w:rsidRPr="00463498" w14:paraId="459E384C" w14:textId="77777777" w:rsidTr="00463498">
        <w:tc>
          <w:tcPr>
            <w:tcW w:w="9071" w:type="dxa"/>
            <w:gridSpan w:val="11"/>
          </w:tcPr>
          <w:p w14:paraId="6FDB281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63498" w:rsidRPr="00463498" w14:paraId="009821AC" w14:textId="77777777" w:rsidTr="00463498">
        <w:trPr>
          <w:trHeight w:val="574"/>
        </w:trPr>
        <w:tc>
          <w:tcPr>
            <w:tcW w:w="9071" w:type="dxa"/>
            <w:gridSpan w:val="11"/>
          </w:tcPr>
          <w:p w14:paraId="4F328FED" w14:textId="069A24BC" w:rsidR="00463498" w:rsidRPr="00463498" w:rsidRDefault="004534F9" w:rsidP="006D33F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mag. Dejan Plastovski</w:t>
            </w:r>
            <w:r w:rsidR="00463498" w:rsidRPr="00463498">
              <w:rPr>
                <w:rFonts w:cs="Arial"/>
                <w:szCs w:val="20"/>
                <w:lang w:eastAsia="sl-SI"/>
              </w:rPr>
              <w:t xml:space="preserve">, </w:t>
            </w:r>
            <w:r w:rsidR="007540C9">
              <w:rPr>
                <w:rFonts w:cs="Arial"/>
                <w:szCs w:val="20"/>
                <w:lang w:eastAsia="sl-SI"/>
              </w:rPr>
              <w:t>generalni direktor</w:t>
            </w:r>
            <w:r w:rsidR="00463498" w:rsidRPr="00463498">
              <w:rPr>
                <w:rFonts w:cs="Arial"/>
                <w:szCs w:val="20"/>
                <w:lang w:eastAsia="sl-SI"/>
              </w:rPr>
              <w:t xml:space="preserve"> Direktorata za šport, </w:t>
            </w:r>
            <w:r w:rsidR="006D33F1">
              <w:rPr>
                <w:rFonts w:cs="Arial"/>
                <w:szCs w:val="20"/>
                <w:lang w:eastAsia="sl-SI"/>
              </w:rPr>
              <w:t>MGTŠ</w:t>
            </w:r>
          </w:p>
          <w:p w14:paraId="527EBDDE" w14:textId="582B6A2A" w:rsidR="00E369C7" w:rsidRDefault="00463498" w:rsidP="006D33F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 xml:space="preserve">Petra Tramte, </w:t>
            </w:r>
            <w:r w:rsidR="007C46B8">
              <w:rPr>
                <w:rFonts w:cs="Arial"/>
                <w:szCs w:val="20"/>
                <w:lang w:eastAsia="sl-SI"/>
              </w:rPr>
              <w:t>v</w:t>
            </w:r>
            <w:r w:rsidRPr="00463498">
              <w:rPr>
                <w:rFonts w:cs="Arial"/>
                <w:szCs w:val="20"/>
                <w:lang w:eastAsia="sl-SI"/>
              </w:rPr>
              <w:t xml:space="preserve">odja </w:t>
            </w:r>
            <w:r w:rsidR="00E369C7">
              <w:rPr>
                <w:rFonts w:cs="Arial"/>
                <w:szCs w:val="20"/>
                <w:lang w:eastAsia="sl-SI"/>
              </w:rPr>
              <w:t>S</w:t>
            </w:r>
            <w:r w:rsidRPr="00463498">
              <w:rPr>
                <w:rFonts w:cs="Arial"/>
                <w:szCs w:val="20"/>
                <w:lang w:eastAsia="sl-SI"/>
              </w:rPr>
              <w:t xml:space="preserve">ektorja za </w:t>
            </w:r>
            <w:r w:rsidR="007C46B8">
              <w:rPr>
                <w:rFonts w:cs="Arial"/>
                <w:szCs w:val="20"/>
                <w:lang w:eastAsia="sl-SI"/>
              </w:rPr>
              <w:t>razvoj</w:t>
            </w:r>
            <w:r w:rsidR="00713E1B">
              <w:rPr>
                <w:rFonts w:cs="Arial"/>
                <w:szCs w:val="20"/>
                <w:lang w:eastAsia="sl-SI"/>
              </w:rPr>
              <w:t xml:space="preserve"> </w:t>
            </w:r>
            <w:r w:rsidR="007540C9">
              <w:rPr>
                <w:rFonts w:cs="Arial"/>
                <w:szCs w:val="20"/>
                <w:lang w:eastAsia="sl-SI"/>
              </w:rPr>
              <w:t xml:space="preserve">in programe </w:t>
            </w:r>
            <w:r w:rsidR="00713E1B">
              <w:rPr>
                <w:rFonts w:cs="Arial"/>
                <w:szCs w:val="20"/>
                <w:lang w:eastAsia="sl-SI"/>
              </w:rPr>
              <w:t>športa, Direktorat za šport</w:t>
            </w:r>
            <w:r w:rsidR="00E369C7">
              <w:rPr>
                <w:rFonts w:cs="Arial"/>
                <w:szCs w:val="20"/>
                <w:lang w:eastAsia="sl-SI"/>
              </w:rPr>
              <w:t>,</w:t>
            </w:r>
            <w:r w:rsidR="006D33F1">
              <w:rPr>
                <w:rFonts w:cs="Arial"/>
                <w:szCs w:val="20"/>
                <w:lang w:eastAsia="sl-SI"/>
              </w:rPr>
              <w:t xml:space="preserve"> MGTŠ</w:t>
            </w:r>
          </w:p>
          <w:p w14:paraId="40963F21" w14:textId="7C7D1BD6" w:rsidR="007540C9" w:rsidRDefault="0009132C" w:rsidP="006D33F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mag. </w:t>
            </w:r>
            <w:r w:rsidR="007540C9">
              <w:rPr>
                <w:rFonts w:cs="Arial"/>
                <w:szCs w:val="20"/>
                <w:lang w:eastAsia="sl-SI"/>
              </w:rPr>
              <w:t>Nastja Kanduč Zupančič, podsekretarka v Sektorju za razvoj in programe športa, Direktorat za šport</w:t>
            </w:r>
            <w:r w:rsidR="006D33F1">
              <w:rPr>
                <w:rFonts w:cs="Arial"/>
                <w:szCs w:val="20"/>
                <w:lang w:eastAsia="sl-SI"/>
              </w:rPr>
              <w:t>, MGTŠ</w:t>
            </w:r>
          </w:p>
          <w:p w14:paraId="607EEEB3" w14:textId="0CC943F0" w:rsidR="00463498" w:rsidRPr="00713E1B" w:rsidRDefault="00E369C7" w:rsidP="006D33F1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Gregor Rankel, podsekretar v Direktoratu za šport</w:t>
            </w:r>
            <w:r w:rsidR="006D33F1">
              <w:rPr>
                <w:rFonts w:cs="Arial"/>
                <w:szCs w:val="20"/>
                <w:lang w:eastAsia="sl-SI"/>
              </w:rPr>
              <w:t>, MGTŠ</w:t>
            </w:r>
            <w:r w:rsidR="00713E1B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463498" w:rsidRPr="00463498" w14:paraId="144134EF" w14:textId="77777777" w:rsidTr="00463498">
        <w:tc>
          <w:tcPr>
            <w:tcW w:w="9071" w:type="dxa"/>
            <w:gridSpan w:val="11"/>
          </w:tcPr>
          <w:p w14:paraId="6750726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463498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463498" w:rsidRPr="00463498" w14:paraId="1B53744E" w14:textId="77777777" w:rsidTr="00463498">
        <w:tc>
          <w:tcPr>
            <w:tcW w:w="9071" w:type="dxa"/>
            <w:gridSpan w:val="11"/>
          </w:tcPr>
          <w:p w14:paraId="23A8BC7B" w14:textId="69EC55DB" w:rsidR="00463498" w:rsidRPr="00463498" w:rsidRDefault="00E369C7" w:rsidP="0046349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60" w:lineRule="atLeast"/>
              <w:contextualSpacing/>
              <w:jc w:val="both"/>
              <w:textAlignment w:val="baseline"/>
              <w:rPr>
                <w:rFonts w:ascii="Times New Roman" w:hAnsi="Times New Roman" w:cs="Arial"/>
                <w:iCs/>
                <w:sz w:val="24"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  <w:lang w:eastAsia="x-none"/>
              </w:rPr>
              <w:t>/</w:t>
            </w:r>
          </w:p>
        </w:tc>
      </w:tr>
      <w:tr w:rsidR="00463498" w:rsidRPr="00463498" w14:paraId="32CF3B1A" w14:textId="77777777" w:rsidTr="00463498">
        <w:tc>
          <w:tcPr>
            <w:tcW w:w="9071" w:type="dxa"/>
            <w:gridSpan w:val="11"/>
          </w:tcPr>
          <w:p w14:paraId="6BA1A1F6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463498" w:rsidRPr="00463498" w14:paraId="77B8F71D" w14:textId="77777777" w:rsidTr="00463498">
        <w:tc>
          <w:tcPr>
            <w:tcW w:w="9071" w:type="dxa"/>
            <w:gridSpan w:val="11"/>
          </w:tcPr>
          <w:p w14:paraId="5664E52E" w14:textId="730BD188" w:rsidR="00463498" w:rsidRPr="00463498" w:rsidRDefault="004B4D81" w:rsidP="00463498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hanging="357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  <w:r w:rsidR="00713E1B">
              <w:rPr>
                <w:rFonts w:cs="Arial"/>
                <w:szCs w:val="20"/>
                <w:lang w:eastAsia="sl-SI"/>
              </w:rPr>
              <w:t xml:space="preserve">  </w:t>
            </w:r>
            <w:r w:rsidR="00240AD5">
              <w:rPr>
                <w:rFonts w:cs="Arial"/>
                <w:szCs w:val="20"/>
                <w:lang w:eastAsia="sl-SI"/>
              </w:rPr>
              <w:t xml:space="preserve"> </w:t>
            </w:r>
          </w:p>
        </w:tc>
      </w:tr>
      <w:tr w:rsidR="00463498" w:rsidRPr="00463498" w14:paraId="35F7FC4C" w14:textId="77777777" w:rsidTr="00463498">
        <w:tc>
          <w:tcPr>
            <w:tcW w:w="9071" w:type="dxa"/>
            <w:gridSpan w:val="11"/>
          </w:tcPr>
          <w:p w14:paraId="0DED18D6" w14:textId="77777777" w:rsidR="00463498" w:rsidRPr="00713E1B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 w:rsidRPr="00713E1B">
              <w:rPr>
                <w:rFonts w:cs="Arial"/>
                <w:b/>
                <w:szCs w:val="20"/>
                <w:lang w:eastAsia="x-none"/>
              </w:rPr>
              <w:t xml:space="preserve">5. Kratek povzetek gradiva: </w:t>
            </w:r>
          </w:p>
          <w:p w14:paraId="52BDACA2" w14:textId="67936AEE" w:rsidR="00463498" w:rsidRDefault="007540C9" w:rsidP="00487008">
            <w:pPr>
              <w:widowControl w:val="0"/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 xml:space="preserve">Zakon </w:t>
            </w:r>
            <w:r w:rsidRPr="007540C9">
              <w:rPr>
                <w:rFonts w:cs="Arial"/>
                <w:bCs/>
                <w:szCs w:val="20"/>
                <w:lang w:eastAsia="x-none"/>
              </w:rPr>
              <w:t>o zagotavljanju finančnih sredstev za investicije v športno infrastrukturo v Republiki Sloveniji v letih od 2023 do 2027</w:t>
            </w:r>
            <w:r>
              <w:rPr>
                <w:rFonts w:cs="Arial"/>
                <w:bCs/>
                <w:szCs w:val="20"/>
                <w:lang w:eastAsia="x-none"/>
              </w:rPr>
              <w:t xml:space="preserve"> (</w:t>
            </w:r>
            <w:r w:rsidR="00BD4978" w:rsidRPr="00BD4978">
              <w:rPr>
                <w:rFonts w:cs="Arial"/>
                <w:bCs/>
                <w:szCs w:val="20"/>
                <w:lang w:eastAsia="x-none"/>
              </w:rPr>
              <w:t>Uradni list RS, št. 54/22</w:t>
            </w:r>
            <w:r w:rsidR="00BD4978">
              <w:rPr>
                <w:rFonts w:cs="Arial"/>
                <w:bCs/>
                <w:szCs w:val="20"/>
                <w:lang w:eastAsia="x-none"/>
              </w:rPr>
              <w:t xml:space="preserve">; v nadaljevanju: </w:t>
            </w:r>
            <w:r>
              <w:rPr>
                <w:rFonts w:cs="Arial"/>
                <w:bCs/>
                <w:szCs w:val="20"/>
                <w:lang w:eastAsia="x-none"/>
              </w:rPr>
              <w:t>ZFSŠI27) določa, da Vlada Republike Slovenije z letnim načrtom, ki ga sprejme najkasneje do 31. marca v tekočem letu, opredeli prioritetna področja za financiranje in sofinanciranje investicij v športno infrastrukturo.</w:t>
            </w:r>
          </w:p>
          <w:p w14:paraId="4CD63D4E" w14:textId="16161E05" w:rsidR="002455AA" w:rsidRDefault="002455AA" w:rsidP="00487008">
            <w:pPr>
              <w:widowControl w:val="0"/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>Predlog letnega načrta predvideva štiri prioritetna področja financiranja in sofinanciranja investicij v športno infrastrukturo, in sicer:</w:t>
            </w:r>
          </w:p>
          <w:p w14:paraId="698A564B" w14:textId="75B747FF" w:rsidR="002455AA" w:rsidRDefault="002455AA" w:rsidP="002455AA">
            <w:pPr>
              <w:pStyle w:val="Odstavekseznama"/>
              <w:widowControl w:val="0"/>
              <w:numPr>
                <w:ilvl w:val="0"/>
                <w:numId w:val="27"/>
              </w:numPr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>obnova, novogradnja in rekonstrukcija javnih športnih objektov,</w:t>
            </w:r>
          </w:p>
          <w:p w14:paraId="13520597" w14:textId="1E79813F" w:rsidR="002455AA" w:rsidRDefault="002455AA" w:rsidP="002455AA">
            <w:pPr>
              <w:pStyle w:val="Odstavekseznama"/>
              <w:widowControl w:val="0"/>
              <w:numPr>
                <w:ilvl w:val="0"/>
                <w:numId w:val="27"/>
              </w:numPr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lastRenderedPageBreak/>
              <w:t>posodobitev ali vzpostavitev novih</w:t>
            </w:r>
            <w:r w:rsidR="00DB0E65">
              <w:rPr>
                <w:rFonts w:cs="Arial"/>
                <w:bCs/>
                <w:szCs w:val="20"/>
                <w:lang w:eastAsia="x-none"/>
              </w:rPr>
              <w:t xml:space="preserve"> zunanjih športnih površin</w:t>
            </w:r>
            <w:r>
              <w:rPr>
                <w:rFonts w:cs="Arial"/>
                <w:bCs/>
                <w:szCs w:val="20"/>
                <w:lang w:eastAsia="x-none"/>
              </w:rPr>
              <w:t>,</w:t>
            </w:r>
          </w:p>
          <w:p w14:paraId="56A28D0E" w14:textId="2B8C69EC" w:rsidR="002455AA" w:rsidRDefault="002455AA" w:rsidP="002455AA">
            <w:pPr>
              <w:pStyle w:val="Odstavekseznama"/>
              <w:widowControl w:val="0"/>
              <w:numPr>
                <w:ilvl w:val="0"/>
                <w:numId w:val="27"/>
              </w:numPr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 xml:space="preserve">ureditev dostopnosti do javnih športnih objektov za funkcionalno ovirane in </w:t>
            </w:r>
          </w:p>
          <w:p w14:paraId="44C842CC" w14:textId="437AE77A" w:rsidR="002455AA" w:rsidRPr="00373914" w:rsidRDefault="00441FE0" w:rsidP="00373914">
            <w:pPr>
              <w:pStyle w:val="Odstavekseznama"/>
              <w:widowControl w:val="0"/>
              <w:numPr>
                <w:ilvl w:val="0"/>
                <w:numId w:val="27"/>
              </w:numPr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>protipoplavna in proti plazovna zaščita športnih objektov.</w:t>
            </w:r>
          </w:p>
          <w:p w14:paraId="428CFDF8" w14:textId="188D873B" w:rsidR="003B5BD8" w:rsidRPr="00463498" w:rsidRDefault="007540C9" w:rsidP="00487008">
            <w:pPr>
              <w:widowControl w:val="0"/>
              <w:spacing w:line="240" w:lineRule="auto"/>
              <w:jc w:val="both"/>
              <w:rPr>
                <w:rFonts w:cs="Arial"/>
                <w:bCs/>
                <w:szCs w:val="20"/>
                <w:lang w:eastAsia="x-none"/>
              </w:rPr>
            </w:pPr>
            <w:r>
              <w:rPr>
                <w:rFonts w:cs="Arial"/>
                <w:bCs/>
                <w:szCs w:val="20"/>
                <w:lang w:eastAsia="x-none"/>
              </w:rPr>
              <w:t>MGTŠ je pripravilo predlog letnega načrta, na podlagi katerega bo v skladu z ZFSŠI27 objavilo javni razpis za sofinanciranje investicij</w:t>
            </w:r>
            <w:r w:rsidR="003B5BD8">
              <w:rPr>
                <w:rFonts w:cs="Arial"/>
                <w:bCs/>
                <w:szCs w:val="20"/>
                <w:lang w:eastAsia="x-none"/>
              </w:rPr>
              <w:t>, na katerem bo mogoče kandidirati tudi s projekti, ki bodo zaključeni v letu 2025 in so za ta namen zagotovljena sredstva tudi v proračunu za leto 2025</w:t>
            </w:r>
            <w:r>
              <w:rPr>
                <w:rFonts w:cs="Arial"/>
                <w:bCs/>
                <w:szCs w:val="20"/>
                <w:lang w:eastAsia="x-none"/>
              </w:rPr>
              <w:t>.</w:t>
            </w:r>
          </w:p>
        </w:tc>
      </w:tr>
      <w:tr w:rsidR="00463498" w:rsidRPr="00463498" w14:paraId="30C18BB7" w14:textId="77777777" w:rsidTr="00463498">
        <w:tc>
          <w:tcPr>
            <w:tcW w:w="9071" w:type="dxa"/>
            <w:gridSpan w:val="11"/>
          </w:tcPr>
          <w:p w14:paraId="74A9CA44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 w:rsidRPr="00463498">
              <w:rPr>
                <w:rFonts w:cs="Arial"/>
                <w:b/>
                <w:szCs w:val="20"/>
                <w:lang w:eastAsia="x-none"/>
              </w:rPr>
              <w:lastRenderedPageBreak/>
              <w:t>6. Presoja posledic za:</w:t>
            </w:r>
          </w:p>
        </w:tc>
      </w:tr>
      <w:tr w:rsidR="00463498" w:rsidRPr="00463498" w14:paraId="59AC00EE" w14:textId="77777777" w:rsidTr="00463498">
        <w:tc>
          <w:tcPr>
            <w:tcW w:w="1419" w:type="dxa"/>
          </w:tcPr>
          <w:p w14:paraId="0C19C36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8"/>
          </w:tcPr>
          <w:p w14:paraId="5368EFD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7BC54319" w14:textId="4334FF60" w:rsidR="00463498" w:rsidRPr="00463498" w:rsidRDefault="00837CEB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DA</w:t>
            </w:r>
          </w:p>
        </w:tc>
      </w:tr>
      <w:tr w:rsidR="00463498" w:rsidRPr="00463498" w14:paraId="7DF2BB89" w14:textId="77777777" w:rsidTr="00463498">
        <w:tc>
          <w:tcPr>
            <w:tcW w:w="1419" w:type="dxa"/>
          </w:tcPr>
          <w:p w14:paraId="36AC8533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8"/>
          </w:tcPr>
          <w:p w14:paraId="137ECE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02B53D06" w14:textId="6335ED20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5197E23B" w14:textId="77777777" w:rsidTr="00463498">
        <w:tc>
          <w:tcPr>
            <w:tcW w:w="1419" w:type="dxa"/>
          </w:tcPr>
          <w:p w14:paraId="641164F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8"/>
          </w:tcPr>
          <w:p w14:paraId="0A5C362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0E96FDEB" w14:textId="2332A679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0BC618B5" w14:textId="77777777" w:rsidTr="00463498">
        <w:tc>
          <w:tcPr>
            <w:tcW w:w="1419" w:type="dxa"/>
          </w:tcPr>
          <w:p w14:paraId="4ACEE4A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8"/>
          </w:tcPr>
          <w:p w14:paraId="7E278242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gospodarstvo, zlasti</w:t>
            </w:r>
            <w:r w:rsidRPr="00463498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4CBD0DC5" w14:textId="3F6FECC4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0C637115" w14:textId="77777777" w:rsidTr="00463498">
        <w:tc>
          <w:tcPr>
            <w:tcW w:w="1419" w:type="dxa"/>
          </w:tcPr>
          <w:p w14:paraId="49AE9EEF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8"/>
          </w:tcPr>
          <w:p w14:paraId="4B1426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5F063671" w14:textId="540E3221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6FD37505" w14:textId="77777777" w:rsidTr="00463498">
        <w:tc>
          <w:tcPr>
            <w:tcW w:w="1419" w:type="dxa"/>
          </w:tcPr>
          <w:p w14:paraId="5DF5F8E9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8"/>
          </w:tcPr>
          <w:p w14:paraId="405AEB0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7AF6F9A0" w14:textId="56C72A68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463498" w:rsidRPr="00463498" w14:paraId="6FC59483" w14:textId="77777777" w:rsidTr="00463498">
        <w:tc>
          <w:tcPr>
            <w:tcW w:w="1419" w:type="dxa"/>
            <w:tcBorders>
              <w:bottom w:val="single" w:sz="4" w:space="0" w:color="auto"/>
            </w:tcBorders>
          </w:tcPr>
          <w:p w14:paraId="1E3D317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8"/>
            <w:tcBorders>
              <w:bottom w:val="single" w:sz="4" w:space="0" w:color="auto"/>
            </w:tcBorders>
          </w:tcPr>
          <w:p w14:paraId="2C9E4977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14:paraId="4F752169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5B8FA869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13CBA3C" w14:textId="77777777" w:rsidR="00463498" w:rsidRPr="00463498" w:rsidRDefault="00463498" w:rsidP="00463498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63498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01C14D78" w14:textId="682AB712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56BEEE8C" w14:textId="77777777" w:rsidTr="00463498"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DF9" w14:textId="77777777" w:rsidR="00463498" w:rsidRPr="004B4D81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x-none"/>
              </w:rPr>
            </w:pPr>
            <w:r w:rsidRPr="004B4D81">
              <w:rPr>
                <w:rFonts w:cs="Arial"/>
                <w:b/>
                <w:szCs w:val="20"/>
                <w:lang w:eastAsia="x-none"/>
              </w:rPr>
              <w:t>7.a Predstavitev ocene finančnih posledic nad 40.000 EUR: /</w:t>
            </w:r>
          </w:p>
        </w:tc>
      </w:tr>
      <w:tr w:rsidR="00463498" w:rsidRPr="00463498" w14:paraId="1F072C8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D24753" w14:textId="77777777" w:rsidR="00463498" w:rsidRPr="004B4D81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b/>
                <w:kern w:val="32"/>
                <w:szCs w:val="20"/>
                <w:lang w:eastAsia="x-none"/>
              </w:rPr>
              <w:t>I. Ocena finančnih posledic, ki niso načrtovane v sprejetem proračunu</w:t>
            </w:r>
          </w:p>
        </w:tc>
      </w:tr>
      <w:tr w:rsidR="00463498" w:rsidRPr="00463498" w14:paraId="04626876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D69" w14:textId="77777777" w:rsidR="00463498" w:rsidRPr="004B4D81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FD8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Tekoče leto (t)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DE1F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1E21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425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t + 3</w:t>
            </w:r>
          </w:p>
        </w:tc>
      </w:tr>
      <w:tr w:rsidR="00463498" w:rsidRPr="00463498" w14:paraId="577D8E94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240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19C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17C6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F96C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CB0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E0F9B83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9A50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AAB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8763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9EC7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2E0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0FA3789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5CB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EDF" w14:textId="1C3BDFE8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6EB4" w14:textId="48AB5FA5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EC98" w14:textId="03AC4C13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123" w14:textId="0208B4AD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</w:tr>
      <w:tr w:rsidR="00463498" w:rsidRPr="00463498" w14:paraId="5005527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B4B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512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1CD" w14:textId="77777777" w:rsidR="00463498" w:rsidRPr="004B4D81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C47" w14:textId="03EF2ADB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96" w14:textId="094BBEA5" w:rsidR="00463498" w:rsidRPr="004B4D81" w:rsidRDefault="004B4D81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B4D81">
              <w:rPr>
                <w:rFonts w:cs="Arial"/>
                <w:szCs w:val="20"/>
              </w:rPr>
              <w:t>/</w:t>
            </w:r>
          </w:p>
        </w:tc>
      </w:tr>
      <w:tr w:rsidR="00463498" w:rsidRPr="00463498" w14:paraId="1D4DF55E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4A8" w14:textId="77777777" w:rsidR="00463498" w:rsidRPr="004B4D81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4B4D81">
              <w:rPr>
                <w:rFonts w:cs="Arial"/>
                <w:bCs/>
                <w:szCs w:val="20"/>
              </w:rPr>
              <w:t>Predvideno povečanje (+) ali zmanjšanje (</w:t>
            </w:r>
            <w:r w:rsidRPr="004B4D81">
              <w:rPr>
                <w:rFonts w:cs="Arial"/>
                <w:szCs w:val="20"/>
              </w:rPr>
              <w:t>–</w:t>
            </w:r>
            <w:r w:rsidRPr="004B4D8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0F49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FE8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FB2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664" w14:textId="77777777" w:rsidR="00463498" w:rsidRPr="004B4D81" w:rsidRDefault="00463498" w:rsidP="00463498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4CC89FE3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CAE539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 Finančne posledice za državni proračun</w:t>
            </w:r>
          </w:p>
        </w:tc>
      </w:tr>
      <w:tr w:rsidR="00463498" w:rsidRPr="00463498" w14:paraId="772368B4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AA9BAF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II.a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Pravice porabe za izvedbo predlaganih rešitev so zagotovljene:</w:t>
            </w:r>
          </w:p>
        </w:tc>
      </w:tr>
      <w:tr w:rsidR="00463498" w:rsidRPr="00463498" w14:paraId="1763602F" w14:textId="77777777" w:rsidTr="00A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5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D31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87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C04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7DC2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 + 1</w:t>
            </w:r>
          </w:p>
        </w:tc>
      </w:tr>
      <w:tr w:rsidR="00463498" w:rsidRPr="00463498" w14:paraId="3FAE038D" w14:textId="77777777" w:rsidTr="00A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358" w14:textId="5E839469" w:rsidR="00463498" w:rsidRPr="004B4D81" w:rsidRDefault="00D4394C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B4D81">
              <w:rPr>
                <w:rFonts w:cs="Arial"/>
                <w:kern w:val="32"/>
                <w:szCs w:val="20"/>
                <w:lang w:eastAsia="x-none"/>
              </w:rPr>
              <w:t>Ministrstvo za gospodarstvo, turizem in šport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09E" w14:textId="08899F47" w:rsidR="00463498" w:rsidRPr="00C15CA1" w:rsidRDefault="000A5B1E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>
              <w:rPr>
                <w:rFonts w:cs="Arial"/>
                <w:kern w:val="32"/>
                <w:szCs w:val="20"/>
                <w:lang w:eastAsia="x-none"/>
              </w:rPr>
              <w:t>3311-07-0034</w:t>
            </w:r>
            <w:r w:rsidR="00861176">
              <w:rPr>
                <w:rFonts w:cs="Arial"/>
                <w:kern w:val="32"/>
                <w:szCs w:val="20"/>
                <w:lang w:eastAsia="x-none"/>
              </w:rPr>
              <w:t xml:space="preserve"> Izgradnja mreže športne infrastrukture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B95" w14:textId="22B02D27" w:rsidR="00463498" w:rsidRPr="00C15CA1" w:rsidRDefault="00CB4FF3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>
              <w:rPr>
                <w:rFonts w:cs="Arial"/>
                <w:kern w:val="32"/>
                <w:szCs w:val="20"/>
                <w:lang w:eastAsia="x-none"/>
              </w:rPr>
              <w:t>231695 – Investicije v športno infrastrukturo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954" w14:textId="5BC0FA26" w:rsidR="00463498" w:rsidRPr="00C15CA1" w:rsidRDefault="00A123BD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>
              <w:rPr>
                <w:rFonts w:cs="Arial"/>
                <w:kern w:val="32"/>
                <w:szCs w:val="20"/>
                <w:lang w:eastAsia="x-none"/>
              </w:rPr>
              <w:t>22.418.787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26E" w14:textId="15495A80" w:rsidR="00463498" w:rsidRPr="00C15CA1" w:rsidRDefault="00A123BD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>
              <w:rPr>
                <w:rFonts w:cs="Arial"/>
                <w:kern w:val="32"/>
                <w:szCs w:val="20"/>
                <w:lang w:eastAsia="x-none"/>
              </w:rPr>
              <w:t>10.000.000</w:t>
            </w:r>
          </w:p>
        </w:tc>
      </w:tr>
      <w:tr w:rsidR="00A123BD" w:rsidRPr="00463498" w14:paraId="6DF3D417" w14:textId="77777777" w:rsidTr="00373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FAE" w14:textId="77777777" w:rsidR="00A123BD" w:rsidRPr="00463498" w:rsidRDefault="00A123BD" w:rsidP="00A123B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EC8" w14:textId="3A219A0C" w:rsidR="00A123BD" w:rsidRPr="00463498" w:rsidRDefault="00A123BD" w:rsidP="00A123BD">
            <w:pPr>
              <w:widowControl w:val="0"/>
              <w:rPr>
                <w:rFonts w:cs="Arial"/>
                <w:b/>
                <w:szCs w:val="20"/>
              </w:rPr>
            </w:pPr>
            <w:r w:rsidRPr="00975FF1">
              <w:t>22.418.787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DD2" w14:textId="361F8505" w:rsidR="00A123BD" w:rsidRPr="00463498" w:rsidRDefault="00A123BD" w:rsidP="00A123BD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975FF1">
              <w:t>10.000.000</w:t>
            </w:r>
          </w:p>
        </w:tc>
      </w:tr>
      <w:tr w:rsidR="00463498" w:rsidRPr="00463498" w14:paraId="601D95D2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1C560A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lastRenderedPageBreak/>
              <w:t>II.b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Manjkajoče pravice porabe bodo zagotovljene s prerazporeditvijo:</w:t>
            </w:r>
          </w:p>
        </w:tc>
      </w:tr>
      <w:tr w:rsidR="00463498" w:rsidRPr="00463498" w14:paraId="23DD9FAA" w14:textId="77777777" w:rsidTr="00A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179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649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481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55D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C16" w14:textId="77777777" w:rsidR="00463498" w:rsidRPr="00463498" w:rsidRDefault="00463498" w:rsidP="00463498">
            <w:pPr>
              <w:widowControl w:val="0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 xml:space="preserve">Znesek za t + 1 </w:t>
            </w:r>
          </w:p>
        </w:tc>
      </w:tr>
      <w:tr w:rsidR="00463498" w:rsidRPr="00463498" w14:paraId="7ECF771B" w14:textId="77777777" w:rsidTr="00A75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9B0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E35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94D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E2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34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E513D85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F7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125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2F4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0AA9404F" w14:textId="77777777" w:rsidTr="00463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B1D79B" w14:textId="77777777" w:rsidR="00463498" w:rsidRPr="00463498" w:rsidRDefault="00463498" w:rsidP="00463498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proofErr w:type="spellStart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II.c</w:t>
            </w:r>
            <w:proofErr w:type="spellEnd"/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 xml:space="preserve"> Načrtovana nadomestitev zmanjšanih prihodkov in povečanih odhodkov proračuna:</w:t>
            </w:r>
          </w:p>
        </w:tc>
      </w:tr>
      <w:tr w:rsidR="00463498" w:rsidRPr="00463498" w14:paraId="5C0CBE38" w14:textId="77777777" w:rsidTr="0009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8DD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Novi prihodki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58AC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95C6" w14:textId="77777777" w:rsidR="00463498" w:rsidRPr="00463498" w:rsidRDefault="00463498" w:rsidP="0046349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63498">
              <w:rPr>
                <w:rFonts w:cs="Arial"/>
                <w:szCs w:val="20"/>
              </w:rPr>
              <w:t>Znesek za t + 1</w:t>
            </w:r>
          </w:p>
        </w:tc>
      </w:tr>
      <w:tr w:rsidR="00463498" w:rsidRPr="00463498" w14:paraId="516B043C" w14:textId="77777777" w:rsidTr="0009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BFC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DD67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4BA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3821E470" w14:textId="77777777" w:rsidTr="00091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246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SKUPAJ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E0E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9285" w14:textId="77777777" w:rsidR="00463498" w:rsidRPr="00463498" w:rsidRDefault="00463498" w:rsidP="00463498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eastAsia="x-none"/>
              </w:rPr>
            </w:pPr>
            <w:r w:rsidRPr="00463498">
              <w:rPr>
                <w:rFonts w:cs="Arial"/>
                <w:b/>
                <w:kern w:val="32"/>
                <w:szCs w:val="20"/>
                <w:lang w:eastAsia="x-none"/>
              </w:rPr>
              <w:t>/</w:t>
            </w:r>
          </w:p>
        </w:tc>
      </w:tr>
      <w:tr w:rsidR="00463498" w:rsidRPr="00463498" w14:paraId="7D9D4BA4" w14:textId="77777777" w:rsidTr="00463498">
        <w:trPr>
          <w:trHeight w:val="991"/>
        </w:trPr>
        <w:tc>
          <w:tcPr>
            <w:tcW w:w="9071" w:type="dxa"/>
            <w:gridSpan w:val="11"/>
          </w:tcPr>
          <w:p w14:paraId="07457ABA" w14:textId="77777777" w:rsidR="00463498" w:rsidRPr="000F547B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</w:p>
          <w:p w14:paraId="0F81E37A" w14:textId="77777777" w:rsidR="00463498" w:rsidRPr="000F547B" w:rsidRDefault="00463498" w:rsidP="00463498">
            <w:pPr>
              <w:widowControl w:val="0"/>
              <w:rPr>
                <w:rFonts w:cs="Arial"/>
                <w:bCs/>
                <w:szCs w:val="20"/>
              </w:rPr>
            </w:pPr>
            <w:r w:rsidRPr="000F547B">
              <w:rPr>
                <w:rFonts w:cs="Arial"/>
                <w:bCs/>
                <w:szCs w:val="20"/>
              </w:rPr>
              <w:t>OBRAZLOŽITEV:</w:t>
            </w:r>
          </w:p>
          <w:p w14:paraId="050071C0" w14:textId="77777777" w:rsidR="00463498" w:rsidRPr="000F547B" w:rsidRDefault="00463498" w:rsidP="00463498">
            <w:pPr>
              <w:widowControl w:val="0"/>
              <w:numPr>
                <w:ilvl w:val="0"/>
                <w:numId w:val="1"/>
              </w:numPr>
              <w:spacing w:line="260" w:lineRule="atLeast"/>
              <w:ind w:left="284" w:hanging="284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0F547B">
              <w:rPr>
                <w:rFonts w:cs="Arial"/>
                <w:bCs/>
                <w:szCs w:val="20"/>
                <w:lang w:eastAsia="sl-SI"/>
              </w:rPr>
              <w:t>Ocena finančnih posledic, ki niso načrtovane v sprejetem proračunu</w:t>
            </w:r>
          </w:p>
          <w:p w14:paraId="7D188F97" w14:textId="77777777" w:rsidR="00463498" w:rsidRPr="000F547B" w:rsidRDefault="00463498" w:rsidP="00463498">
            <w:pPr>
              <w:widowControl w:val="0"/>
              <w:ind w:left="418"/>
              <w:jc w:val="both"/>
              <w:rPr>
                <w:rFonts w:cs="Arial"/>
                <w:bCs/>
                <w:szCs w:val="20"/>
              </w:rPr>
            </w:pPr>
          </w:p>
          <w:p w14:paraId="32498094" w14:textId="77777777" w:rsidR="00463498" w:rsidRPr="000F547B" w:rsidRDefault="00463498" w:rsidP="00463498">
            <w:pPr>
              <w:widowControl w:val="0"/>
              <w:numPr>
                <w:ilvl w:val="0"/>
                <w:numId w:val="1"/>
              </w:numPr>
              <w:spacing w:line="260" w:lineRule="atLeast"/>
              <w:ind w:left="284" w:hanging="284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0F547B">
              <w:rPr>
                <w:rFonts w:cs="Arial"/>
                <w:bCs/>
                <w:szCs w:val="20"/>
                <w:lang w:eastAsia="sl-SI"/>
              </w:rPr>
              <w:t xml:space="preserve">Finančne posledice za državni proračun: </w:t>
            </w:r>
          </w:p>
          <w:p w14:paraId="48D676D2" w14:textId="77777777" w:rsidR="00463498" w:rsidRPr="000F547B" w:rsidRDefault="00463498" w:rsidP="00463498">
            <w:pPr>
              <w:spacing w:line="240" w:lineRule="auto"/>
              <w:ind w:left="284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14:paraId="669933F3" w14:textId="77777777" w:rsidR="00463498" w:rsidRPr="000F547B" w:rsidRDefault="00463498" w:rsidP="00463498">
            <w:pPr>
              <w:widowControl w:val="0"/>
              <w:ind w:left="720"/>
              <w:jc w:val="both"/>
              <w:rPr>
                <w:rFonts w:cs="Arial"/>
                <w:bCs/>
                <w:szCs w:val="20"/>
                <w:lang w:eastAsia="sl-SI"/>
              </w:rPr>
            </w:pPr>
            <w:proofErr w:type="spellStart"/>
            <w:r w:rsidRPr="000F547B">
              <w:rPr>
                <w:rFonts w:cs="Arial"/>
                <w:bCs/>
                <w:szCs w:val="20"/>
                <w:lang w:eastAsia="sl-SI"/>
              </w:rPr>
              <w:t>II.a</w:t>
            </w:r>
            <w:proofErr w:type="spellEnd"/>
            <w:r w:rsidRPr="000F547B">
              <w:rPr>
                <w:rFonts w:cs="Arial"/>
                <w:bCs/>
                <w:szCs w:val="20"/>
                <w:lang w:eastAsia="sl-SI"/>
              </w:rPr>
              <w:t xml:space="preserve"> Pravice porabe za izvedbo predlaganih rešitev so zagotovljene: </w:t>
            </w:r>
          </w:p>
          <w:p w14:paraId="1E6ACD11" w14:textId="77777777" w:rsidR="00463498" w:rsidRPr="000F547B" w:rsidRDefault="00463498" w:rsidP="00463498">
            <w:pPr>
              <w:widowControl w:val="0"/>
              <w:ind w:left="720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0F547B">
              <w:rPr>
                <w:rFonts w:cs="Arial"/>
                <w:bCs/>
                <w:szCs w:val="20"/>
                <w:lang w:eastAsia="sl-SI"/>
              </w:rPr>
              <w:t xml:space="preserve">       /</w:t>
            </w:r>
          </w:p>
          <w:p w14:paraId="0249CC36" w14:textId="77777777" w:rsidR="00463498" w:rsidRPr="000F547B" w:rsidRDefault="00463498" w:rsidP="00463498">
            <w:pPr>
              <w:widowControl w:val="0"/>
              <w:ind w:left="714"/>
              <w:jc w:val="both"/>
              <w:rPr>
                <w:rFonts w:cs="Arial"/>
                <w:bCs/>
                <w:szCs w:val="20"/>
                <w:lang w:eastAsia="sl-SI"/>
              </w:rPr>
            </w:pPr>
            <w:proofErr w:type="spellStart"/>
            <w:r w:rsidRPr="000F547B">
              <w:rPr>
                <w:rFonts w:cs="Arial"/>
                <w:bCs/>
                <w:szCs w:val="20"/>
                <w:lang w:eastAsia="sl-SI"/>
              </w:rPr>
              <w:t>II.b</w:t>
            </w:r>
            <w:proofErr w:type="spellEnd"/>
            <w:r w:rsidRPr="000F547B">
              <w:rPr>
                <w:rFonts w:cs="Arial"/>
                <w:bCs/>
                <w:szCs w:val="20"/>
                <w:lang w:eastAsia="sl-SI"/>
              </w:rPr>
              <w:t xml:space="preserve"> Manjkajoče pravice porabe bodo zagotovljene s prerazporeditvijo: </w:t>
            </w:r>
          </w:p>
          <w:p w14:paraId="642BEE95" w14:textId="77777777" w:rsidR="00463498" w:rsidRPr="000F547B" w:rsidRDefault="00463498" w:rsidP="00463498">
            <w:pPr>
              <w:widowControl w:val="0"/>
              <w:ind w:left="714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0F547B">
              <w:rPr>
                <w:rFonts w:cs="Arial"/>
                <w:bCs/>
                <w:szCs w:val="20"/>
                <w:lang w:eastAsia="sl-SI"/>
              </w:rPr>
              <w:t xml:space="preserve">       /</w:t>
            </w:r>
          </w:p>
          <w:p w14:paraId="046CC877" w14:textId="77777777" w:rsidR="00463498" w:rsidRPr="000F547B" w:rsidRDefault="00463498" w:rsidP="00463498">
            <w:pPr>
              <w:widowControl w:val="0"/>
              <w:ind w:left="701"/>
              <w:jc w:val="both"/>
              <w:rPr>
                <w:rFonts w:cs="Arial"/>
                <w:bCs/>
                <w:szCs w:val="20"/>
                <w:lang w:eastAsia="sl-SI"/>
              </w:rPr>
            </w:pPr>
            <w:proofErr w:type="spellStart"/>
            <w:r w:rsidRPr="000F547B">
              <w:rPr>
                <w:rFonts w:cs="Arial"/>
                <w:bCs/>
                <w:szCs w:val="20"/>
                <w:lang w:eastAsia="sl-SI"/>
              </w:rPr>
              <w:t>II.c</w:t>
            </w:r>
            <w:proofErr w:type="spellEnd"/>
            <w:r w:rsidRPr="000F547B">
              <w:rPr>
                <w:rFonts w:cs="Arial"/>
                <w:bCs/>
                <w:szCs w:val="20"/>
                <w:lang w:eastAsia="sl-SI"/>
              </w:rPr>
              <w:t xml:space="preserve"> Načrtovana nadomestitev zmanjšanih prihodkov in povečanih odhodkov proračuna: </w:t>
            </w:r>
          </w:p>
          <w:p w14:paraId="5C532AC9" w14:textId="77777777" w:rsidR="00463498" w:rsidRPr="000F547B" w:rsidRDefault="00463498" w:rsidP="00463498">
            <w:pPr>
              <w:widowControl w:val="0"/>
              <w:ind w:left="714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0F547B">
              <w:rPr>
                <w:rFonts w:cs="Arial"/>
                <w:bCs/>
                <w:szCs w:val="20"/>
                <w:lang w:eastAsia="sl-SI"/>
              </w:rPr>
              <w:t xml:space="preserve">       /</w:t>
            </w:r>
          </w:p>
        </w:tc>
      </w:tr>
      <w:tr w:rsidR="00463498" w:rsidRPr="00463498" w14:paraId="565B2F0F" w14:textId="77777777" w:rsidTr="00463498">
        <w:trPr>
          <w:trHeight w:val="553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BEA1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E7CD744" w14:textId="6EA3CFE8" w:rsidR="00463498" w:rsidRPr="00463498" w:rsidRDefault="00A123BD" w:rsidP="0046349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3"/>
              <w:rPr>
                <w:rFonts w:cs="Arial"/>
                <w:szCs w:val="20"/>
                <w:lang w:eastAsia="x-none"/>
              </w:rPr>
            </w:pPr>
            <w:r>
              <w:rPr>
                <w:rFonts w:cs="Arial"/>
                <w:szCs w:val="20"/>
                <w:lang w:eastAsia="x-none"/>
              </w:rPr>
              <w:t>/</w:t>
            </w:r>
          </w:p>
        </w:tc>
      </w:tr>
      <w:tr w:rsidR="00463498" w:rsidRPr="00463498" w14:paraId="5CC02E20" w14:textId="77777777" w:rsidTr="00463498">
        <w:trPr>
          <w:trHeight w:val="371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26BF" w14:textId="77777777" w:rsidR="00463498" w:rsidRPr="00463498" w:rsidRDefault="00463498" w:rsidP="00463498">
            <w:pPr>
              <w:widowControl w:val="0"/>
              <w:rPr>
                <w:rFonts w:cs="Arial"/>
                <w:b/>
                <w:szCs w:val="20"/>
              </w:rPr>
            </w:pPr>
            <w:r w:rsidRPr="00463498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63498" w:rsidRPr="00463498" w14:paraId="1058CF52" w14:textId="77777777" w:rsidTr="00463498">
        <w:tc>
          <w:tcPr>
            <w:tcW w:w="6640" w:type="dxa"/>
            <w:gridSpan w:val="8"/>
          </w:tcPr>
          <w:p w14:paraId="53B65911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1583D10C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7CF7741A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3C2DF2DF" w14:textId="77777777" w:rsidR="00463498" w:rsidRPr="00463498" w:rsidRDefault="00463498" w:rsidP="00463498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atLeast"/>
              <w:ind w:left="418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49CB1E5E" w14:textId="56214B9C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463498" w:rsidRPr="00463498" w14:paraId="73C56386" w14:textId="77777777" w:rsidTr="00463498">
        <w:trPr>
          <w:trHeight w:val="274"/>
        </w:trPr>
        <w:tc>
          <w:tcPr>
            <w:tcW w:w="9071" w:type="dxa"/>
            <w:gridSpan w:val="11"/>
          </w:tcPr>
          <w:p w14:paraId="3A16481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03D88941" w14:textId="565E8DD1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25162F7F" w14:textId="04736538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Združenju občin Slovenije ZOS: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5F28ED68" w14:textId="59FEC419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463498">
              <w:rPr>
                <w:rFonts w:cs="Arial"/>
                <w:b/>
                <w:szCs w:val="20"/>
                <w:lang w:eastAsia="sl-SI"/>
              </w:rPr>
              <w:t>NE</w:t>
            </w:r>
          </w:p>
          <w:p w14:paraId="4028998E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7097B034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064FB002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A1FEC9B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75C4D2C4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1AD6AEF4" w14:textId="77777777" w:rsidR="00463498" w:rsidRPr="00463498" w:rsidRDefault="00463498" w:rsidP="004634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60" w:lineRule="atLeas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390282F5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3066D350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Bistveni predlogi in pripombe, ki niso bili upoštevani: /</w:t>
            </w:r>
          </w:p>
        </w:tc>
      </w:tr>
      <w:tr w:rsidR="00463498" w:rsidRPr="00463498" w14:paraId="5B5F58E1" w14:textId="77777777" w:rsidTr="00463498">
        <w:tc>
          <w:tcPr>
            <w:tcW w:w="9071" w:type="dxa"/>
            <w:gridSpan w:val="11"/>
            <w:vAlign w:val="center"/>
          </w:tcPr>
          <w:p w14:paraId="7688061C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463498" w:rsidRPr="00463498" w14:paraId="35EC333D" w14:textId="77777777" w:rsidTr="00463498">
        <w:tc>
          <w:tcPr>
            <w:tcW w:w="6640" w:type="dxa"/>
            <w:gridSpan w:val="8"/>
          </w:tcPr>
          <w:p w14:paraId="73E1A18D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1FF9B0E" w14:textId="6CE1D327" w:rsidR="00463498" w:rsidRPr="00714DBF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14DBF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463498" w:rsidRPr="00463498" w14:paraId="2685421A" w14:textId="77777777" w:rsidTr="00463498">
        <w:tc>
          <w:tcPr>
            <w:tcW w:w="6640" w:type="dxa"/>
            <w:gridSpan w:val="8"/>
            <w:vAlign w:val="center"/>
          </w:tcPr>
          <w:p w14:paraId="45B3EA1E" w14:textId="07675343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222953EC" w14:textId="16D50C0E" w:rsidR="00463498" w:rsidRPr="00714DBF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14DBF">
              <w:rPr>
                <w:rFonts w:cs="Arial"/>
                <w:iCs/>
                <w:szCs w:val="20"/>
                <w:lang w:eastAsia="sl-SI"/>
              </w:rPr>
              <w:t>NE</w:t>
            </w:r>
          </w:p>
        </w:tc>
      </w:tr>
      <w:tr w:rsidR="00463498" w:rsidRPr="00463498" w14:paraId="3A8CDF6C" w14:textId="77777777" w:rsidTr="00463498">
        <w:tc>
          <w:tcPr>
            <w:tcW w:w="6640" w:type="dxa"/>
            <w:gridSpan w:val="8"/>
            <w:vAlign w:val="center"/>
          </w:tcPr>
          <w:p w14:paraId="6145B037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498626D7" w14:textId="56CD33D1" w:rsidR="00463498" w:rsidRPr="004B4D81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4B4D81">
              <w:rPr>
                <w:rFonts w:cs="Arial"/>
                <w:bCs/>
                <w:szCs w:val="20"/>
                <w:lang w:eastAsia="sl-SI"/>
              </w:rPr>
              <w:t>NE</w:t>
            </w:r>
          </w:p>
        </w:tc>
      </w:tr>
      <w:tr w:rsidR="00463498" w:rsidRPr="00463498" w14:paraId="144B9DB0" w14:textId="77777777" w:rsidTr="00463498">
        <w:trPr>
          <w:trHeight w:val="878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97E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14:paraId="1B6726A6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>Matjaž Han</w:t>
            </w:r>
          </w:p>
          <w:p w14:paraId="5F4279E8" w14:textId="77777777" w:rsidR="00463498" w:rsidRPr="00463498" w:rsidRDefault="00463498" w:rsidP="00463498">
            <w:pPr>
              <w:widowControl w:val="0"/>
              <w:overflowPunct w:val="0"/>
              <w:autoSpaceDE w:val="0"/>
              <w:autoSpaceDN w:val="0"/>
              <w:adjustRightInd w:val="0"/>
              <w:ind w:left="4954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463498">
              <w:rPr>
                <w:rFonts w:cs="Arial"/>
                <w:b/>
                <w:szCs w:val="20"/>
                <w:lang w:eastAsia="sl-SI"/>
              </w:rPr>
              <w:t xml:space="preserve">  minister</w:t>
            </w:r>
          </w:p>
        </w:tc>
      </w:tr>
    </w:tbl>
    <w:p w14:paraId="2CB245CC" w14:textId="77777777" w:rsidR="00463498" w:rsidRPr="00463498" w:rsidRDefault="00463498" w:rsidP="00463498">
      <w:pPr>
        <w:spacing w:line="240" w:lineRule="auto"/>
        <w:rPr>
          <w:rFonts w:cs="Arial"/>
          <w:szCs w:val="20"/>
          <w:lang w:eastAsia="sl-SI"/>
        </w:rPr>
      </w:pPr>
      <w:r w:rsidRPr="00463498">
        <w:rPr>
          <w:rFonts w:cs="Arial"/>
          <w:b/>
          <w:szCs w:val="20"/>
          <w:lang w:val="en-US"/>
        </w:rPr>
        <w:br w:type="page"/>
      </w:r>
    </w:p>
    <w:p w14:paraId="06D984F9" w14:textId="51516A16" w:rsidR="00A04B9B" w:rsidRDefault="00A04B9B" w:rsidP="00A04B9B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lastRenderedPageBreak/>
        <w:t>PREDLOG SKLEPA</w:t>
      </w:r>
    </w:p>
    <w:p w14:paraId="61ABA6AE" w14:textId="77777777" w:rsidR="000F547B" w:rsidRDefault="000F547B" w:rsidP="00A04B9B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cs="Arial"/>
          <w:b/>
          <w:bCs/>
          <w:szCs w:val="20"/>
          <w:lang w:eastAsia="sl-SI"/>
        </w:rPr>
      </w:pPr>
    </w:p>
    <w:p w14:paraId="0637EAEB" w14:textId="77777777" w:rsidR="000F547B" w:rsidRPr="00A04B9B" w:rsidRDefault="000F547B" w:rsidP="00A04B9B">
      <w:pPr>
        <w:suppressAutoHyphens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cs="Arial"/>
          <w:b/>
          <w:bCs/>
          <w:szCs w:val="20"/>
          <w:lang w:eastAsia="sl-SI"/>
        </w:rPr>
      </w:pPr>
    </w:p>
    <w:p w14:paraId="4E2C7FCC" w14:textId="5DE697FC" w:rsidR="00463498" w:rsidRDefault="00463498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  <w:lang w:eastAsia="sl-SI"/>
        </w:rPr>
        <w:t xml:space="preserve">Na podlagi </w:t>
      </w:r>
      <w:r w:rsidR="004B4D81">
        <w:rPr>
          <w:rFonts w:cs="Arial"/>
          <w:szCs w:val="20"/>
          <w:lang w:eastAsia="sl-SI"/>
        </w:rPr>
        <w:t>šestega</w:t>
      </w:r>
      <w:r w:rsidRPr="00463498">
        <w:rPr>
          <w:rFonts w:cs="Arial"/>
          <w:szCs w:val="20"/>
          <w:lang w:eastAsia="sl-SI"/>
        </w:rPr>
        <w:t xml:space="preserve"> odstavka 2</w:t>
      </w:r>
      <w:r w:rsidR="004B4D81">
        <w:rPr>
          <w:rFonts w:cs="Arial"/>
          <w:szCs w:val="20"/>
          <w:lang w:eastAsia="sl-SI"/>
        </w:rPr>
        <w:t>1</w:t>
      </w:r>
      <w:r w:rsidRPr="00463498">
        <w:rPr>
          <w:rFonts w:cs="Arial"/>
          <w:szCs w:val="20"/>
          <w:lang w:eastAsia="sl-SI"/>
        </w:rPr>
        <w:t>. člena Zakona o Vladi Republike Slovenije (Uradni list RS, št. 24/05 – uradno prečiščeno besedilo, 109/08, 38/10 – ZUKN, 8/12, 21/13, 47/13 – ZDU-1G, 65/14</w:t>
      </w:r>
      <w:r w:rsidR="00D86614">
        <w:rPr>
          <w:rFonts w:cs="Arial"/>
          <w:szCs w:val="20"/>
          <w:lang w:eastAsia="sl-SI"/>
        </w:rPr>
        <w:t>,</w:t>
      </w:r>
      <w:r w:rsidRPr="00463498">
        <w:rPr>
          <w:rFonts w:cs="Arial"/>
          <w:szCs w:val="20"/>
          <w:lang w:eastAsia="sl-SI"/>
        </w:rPr>
        <w:t xml:space="preserve"> 55/17</w:t>
      </w:r>
      <w:r w:rsidR="00D86614">
        <w:rPr>
          <w:rFonts w:cs="Arial"/>
          <w:szCs w:val="20"/>
          <w:lang w:eastAsia="sl-SI"/>
        </w:rPr>
        <w:t xml:space="preserve"> in </w:t>
      </w:r>
      <w:r w:rsidR="00D86614" w:rsidRPr="00D86614">
        <w:rPr>
          <w:rFonts w:cs="Arial"/>
          <w:szCs w:val="20"/>
          <w:lang w:eastAsia="sl-SI"/>
        </w:rPr>
        <w:t>163/22</w:t>
      </w:r>
      <w:r w:rsidRPr="00463498">
        <w:rPr>
          <w:rFonts w:cs="Arial"/>
          <w:szCs w:val="20"/>
          <w:lang w:eastAsia="sl-SI"/>
        </w:rPr>
        <w:t xml:space="preserve">) </w:t>
      </w:r>
      <w:r w:rsidR="00441FE0" w:rsidRPr="00902D1A">
        <w:rPr>
          <w:iCs/>
          <w:szCs w:val="20"/>
        </w:rPr>
        <w:t xml:space="preserve">in </w:t>
      </w:r>
      <w:r w:rsidR="00441FE0">
        <w:rPr>
          <w:iCs/>
          <w:szCs w:val="20"/>
        </w:rPr>
        <w:t xml:space="preserve">prvega odstavka </w:t>
      </w:r>
      <w:r w:rsidR="00441FE0" w:rsidRPr="00902D1A">
        <w:rPr>
          <w:iCs/>
          <w:szCs w:val="20"/>
        </w:rPr>
        <w:t>3. člena Zakona o zagotavljanju finančnih sredstev za investicije v športno infrastrukturo v Republiki Sloveniji v letih 2023 do 2027 (Uradni list RS, št. 54/22)</w:t>
      </w:r>
      <w:r w:rsidR="00441FE0">
        <w:rPr>
          <w:iCs/>
          <w:szCs w:val="20"/>
        </w:rPr>
        <w:t xml:space="preserve"> </w:t>
      </w:r>
      <w:r w:rsidRPr="00463498">
        <w:rPr>
          <w:rFonts w:cs="Arial"/>
          <w:szCs w:val="20"/>
          <w:lang w:eastAsia="sl-SI"/>
        </w:rPr>
        <w:t xml:space="preserve">je Vlada Republike Slovenije na …. </w:t>
      </w:r>
      <w:r w:rsidR="00BD4978" w:rsidRPr="00463498">
        <w:rPr>
          <w:rFonts w:cs="Arial"/>
          <w:szCs w:val="20"/>
          <w:lang w:eastAsia="sl-SI"/>
        </w:rPr>
        <w:t>S</w:t>
      </w:r>
      <w:r w:rsidRPr="00463498">
        <w:rPr>
          <w:rFonts w:cs="Arial"/>
          <w:szCs w:val="20"/>
          <w:lang w:eastAsia="sl-SI"/>
        </w:rPr>
        <w:t xml:space="preserve">eji … </w:t>
      </w:r>
      <w:r w:rsidR="009F1CE5">
        <w:rPr>
          <w:rFonts w:cs="Arial"/>
          <w:szCs w:val="20"/>
          <w:lang w:eastAsia="sl-SI"/>
        </w:rPr>
        <w:t xml:space="preserve">pod točko … </w:t>
      </w:r>
      <w:r w:rsidRPr="00463498">
        <w:rPr>
          <w:rFonts w:cs="Arial"/>
          <w:szCs w:val="20"/>
          <w:lang w:eastAsia="sl-SI"/>
        </w:rPr>
        <w:t xml:space="preserve">sprejela </w:t>
      </w:r>
    </w:p>
    <w:p w14:paraId="2B1DC2F2" w14:textId="759397A1" w:rsidR="00713E1B" w:rsidRDefault="00713E1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17ACDA52" w14:textId="77777777" w:rsidR="000F547B" w:rsidRDefault="000F547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05983064" w14:textId="77777777" w:rsidR="000F547B" w:rsidRDefault="000F547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A2CEB22" w14:textId="5B3E1D63" w:rsidR="00713E1B" w:rsidRDefault="00713E1B" w:rsidP="00722D2E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3D5E76F5" w14:textId="77777777" w:rsidR="00713E1B" w:rsidRPr="00463498" w:rsidRDefault="00713E1B" w:rsidP="00722D2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  <w:lang w:eastAsia="sl-SI"/>
        </w:rPr>
        <w:t>SKLEP:</w:t>
      </w:r>
    </w:p>
    <w:p w14:paraId="6C067103" w14:textId="3F2879E3" w:rsidR="00713E1B" w:rsidRDefault="00713E1B" w:rsidP="00722D2E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  <w:lang w:eastAsia="sl-SI"/>
        </w:rPr>
      </w:pPr>
    </w:p>
    <w:p w14:paraId="6FC1623F" w14:textId="4D6796D1" w:rsidR="00272256" w:rsidRPr="00272256" w:rsidRDefault="007540C9" w:rsidP="00272256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szCs w:val="20"/>
          <w:lang w:eastAsia="sl-SI"/>
        </w:rPr>
      </w:pPr>
      <w:r w:rsidRPr="007540C9">
        <w:rPr>
          <w:rFonts w:cs="Arial"/>
          <w:szCs w:val="20"/>
          <w:lang w:eastAsia="sl-SI"/>
        </w:rPr>
        <w:t xml:space="preserve">Vlada Republike Slovenije je sprejela Letni načrt za financiranje in sofinanciranje investicij v športno infrastrukturo za </w:t>
      </w:r>
      <w:r w:rsidR="0018186E">
        <w:rPr>
          <w:rFonts w:cs="Arial"/>
          <w:szCs w:val="20"/>
          <w:lang w:eastAsia="sl-SI"/>
        </w:rPr>
        <w:t>let</w:t>
      </w:r>
      <w:r w:rsidR="00D8371F">
        <w:rPr>
          <w:rFonts w:cs="Arial"/>
          <w:szCs w:val="20"/>
          <w:lang w:eastAsia="sl-SI"/>
        </w:rPr>
        <w:t>o</w:t>
      </w:r>
      <w:r w:rsidR="0018186E">
        <w:rPr>
          <w:rFonts w:cs="Arial"/>
          <w:szCs w:val="20"/>
          <w:lang w:eastAsia="sl-SI"/>
        </w:rPr>
        <w:t xml:space="preserve"> 2024</w:t>
      </w:r>
      <w:r w:rsidRPr="007540C9">
        <w:rPr>
          <w:rFonts w:cs="Arial"/>
          <w:szCs w:val="20"/>
          <w:lang w:eastAsia="sl-SI"/>
        </w:rPr>
        <w:t>.</w:t>
      </w:r>
    </w:p>
    <w:p w14:paraId="47A6047D" w14:textId="77777777" w:rsidR="00463498" w:rsidRDefault="00463498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50E7C2C6" w14:textId="77777777" w:rsidR="000F547B" w:rsidRDefault="000F547B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2635E9A1" w14:textId="77777777" w:rsidR="000F547B" w:rsidRPr="00463498" w:rsidRDefault="000F547B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470711B7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ind w:firstLine="4287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 xml:space="preserve">   Barbara Kolenko Helbl </w:t>
      </w:r>
    </w:p>
    <w:p w14:paraId="753F7F4E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ind w:firstLine="4287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>GENERALNA SEKRETARKA</w:t>
      </w:r>
    </w:p>
    <w:p w14:paraId="2003CDC5" w14:textId="77777777" w:rsidR="00463498" w:rsidRDefault="00463498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5A139A52" w14:textId="77777777" w:rsidR="000F547B" w:rsidRDefault="000F547B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45FBF9C1" w14:textId="77777777" w:rsidR="000F547B" w:rsidRDefault="000F547B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6FF67567" w14:textId="77777777" w:rsidR="000F547B" w:rsidRPr="00463498" w:rsidRDefault="000F547B" w:rsidP="00722D2E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2"/>
        <w:rPr>
          <w:rFonts w:cs="Arial"/>
          <w:iCs/>
          <w:szCs w:val="20"/>
          <w:lang w:eastAsia="sl-SI"/>
        </w:rPr>
      </w:pPr>
    </w:p>
    <w:p w14:paraId="26D06C63" w14:textId="77777777" w:rsidR="00463498" w:rsidRPr="00463498" w:rsidRDefault="00463498" w:rsidP="00722D2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iCs/>
          <w:szCs w:val="20"/>
          <w:lang w:eastAsia="sl-SI"/>
        </w:rPr>
      </w:pPr>
      <w:r w:rsidRPr="00463498">
        <w:rPr>
          <w:rFonts w:cs="Arial"/>
          <w:iCs/>
          <w:szCs w:val="20"/>
          <w:lang w:eastAsia="sl-SI"/>
        </w:rPr>
        <w:t>Prejmejo:</w:t>
      </w:r>
    </w:p>
    <w:p w14:paraId="7C08615A" w14:textId="3DA30CB6" w:rsidR="00463498" w:rsidRPr="00463498" w:rsidRDefault="00463498" w:rsidP="00722D2E">
      <w:pPr>
        <w:numPr>
          <w:ilvl w:val="0"/>
          <w:numId w:val="8"/>
        </w:numPr>
        <w:spacing w:line="276" w:lineRule="auto"/>
        <w:rPr>
          <w:rFonts w:cs="Arial"/>
          <w:szCs w:val="20"/>
        </w:rPr>
      </w:pPr>
      <w:r w:rsidRPr="00463498">
        <w:rPr>
          <w:rFonts w:cs="Arial"/>
          <w:szCs w:val="20"/>
          <w:lang w:eastAsia="sl-SI"/>
        </w:rPr>
        <w:t xml:space="preserve">Ministrstvo za gospodarstvo, turizem in šport, </w:t>
      </w:r>
    </w:p>
    <w:p w14:paraId="147515DC" w14:textId="0F4AA894" w:rsidR="004B4D81" w:rsidRDefault="004B4D81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Ministrstvo za </w:t>
      </w:r>
      <w:r w:rsidR="00D476EE">
        <w:rPr>
          <w:rFonts w:cs="Arial"/>
          <w:szCs w:val="20"/>
          <w:lang w:eastAsia="sl-SI"/>
        </w:rPr>
        <w:t>finance</w:t>
      </w:r>
      <w:r>
        <w:rPr>
          <w:rFonts w:cs="Arial"/>
          <w:szCs w:val="20"/>
          <w:lang w:eastAsia="sl-SI"/>
        </w:rPr>
        <w:t>,</w:t>
      </w:r>
    </w:p>
    <w:p w14:paraId="55E2E5C4" w14:textId="64C0CF0A" w:rsidR="004B4D81" w:rsidRDefault="004B4D81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vzgojo in izobraževanje,</w:t>
      </w:r>
    </w:p>
    <w:p w14:paraId="4CC66ED0" w14:textId="49E7CBFA" w:rsidR="00CB6D92" w:rsidRDefault="00CB6D92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Ministrstvo za delo, družino, socialne zadeve in enake možnosti,</w:t>
      </w:r>
    </w:p>
    <w:p w14:paraId="57510113" w14:textId="0F361674" w:rsidR="009F1CE5" w:rsidRDefault="00463498" w:rsidP="00722D2E">
      <w:pPr>
        <w:numPr>
          <w:ilvl w:val="0"/>
          <w:numId w:val="8"/>
        </w:numPr>
        <w:spacing w:line="276" w:lineRule="auto"/>
        <w:rPr>
          <w:rFonts w:cs="Arial"/>
          <w:szCs w:val="20"/>
          <w:lang w:eastAsia="sl-SI"/>
        </w:rPr>
      </w:pPr>
      <w:r w:rsidRPr="00463498">
        <w:rPr>
          <w:rFonts w:cs="Arial"/>
          <w:szCs w:val="20"/>
        </w:rPr>
        <w:t>S</w:t>
      </w:r>
      <w:r w:rsidRPr="00463498">
        <w:rPr>
          <w:rFonts w:cs="Arial"/>
          <w:szCs w:val="20"/>
          <w:lang w:eastAsia="sl-SI"/>
        </w:rPr>
        <w:t>lužba Vlade Republike Slovenije za zakonodajo</w:t>
      </w:r>
      <w:r w:rsidR="004B4D81">
        <w:rPr>
          <w:rFonts w:cs="Arial"/>
          <w:szCs w:val="20"/>
          <w:lang w:eastAsia="sl-SI"/>
        </w:rPr>
        <w:t>.</w:t>
      </w:r>
    </w:p>
    <w:p w14:paraId="52538AB7" w14:textId="51EF1ADC" w:rsidR="00463498" w:rsidRPr="004B4D81" w:rsidRDefault="00463498" w:rsidP="004B4D81">
      <w:pPr>
        <w:spacing w:line="276" w:lineRule="auto"/>
        <w:ind w:left="360"/>
        <w:rPr>
          <w:rFonts w:cs="Arial"/>
          <w:szCs w:val="20"/>
          <w:lang w:eastAsia="sl-SI"/>
        </w:rPr>
      </w:pPr>
    </w:p>
    <w:p w14:paraId="69FD7AD3" w14:textId="77777777" w:rsidR="00463498" w:rsidRPr="00463498" w:rsidRDefault="00463498" w:rsidP="00713E1B">
      <w:pPr>
        <w:spacing w:line="360" w:lineRule="auto"/>
        <w:rPr>
          <w:rFonts w:cs="Arial"/>
          <w:szCs w:val="20"/>
          <w:lang w:val="en-US"/>
        </w:rPr>
      </w:pPr>
    </w:p>
    <w:p w14:paraId="3C5DE385" w14:textId="77777777" w:rsidR="00463498" w:rsidRPr="00463498" w:rsidRDefault="00463498" w:rsidP="00713E1B">
      <w:pPr>
        <w:spacing w:line="360" w:lineRule="auto"/>
        <w:rPr>
          <w:rFonts w:cs="Arial"/>
          <w:szCs w:val="20"/>
          <w:lang w:val="en-US"/>
        </w:rPr>
      </w:pPr>
    </w:p>
    <w:p w14:paraId="7111BB70" w14:textId="77777777" w:rsidR="00FA3CAC" w:rsidRPr="00FA3CAC" w:rsidRDefault="00463498" w:rsidP="00FA3CAC">
      <w:pPr>
        <w:jc w:val="center"/>
        <w:rPr>
          <w:rFonts w:eastAsiaTheme="minorHAnsi" w:cs="Arial"/>
          <w:b/>
          <w:bCs/>
          <w:szCs w:val="20"/>
        </w:rPr>
      </w:pPr>
      <w:r w:rsidRPr="00463498">
        <w:rPr>
          <w:rFonts w:cs="Arial"/>
          <w:b/>
          <w:szCs w:val="20"/>
          <w:lang w:val="en-US" w:eastAsia="sl-SI"/>
        </w:rPr>
        <w:br w:type="page"/>
      </w:r>
      <w:r w:rsidR="00FA3CAC" w:rsidRPr="00FA3CAC">
        <w:rPr>
          <w:rFonts w:eastAsiaTheme="minorHAnsi" w:cs="Arial"/>
          <w:b/>
          <w:bCs/>
          <w:szCs w:val="20"/>
        </w:rPr>
        <w:lastRenderedPageBreak/>
        <w:t>Letni načrt</w:t>
      </w:r>
    </w:p>
    <w:p w14:paraId="1F9D38F8" w14:textId="493FA1D9" w:rsidR="00BD4978" w:rsidRDefault="00FA3CAC" w:rsidP="00FA3CAC">
      <w:pPr>
        <w:spacing w:line="259" w:lineRule="auto"/>
        <w:jc w:val="center"/>
        <w:rPr>
          <w:rFonts w:eastAsiaTheme="minorHAnsi" w:cs="Arial"/>
          <w:b/>
          <w:bCs/>
          <w:szCs w:val="20"/>
        </w:rPr>
      </w:pPr>
      <w:r w:rsidRPr="00FA3CAC">
        <w:rPr>
          <w:rFonts w:eastAsiaTheme="minorHAnsi" w:cs="Arial"/>
          <w:b/>
          <w:bCs/>
          <w:szCs w:val="20"/>
        </w:rPr>
        <w:t>za financiranje in sofinanciranje investicij v športno infrastrukturo za let</w:t>
      </w:r>
      <w:r w:rsidR="00441FE0">
        <w:rPr>
          <w:rFonts w:eastAsiaTheme="minorHAnsi" w:cs="Arial"/>
          <w:b/>
          <w:bCs/>
          <w:szCs w:val="20"/>
        </w:rPr>
        <w:t>o</w:t>
      </w:r>
      <w:r w:rsidRPr="00FA3CAC">
        <w:rPr>
          <w:rFonts w:eastAsiaTheme="minorHAnsi" w:cs="Arial"/>
          <w:b/>
          <w:bCs/>
          <w:szCs w:val="20"/>
        </w:rPr>
        <w:t xml:space="preserve"> 2024</w:t>
      </w:r>
    </w:p>
    <w:p w14:paraId="06F2F71B" w14:textId="31FE6E86" w:rsidR="00CD0B08" w:rsidRDefault="00CD0B08" w:rsidP="00FA3CAC">
      <w:pPr>
        <w:spacing w:line="259" w:lineRule="auto"/>
        <w:jc w:val="center"/>
        <w:rPr>
          <w:rFonts w:eastAsiaTheme="minorHAnsi" w:cs="Arial"/>
          <w:b/>
          <w:bCs/>
          <w:szCs w:val="20"/>
        </w:rPr>
      </w:pPr>
    </w:p>
    <w:p w14:paraId="4681CB20" w14:textId="2F227175" w:rsidR="00BD4978" w:rsidRPr="004F2728" w:rsidRDefault="00FA3CAC" w:rsidP="00BD4978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FA3CAC">
        <w:rPr>
          <w:rFonts w:eastAsiaTheme="minorHAnsi" w:cs="Arial"/>
          <w:szCs w:val="20"/>
        </w:rPr>
        <w:t xml:space="preserve">Na podlagi prvega odstavka 3. člena </w:t>
      </w:r>
      <w:r w:rsidR="00536E28" w:rsidRPr="00536E28">
        <w:rPr>
          <w:rFonts w:eastAsiaTheme="minorHAnsi" w:cs="Arial"/>
          <w:szCs w:val="20"/>
        </w:rPr>
        <w:t>Zakona o zagotavljanju finančnih sredstev za investicije v športno infrastrukturo v Republiki Sloveniji v letih od 2023 do 2027</w:t>
      </w:r>
      <w:r w:rsidR="00CB1A69">
        <w:rPr>
          <w:rFonts w:eastAsiaTheme="minorHAnsi" w:cs="Arial"/>
          <w:szCs w:val="20"/>
        </w:rPr>
        <w:t xml:space="preserve"> </w:t>
      </w:r>
      <w:r w:rsidR="00CB1A69">
        <w:rPr>
          <w:rFonts w:cs="Arial"/>
          <w:bCs/>
          <w:szCs w:val="20"/>
          <w:lang w:eastAsia="x-none"/>
        </w:rPr>
        <w:t>(</w:t>
      </w:r>
      <w:r w:rsidR="00BD4978" w:rsidRPr="00BD4978">
        <w:rPr>
          <w:rFonts w:cs="Arial"/>
          <w:bCs/>
          <w:szCs w:val="20"/>
          <w:lang w:eastAsia="x-none"/>
        </w:rPr>
        <w:t>Uradni list RS, št. 54/22</w:t>
      </w:r>
      <w:r w:rsidR="00BD4978">
        <w:rPr>
          <w:rFonts w:cs="Arial"/>
          <w:bCs/>
          <w:szCs w:val="20"/>
          <w:lang w:eastAsia="x-none"/>
        </w:rPr>
        <w:t xml:space="preserve">; v </w:t>
      </w:r>
      <w:r w:rsidR="007C0B19">
        <w:rPr>
          <w:rFonts w:cs="Arial"/>
          <w:bCs/>
          <w:szCs w:val="20"/>
          <w:lang w:eastAsia="x-none"/>
        </w:rPr>
        <w:t>nadaljnjem besedilu</w:t>
      </w:r>
      <w:r w:rsidR="00BD4978">
        <w:rPr>
          <w:rFonts w:cs="Arial"/>
          <w:bCs/>
          <w:szCs w:val="20"/>
          <w:lang w:eastAsia="x-none"/>
        </w:rPr>
        <w:t xml:space="preserve">: </w:t>
      </w:r>
      <w:r w:rsidR="00CB1A69">
        <w:rPr>
          <w:rFonts w:cs="Arial"/>
          <w:bCs/>
          <w:szCs w:val="20"/>
          <w:lang w:eastAsia="x-none"/>
        </w:rPr>
        <w:t xml:space="preserve">ZFSŠI27) </w:t>
      </w:r>
      <w:r w:rsidRPr="00FA3CAC">
        <w:rPr>
          <w:rFonts w:eastAsiaTheme="minorHAnsi" w:cs="Arial"/>
          <w:szCs w:val="20"/>
        </w:rPr>
        <w:t xml:space="preserve">Vlada Republike Slovenije z letnim načrtom, ki ga sprejme najkasneje do 31. marca v tekočem letu, opredeli prioritetna področja za financiranje in sofinanciranje investicij v športno </w:t>
      </w:r>
      <w:r w:rsidRPr="00235ACC">
        <w:rPr>
          <w:rFonts w:eastAsiaTheme="minorHAnsi" w:cs="Arial"/>
          <w:szCs w:val="20"/>
        </w:rPr>
        <w:t>infrastrukturo</w:t>
      </w:r>
      <w:r w:rsidR="002174EC" w:rsidRPr="00235ACC">
        <w:rPr>
          <w:rFonts w:eastAsiaTheme="minorHAnsi" w:cs="Arial"/>
          <w:szCs w:val="20"/>
        </w:rPr>
        <w:t>.</w:t>
      </w:r>
      <w:r w:rsidR="00536E28" w:rsidRPr="00235ACC">
        <w:rPr>
          <w:rFonts w:eastAsiaTheme="minorHAnsi" w:cs="Arial"/>
          <w:szCs w:val="20"/>
        </w:rPr>
        <w:t xml:space="preserve"> </w:t>
      </w:r>
      <w:r w:rsidR="00BD4978" w:rsidRPr="00235ACC">
        <w:rPr>
          <w:rFonts w:eastAsiaTheme="minorHAnsi" w:cs="Arial"/>
          <w:szCs w:val="20"/>
        </w:rPr>
        <w:t xml:space="preserve">V Letnem programu športa v Republiki Sloveniji za leto 2024 </w:t>
      </w:r>
      <w:r w:rsidR="00441FE0">
        <w:rPr>
          <w:rFonts w:eastAsiaTheme="minorHAnsi" w:cs="Arial"/>
          <w:szCs w:val="20"/>
        </w:rPr>
        <w:t xml:space="preserve">in v Proračunu Republike Slovenije za leto 2024 </w:t>
      </w:r>
      <w:r w:rsidR="00BD4978" w:rsidRPr="00235ACC">
        <w:rPr>
          <w:rFonts w:eastAsiaTheme="minorHAnsi" w:cs="Arial"/>
          <w:szCs w:val="20"/>
        </w:rPr>
        <w:t>je za ta namen zagotovljenih</w:t>
      </w:r>
      <w:r w:rsidRPr="00235ACC">
        <w:rPr>
          <w:rFonts w:eastAsiaTheme="minorHAnsi" w:cs="Arial"/>
          <w:szCs w:val="20"/>
        </w:rPr>
        <w:t xml:space="preserve"> 22.418.787</w:t>
      </w:r>
      <w:r w:rsidR="00BD4978" w:rsidRPr="00235ACC">
        <w:rPr>
          <w:rFonts w:eastAsiaTheme="minorHAnsi" w:cs="Arial"/>
          <w:szCs w:val="20"/>
        </w:rPr>
        <w:t>,00</w:t>
      </w:r>
      <w:r w:rsidR="004034E2">
        <w:rPr>
          <w:rStyle w:val="Sprotnaopomba-sklic"/>
          <w:rFonts w:eastAsiaTheme="minorHAnsi" w:cs="Arial"/>
          <w:szCs w:val="20"/>
        </w:rPr>
        <w:footnoteReference w:id="1"/>
      </w:r>
      <w:r w:rsidRPr="00235ACC">
        <w:rPr>
          <w:rFonts w:eastAsiaTheme="minorHAnsi" w:cs="Arial"/>
          <w:szCs w:val="20"/>
        </w:rPr>
        <w:t xml:space="preserve"> evrov</w:t>
      </w:r>
      <w:r w:rsidR="00441FE0">
        <w:rPr>
          <w:rFonts w:eastAsiaTheme="minorHAnsi" w:cs="Arial"/>
          <w:szCs w:val="20"/>
        </w:rPr>
        <w:t>.</w:t>
      </w:r>
      <w:r w:rsidRPr="00FA3CAC">
        <w:rPr>
          <w:rFonts w:eastAsiaTheme="minorHAnsi" w:cs="Arial"/>
          <w:szCs w:val="20"/>
        </w:rPr>
        <w:t xml:space="preserve"> </w:t>
      </w:r>
    </w:p>
    <w:p w14:paraId="5B679551" w14:textId="77777777" w:rsidR="00FB2A18" w:rsidRDefault="00FB2A18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bookmarkStart w:id="2" w:name="_Hlk155869545"/>
    </w:p>
    <w:p w14:paraId="6F577A11" w14:textId="31700AF5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Prioritetna področja za financiranje in sofinanciranje investicij v športno infrastrukturo za let</w:t>
      </w:r>
      <w:r w:rsidR="00441FE0">
        <w:rPr>
          <w:rFonts w:eastAsiaTheme="minorHAnsi" w:cs="Arial"/>
          <w:szCs w:val="20"/>
        </w:rPr>
        <w:t>o</w:t>
      </w:r>
      <w:r w:rsidRPr="00FA3CAC">
        <w:rPr>
          <w:rFonts w:eastAsiaTheme="minorHAnsi" w:cs="Arial"/>
          <w:szCs w:val="20"/>
        </w:rPr>
        <w:t xml:space="preserve"> 2024 so:</w:t>
      </w:r>
    </w:p>
    <w:p w14:paraId="09F2C894" w14:textId="77777777" w:rsidR="00FA3CAC" w:rsidRPr="00FA3CAC" w:rsidRDefault="00FA3CAC" w:rsidP="00FA3CA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bookmarkStart w:id="3" w:name="_Hlk152922086"/>
      <w:bookmarkStart w:id="4" w:name="_Hlk155869290"/>
      <w:r w:rsidRPr="00FA3CAC">
        <w:rPr>
          <w:rFonts w:eastAsiaTheme="minorHAnsi" w:cs="Arial"/>
          <w:szCs w:val="20"/>
        </w:rPr>
        <w:t>Obnova, novogradnja in rekonstrukcija javnih športnih objektov.</w:t>
      </w:r>
    </w:p>
    <w:p w14:paraId="4205868B" w14:textId="4BD5EF9B" w:rsidR="00FA3CAC" w:rsidRPr="00FA3CAC" w:rsidRDefault="00FA3CAC" w:rsidP="00FA3CA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bookmarkStart w:id="5" w:name="_Hlk152922369"/>
      <w:bookmarkEnd w:id="3"/>
      <w:r w:rsidRPr="00FA3CAC">
        <w:rPr>
          <w:rFonts w:eastAsiaTheme="minorHAnsi" w:cs="Arial"/>
          <w:szCs w:val="20"/>
        </w:rPr>
        <w:t>Posodobitev ali vzpostavitev novih zunanjih športnih površ</w:t>
      </w:r>
      <w:bookmarkEnd w:id="2"/>
      <w:r w:rsidRPr="00FA3CAC">
        <w:rPr>
          <w:rFonts w:eastAsiaTheme="minorHAnsi" w:cs="Arial"/>
          <w:szCs w:val="20"/>
        </w:rPr>
        <w:t>in.</w:t>
      </w:r>
    </w:p>
    <w:p w14:paraId="690765D9" w14:textId="77777777" w:rsidR="00FA3CAC" w:rsidRPr="00FA3CAC" w:rsidRDefault="00FA3CAC" w:rsidP="00FA3CA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bookmarkStart w:id="6" w:name="_Hlk152922404"/>
      <w:bookmarkEnd w:id="5"/>
      <w:r w:rsidRPr="00FA3CAC">
        <w:rPr>
          <w:rFonts w:eastAsiaTheme="minorHAnsi" w:cs="Arial"/>
          <w:szCs w:val="20"/>
        </w:rPr>
        <w:t>Ureditev dostopnosti do javnih športnih objektov za funkcionalno ovirane.</w:t>
      </w:r>
    </w:p>
    <w:bookmarkEnd w:id="6"/>
    <w:p w14:paraId="5BDB307D" w14:textId="56839328" w:rsidR="00FA3CAC" w:rsidRPr="00FA3CAC" w:rsidRDefault="00FA3CAC" w:rsidP="00FA3CAC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Protipoplavna in </w:t>
      </w:r>
      <w:proofErr w:type="spellStart"/>
      <w:r w:rsidRPr="00FA3CAC">
        <w:rPr>
          <w:rFonts w:eastAsiaTheme="minorHAnsi" w:cs="Arial"/>
          <w:szCs w:val="20"/>
        </w:rPr>
        <w:t>protiplazna</w:t>
      </w:r>
      <w:proofErr w:type="spellEnd"/>
      <w:r w:rsidRPr="00FA3CAC">
        <w:rPr>
          <w:rFonts w:eastAsiaTheme="minorHAnsi" w:cs="Arial"/>
          <w:szCs w:val="20"/>
        </w:rPr>
        <w:t xml:space="preserve"> zaščita športnih objektov.</w:t>
      </w:r>
    </w:p>
    <w:bookmarkEnd w:id="4"/>
    <w:p w14:paraId="6C051C41" w14:textId="77777777" w:rsidR="00235ACC" w:rsidRDefault="00235ACC" w:rsidP="00FA3CAC">
      <w:pPr>
        <w:spacing w:after="160" w:line="259" w:lineRule="auto"/>
        <w:jc w:val="both"/>
        <w:rPr>
          <w:rFonts w:eastAsiaTheme="minorHAnsi" w:cs="Arial"/>
          <w:szCs w:val="20"/>
        </w:rPr>
      </w:pPr>
    </w:p>
    <w:p w14:paraId="02E01284" w14:textId="7A2C4D9F" w:rsid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Ministrstvo, pristojno za šport, bo v primeru, da na določenem prioritetnem področju predvidena sredstva ne bodo porabljena, neporabljena sredstva po potrebi preneslo na druga prioritetna področja iz </w:t>
      </w:r>
      <w:r w:rsidR="00DB0E65">
        <w:rPr>
          <w:rFonts w:eastAsiaTheme="minorHAnsi" w:cs="Arial"/>
          <w:szCs w:val="20"/>
        </w:rPr>
        <w:t xml:space="preserve">tega </w:t>
      </w:r>
      <w:r w:rsidRPr="00FA3CAC">
        <w:rPr>
          <w:rFonts w:eastAsiaTheme="minorHAnsi" w:cs="Arial"/>
          <w:szCs w:val="20"/>
        </w:rPr>
        <w:t>letnega načrta.</w:t>
      </w:r>
    </w:p>
    <w:p w14:paraId="16F7D46E" w14:textId="1E88F9D8" w:rsidR="00BD4978" w:rsidRDefault="00BD4978" w:rsidP="00BD4978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4F2728">
        <w:rPr>
          <w:rFonts w:cs="Arial"/>
          <w:bCs/>
          <w:szCs w:val="20"/>
          <w:lang w:eastAsia="sl-SI"/>
        </w:rPr>
        <w:t xml:space="preserve">Za realizacijo </w:t>
      </w:r>
      <w:r w:rsidR="0018186E">
        <w:rPr>
          <w:rFonts w:cs="Arial"/>
          <w:bCs/>
          <w:szCs w:val="20"/>
          <w:lang w:eastAsia="sl-SI"/>
        </w:rPr>
        <w:t>letnega načrta</w:t>
      </w:r>
      <w:r>
        <w:rPr>
          <w:rFonts w:cs="Arial"/>
          <w:bCs/>
          <w:szCs w:val="20"/>
          <w:lang w:eastAsia="sl-SI"/>
        </w:rPr>
        <w:t xml:space="preserve"> bo ministrstvo, pristojno za šport, na podlagi drugega odstavka 3. člena ZFSŠI27 </w:t>
      </w:r>
      <w:r w:rsidR="00D5625B">
        <w:rPr>
          <w:rFonts w:cs="Arial"/>
          <w:bCs/>
          <w:szCs w:val="20"/>
          <w:lang w:eastAsia="sl-SI"/>
        </w:rPr>
        <w:t xml:space="preserve">v letu 2024 </w:t>
      </w:r>
      <w:r>
        <w:rPr>
          <w:rFonts w:cs="Arial"/>
          <w:bCs/>
          <w:szCs w:val="20"/>
          <w:lang w:eastAsia="sl-SI"/>
        </w:rPr>
        <w:t>objavilo javni razpis</w:t>
      </w:r>
      <w:r w:rsidR="00FC7D1B">
        <w:rPr>
          <w:rFonts w:cs="Arial"/>
          <w:bCs/>
          <w:szCs w:val="20"/>
          <w:lang w:eastAsia="sl-SI"/>
        </w:rPr>
        <w:t>².</w:t>
      </w:r>
      <w:r w:rsidR="00472864">
        <w:rPr>
          <w:rFonts w:cs="Arial"/>
          <w:bCs/>
          <w:szCs w:val="20"/>
          <w:lang w:eastAsia="sl-SI"/>
        </w:rPr>
        <w:t xml:space="preserve"> Pri izbiri sofinanciranih projektov bodo upoštevana merila iz 2. točke prvega odstavka 16. člena Zakona o športu (</w:t>
      </w:r>
      <w:bookmarkStart w:id="7" w:name="_Hlk158881586"/>
      <w:r w:rsidR="00472864" w:rsidRPr="00FA3CAC">
        <w:rPr>
          <w:rFonts w:eastAsiaTheme="minorHAnsi" w:cs="Arial"/>
          <w:szCs w:val="20"/>
        </w:rPr>
        <w:t>Uradni list RS, št. 29/17, 21/18 – ZNOrg, 82/20 in 3/22 – ZDeb</w:t>
      </w:r>
      <w:r w:rsidR="00472864">
        <w:rPr>
          <w:rFonts w:eastAsiaTheme="minorHAnsi" w:cs="Arial"/>
          <w:szCs w:val="20"/>
        </w:rPr>
        <w:t>; v nadaljnjem besedilu: ZŠpo-1</w:t>
      </w:r>
      <w:bookmarkEnd w:id="7"/>
      <w:r w:rsidR="00472864">
        <w:rPr>
          <w:rFonts w:eastAsiaTheme="minorHAnsi" w:cs="Arial"/>
          <w:szCs w:val="20"/>
        </w:rPr>
        <w:t>)</w:t>
      </w:r>
      <w:r w:rsidR="00472864">
        <w:rPr>
          <w:rFonts w:cs="Arial"/>
          <w:bCs/>
          <w:szCs w:val="20"/>
          <w:lang w:eastAsia="sl-SI"/>
        </w:rPr>
        <w:t xml:space="preserve"> ob smiselni uporabi meril iz drugega odstavka 3. člena ZFSŠI27. </w:t>
      </w:r>
      <w:r>
        <w:rPr>
          <w:rFonts w:cs="Arial"/>
          <w:bCs/>
          <w:szCs w:val="20"/>
          <w:lang w:eastAsia="sl-SI"/>
        </w:rPr>
        <w:t xml:space="preserve"> </w:t>
      </w:r>
    </w:p>
    <w:p w14:paraId="36BD0720" w14:textId="0CC72215" w:rsidR="00FB2A18" w:rsidRDefault="00FB2A18" w:rsidP="00BD4978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69330307" w14:textId="77777777" w:rsidR="00FA3CAC" w:rsidRPr="00FA3CAC" w:rsidRDefault="00FA3CAC" w:rsidP="00FA3CAC">
      <w:pPr>
        <w:spacing w:line="240" w:lineRule="auto"/>
        <w:jc w:val="both"/>
        <w:rPr>
          <w:rFonts w:eastAsiaTheme="minorHAnsi" w:cs="Arial"/>
          <w:szCs w:val="20"/>
        </w:rPr>
      </w:pPr>
    </w:p>
    <w:p w14:paraId="650822C6" w14:textId="77777777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b/>
          <w:bCs/>
          <w:szCs w:val="20"/>
        </w:rPr>
      </w:pPr>
      <w:r w:rsidRPr="00FA3CAC">
        <w:rPr>
          <w:rFonts w:eastAsiaTheme="minorHAnsi" w:cs="Arial"/>
          <w:b/>
          <w:bCs/>
          <w:szCs w:val="20"/>
        </w:rPr>
        <w:t>Obrazložitev:</w:t>
      </w:r>
    </w:p>
    <w:p w14:paraId="042AE0BF" w14:textId="77777777" w:rsidR="00FA3CAC" w:rsidRPr="00FA3CAC" w:rsidRDefault="00FA3CAC" w:rsidP="00FA3CAC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="Arial"/>
          <w:b/>
          <w:bCs/>
          <w:szCs w:val="20"/>
        </w:rPr>
      </w:pPr>
      <w:r w:rsidRPr="00FA3CAC">
        <w:rPr>
          <w:rFonts w:eastAsiaTheme="minorHAnsi" w:cs="Arial"/>
          <w:b/>
          <w:bCs/>
          <w:szCs w:val="20"/>
        </w:rPr>
        <w:t>Obnova, novogradnja in rekonstrukcija javnih športnih objektov</w:t>
      </w:r>
    </w:p>
    <w:p w14:paraId="7BFCB88E" w14:textId="7E70B19B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Športne objekte in površine za šport v naravi je potrebno</w:t>
      </w:r>
      <w:r w:rsidR="00B677F8">
        <w:rPr>
          <w:rFonts w:eastAsiaTheme="minorHAnsi" w:cs="Arial"/>
          <w:szCs w:val="20"/>
        </w:rPr>
        <w:t>,</w:t>
      </w:r>
      <w:r w:rsidRPr="00FA3CAC">
        <w:rPr>
          <w:rFonts w:eastAsiaTheme="minorHAnsi" w:cs="Arial"/>
          <w:szCs w:val="20"/>
        </w:rPr>
        <w:t xml:space="preserve"> za izpolnjevanje njihovega osnovnega namena (zagotavljanje materialnih pogojev za športno udejstvovanje prebivalcev Republike Slovenije v športnih programih) ustrezno vzdrževati in obnavljati. </w:t>
      </w:r>
      <w:r w:rsidR="00472864">
        <w:rPr>
          <w:rFonts w:eastAsiaTheme="minorHAnsi" w:cs="Arial"/>
          <w:szCs w:val="20"/>
        </w:rPr>
        <w:t>Iz</w:t>
      </w:r>
      <w:r w:rsidRPr="00FA3CAC">
        <w:rPr>
          <w:rFonts w:eastAsiaTheme="minorHAnsi" w:cs="Arial"/>
          <w:szCs w:val="20"/>
        </w:rPr>
        <w:t xml:space="preserve"> podatkov iz Razvida javnih športnih objektov, in podatkov, ki so jih posredovale lokalne skupnosti na posvetih v preteklih letih, </w:t>
      </w:r>
      <w:r w:rsidR="00472864">
        <w:rPr>
          <w:rFonts w:eastAsiaTheme="minorHAnsi" w:cs="Arial"/>
          <w:szCs w:val="20"/>
        </w:rPr>
        <w:t xml:space="preserve">izhaja, da </w:t>
      </w:r>
      <w:r w:rsidRPr="00FA3CAC">
        <w:rPr>
          <w:rFonts w:eastAsiaTheme="minorHAnsi" w:cs="Arial"/>
          <w:szCs w:val="20"/>
        </w:rPr>
        <w:t>so nekateri javni športni objekti dotrajani in zato potrebni obnove za namen nadaljnjega kvalitetnega izvajanja športnih programov v nezmanjšanem obsegu. Na podlagi podatkov, pridobljenih od lokalnih skupnosti v okviru posvetov, v nekaterih lokalnih skupnostih določenih športnih objektov zaradi dotrajanosti ni smiselno obnavljati, temveč jih je smotrno porušiti in namesto njih zgraditi nove, ki bodo služili istemu namenu.</w:t>
      </w:r>
    </w:p>
    <w:p w14:paraId="29411021" w14:textId="77777777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Z ukrepom bodo sofinancirani projekti investicij v obnovo javnih športnih objektov, v obnovo pokritih vadbenih površin in vadbenih prostorov, pri katerih je zaradi dotrajanosti ovirano kvalitetno izvajanje športnih programov, ter novogradnjo in rekonstrukcijo javnih športnih </w:t>
      </w:r>
      <w:r w:rsidRPr="00FA3CAC">
        <w:rPr>
          <w:rFonts w:eastAsiaTheme="minorHAnsi" w:cs="Arial"/>
          <w:szCs w:val="20"/>
        </w:rPr>
        <w:lastRenderedPageBreak/>
        <w:t xml:space="preserve">objektov, pokritih vadbenih površin in vadbenih prostorov, pri katerih je zaradi dotrajanosti ali drugih razlogov bolj smiselno, da se jih nadomesti z novimi. </w:t>
      </w:r>
    </w:p>
    <w:p w14:paraId="4014953C" w14:textId="77777777" w:rsidR="00FA3CAC" w:rsidRPr="00FA3CAC" w:rsidRDefault="00FA3CAC" w:rsidP="00FA3CAC">
      <w:pPr>
        <w:spacing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Podrobnejša merila in pogoje za izbor investicij bo ministrstvo, pristojno za šport, določilo v okviru javnega razpisa.</w:t>
      </w:r>
    </w:p>
    <w:p w14:paraId="70ADF111" w14:textId="77777777" w:rsidR="00FA3CAC" w:rsidRPr="00FA3CAC" w:rsidRDefault="00FA3CAC" w:rsidP="00FA3CAC">
      <w:pPr>
        <w:spacing w:line="259" w:lineRule="auto"/>
        <w:jc w:val="both"/>
        <w:rPr>
          <w:rFonts w:eastAsiaTheme="minorHAnsi" w:cs="Arial"/>
          <w:szCs w:val="20"/>
        </w:rPr>
      </w:pPr>
    </w:p>
    <w:p w14:paraId="6DD254F8" w14:textId="77777777" w:rsidR="00FA3CAC" w:rsidRPr="00FA3CAC" w:rsidRDefault="00FA3CAC" w:rsidP="00FA3CAC">
      <w:pPr>
        <w:spacing w:line="259" w:lineRule="auto"/>
        <w:jc w:val="both"/>
        <w:rPr>
          <w:rFonts w:eastAsiaTheme="minorHAnsi" w:cs="Arial"/>
          <w:szCs w:val="20"/>
        </w:rPr>
      </w:pPr>
      <w:bookmarkStart w:id="8" w:name="_Hlk152923608"/>
    </w:p>
    <w:bookmarkEnd w:id="8"/>
    <w:p w14:paraId="3912AA2D" w14:textId="77777777" w:rsidR="00FA3CAC" w:rsidRPr="00FA3CAC" w:rsidRDefault="00FA3CAC" w:rsidP="00FA3CAC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="Arial"/>
          <w:b/>
          <w:bCs/>
          <w:szCs w:val="20"/>
        </w:rPr>
      </w:pPr>
      <w:r w:rsidRPr="00FA3CAC">
        <w:rPr>
          <w:rFonts w:eastAsiaTheme="minorHAnsi" w:cs="Arial"/>
          <w:b/>
          <w:bCs/>
          <w:szCs w:val="20"/>
        </w:rPr>
        <w:t>Posodobitev ali vzpostavitev novih zunanjih športnih površin</w:t>
      </w:r>
    </w:p>
    <w:p w14:paraId="1C175266" w14:textId="259D2E95" w:rsidR="00FA3CAC" w:rsidRPr="00FA3CAC" w:rsidRDefault="00FA3CAC" w:rsidP="00FA3CAC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Sofinanciran</w:t>
      </w:r>
      <w:r w:rsidR="007C0B19">
        <w:rPr>
          <w:rFonts w:eastAsiaTheme="minorHAnsi" w:cs="Arial"/>
          <w:szCs w:val="20"/>
        </w:rPr>
        <w:t xml:space="preserve">e bodo investicije v športne objekte </w:t>
      </w:r>
      <w:r w:rsidRPr="00FA3CAC">
        <w:rPr>
          <w:rFonts w:eastAsiaTheme="minorHAnsi" w:cs="Arial"/>
          <w:szCs w:val="20"/>
        </w:rPr>
        <w:t xml:space="preserve">in površine za šport v naravi, katerih raba </w:t>
      </w:r>
      <w:r w:rsidR="007C0B19">
        <w:rPr>
          <w:rFonts w:eastAsiaTheme="minorHAnsi" w:cs="Arial"/>
          <w:szCs w:val="20"/>
        </w:rPr>
        <w:t xml:space="preserve">je namenjena </w:t>
      </w:r>
      <w:r w:rsidRPr="00FA3CAC">
        <w:rPr>
          <w:rFonts w:eastAsiaTheme="minorHAnsi" w:cs="Arial"/>
          <w:szCs w:val="20"/>
        </w:rPr>
        <w:t>izvajanj</w:t>
      </w:r>
      <w:r w:rsidR="007C0B19">
        <w:rPr>
          <w:rFonts w:eastAsiaTheme="minorHAnsi" w:cs="Arial"/>
          <w:szCs w:val="20"/>
        </w:rPr>
        <w:t>u</w:t>
      </w:r>
      <w:r w:rsidRPr="00FA3CAC">
        <w:rPr>
          <w:rFonts w:eastAsiaTheme="minorHAnsi" w:cs="Arial"/>
          <w:szCs w:val="20"/>
        </w:rPr>
        <w:t xml:space="preserve"> različnih športnih dejavnosti na prostem</w:t>
      </w:r>
      <w:r w:rsidR="007C0B19">
        <w:rPr>
          <w:rFonts w:eastAsiaTheme="minorHAnsi" w:cs="Arial"/>
          <w:szCs w:val="20"/>
        </w:rPr>
        <w:t xml:space="preserve"> in je kot taka</w:t>
      </w:r>
      <w:r w:rsidRPr="00FA3CAC">
        <w:rPr>
          <w:rFonts w:eastAsiaTheme="minorHAnsi" w:cs="Arial"/>
          <w:szCs w:val="20"/>
        </w:rPr>
        <w:t xml:space="preserve"> opredeljena v predpisih, ki urejajo prostor. Namen sofinanciranja so prenove (posodobitve) in vzpostavitve novih zunanjih športnih površin, ki se nahajajo v naravi in urbanem okolju in kot to določa Z</w:t>
      </w:r>
      <w:r w:rsidR="0092688C">
        <w:rPr>
          <w:rFonts w:eastAsiaTheme="minorHAnsi" w:cs="Arial"/>
          <w:szCs w:val="20"/>
        </w:rPr>
        <w:t>Š</w:t>
      </w:r>
      <w:r w:rsidRPr="00FA3CAC">
        <w:rPr>
          <w:rFonts w:eastAsiaTheme="minorHAnsi" w:cs="Arial"/>
          <w:szCs w:val="20"/>
        </w:rPr>
        <w:t xml:space="preserve">po-1. Na podlagi podatkov, pridobljenih na posvetih z lokalnimi skupnostmi, in rezultatov </w:t>
      </w:r>
      <w:r w:rsidR="0009132C">
        <w:rPr>
          <w:rFonts w:eastAsiaTheme="minorHAnsi" w:cs="Arial"/>
          <w:szCs w:val="20"/>
        </w:rPr>
        <w:t>j</w:t>
      </w:r>
      <w:r w:rsidR="0009132C" w:rsidRPr="00FA3CAC">
        <w:rPr>
          <w:rFonts w:eastAsiaTheme="minorHAnsi" w:cs="Arial"/>
          <w:szCs w:val="20"/>
        </w:rPr>
        <w:t xml:space="preserve">avnega </w:t>
      </w:r>
      <w:r w:rsidRPr="00FA3CAC">
        <w:rPr>
          <w:rFonts w:eastAsiaTheme="minorHAnsi" w:cs="Arial"/>
          <w:szCs w:val="20"/>
        </w:rPr>
        <w:t xml:space="preserve">razpisa so potrebne dodatne investicije v posodobitve ali vzpostavitve novih zunanjih športnih površin. </w:t>
      </w:r>
    </w:p>
    <w:p w14:paraId="45C0C28F" w14:textId="77777777" w:rsidR="00FA3CAC" w:rsidRPr="00FA3CAC" w:rsidRDefault="00FA3CAC" w:rsidP="00FA3CAC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0EF4C7F0" w14:textId="77777777" w:rsidR="00FA3CAC" w:rsidRPr="00FA3CAC" w:rsidRDefault="00FA3CAC" w:rsidP="00FA3CAC">
      <w:pPr>
        <w:spacing w:line="240" w:lineRule="auto"/>
        <w:jc w:val="both"/>
        <w:rPr>
          <w:rFonts w:eastAsiaTheme="minorHAnsi" w:cs="Arial"/>
          <w:szCs w:val="20"/>
        </w:rPr>
      </w:pPr>
      <w:bookmarkStart w:id="9" w:name="_Hlk154143584"/>
      <w:r w:rsidRPr="00FA3CAC">
        <w:rPr>
          <w:rFonts w:eastAsiaTheme="minorHAnsi" w:cs="Arial"/>
          <w:szCs w:val="20"/>
        </w:rPr>
        <w:t>Podrobnejša merila in pogoje za izbor investicij bo ministrstvo, pristojno za šport, določilo v okviru javnega razpisa.</w:t>
      </w:r>
      <w:bookmarkEnd w:id="9"/>
    </w:p>
    <w:p w14:paraId="5FA6E973" w14:textId="77777777" w:rsidR="00FA3CAC" w:rsidRPr="00FA3CAC" w:rsidRDefault="00FA3CAC" w:rsidP="00FA3CAC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7DE3C6DE" w14:textId="77777777" w:rsidR="00FA3CAC" w:rsidRPr="00FA3CAC" w:rsidRDefault="00FA3CAC" w:rsidP="00FA3CAC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</w:rPr>
      </w:pPr>
    </w:p>
    <w:p w14:paraId="26512358" w14:textId="77777777" w:rsidR="00FA3CAC" w:rsidRPr="00FA3CAC" w:rsidRDefault="00FA3CAC" w:rsidP="00FA3CAC">
      <w:pPr>
        <w:numPr>
          <w:ilvl w:val="0"/>
          <w:numId w:val="22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b/>
          <w:bCs/>
          <w:szCs w:val="20"/>
        </w:rPr>
        <w:t>Ureditev dostopnosti javnih športnih objektov za funkcionalno ovirane</w:t>
      </w:r>
    </w:p>
    <w:p w14:paraId="65D6CCAB" w14:textId="3A3A54BF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V skladu z 9. členom Zakona o izenačevanju možnosti invalidov (Uradni list RS, št. 94/10, 50/14 in 32/17; v </w:t>
      </w:r>
      <w:r w:rsidR="007C0B19">
        <w:rPr>
          <w:rFonts w:eastAsiaTheme="minorHAnsi" w:cs="Arial"/>
          <w:szCs w:val="20"/>
        </w:rPr>
        <w:t>nadaljnjem besedilu</w:t>
      </w:r>
      <w:r w:rsidRPr="00FA3CAC">
        <w:rPr>
          <w:rFonts w:eastAsiaTheme="minorHAnsi" w:cs="Arial"/>
          <w:szCs w:val="20"/>
        </w:rPr>
        <w:t xml:space="preserve">: ZIMI) je prepovedana diskriminacija zaradi invalidnosti pri dostopnosti do uporabe objektov v javni rabi. Drugi odstavek 38. člena ZIMI določa, da se primerna prilagoditev objektov za odpravo grajenih in komunikacijskih ovir iz 9. člena zakona odpravi najkasneje v 15 letih po uveljavitvi zakona, torej decembra 2025 (ZIMI je začel veljati </w:t>
      </w:r>
      <w:r w:rsidR="007C0B19">
        <w:rPr>
          <w:rFonts w:eastAsiaTheme="minorHAnsi" w:cs="Arial"/>
          <w:szCs w:val="20"/>
        </w:rPr>
        <w:t>11. decembra</w:t>
      </w:r>
      <w:r w:rsidRPr="00FA3CAC">
        <w:rPr>
          <w:rFonts w:eastAsiaTheme="minorHAnsi" w:cs="Arial"/>
          <w:szCs w:val="20"/>
        </w:rPr>
        <w:t xml:space="preserve"> 2010). </w:t>
      </w:r>
    </w:p>
    <w:p w14:paraId="7C76AFE2" w14:textId="7DBBD63B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Javni športni objekti in površine za šport v naravi so v skladu s prvim odstavkom 70. člena Z</w:t>
      </w:r>
      <w:r w:rsidR="0092688C">
        <w:rPr>
          <w:rFonts w:eastAsiaTheme="minorHAnsi" w:cs="Arial"/>
          <w:szCs w:val="20"/>
        </w:rPr>
        <w:t>Š</w:t>
      </w:r>
      <w:r w:rsidRPr="00FA3CAC">
        <w:rPr>
          <w:rFonts w:eastAsiaTheme="minorHAnsi" w:cs="Arial"/>
          <w:szCs w:val="20"/>
        </w:rPr>
        <w:t xml:space="preserve">po-1 v javni rabi in jih lahko za namen, za katerega so bili zgrajeni in urejeni, uporabljajo vsi pod enakimi pogoji, prepovedana je diskriminacija pri njihovi uporabi. V skladu s tretjim odstavkom 9. člena </w:t>
      </w:r>
      <w:r w:rsidR="007C0B19">
        <w:rPr>
          <w:rFonts w:eastAsiaTheme="minorHAnsi" w:cs="Arial"/>
          <w:szCs w:val="20"/>
        </w:rPr>
        <w:t>ZIMI</w:t>
      </w:r>
      <w:r w:rsidRPr="00FA3CAC">
        <w:rPr>
          <w:rFonts w:eastAsiaTheme="minorHAnsi" w:cs="Arial"/>
          <w:szCs w:val="20"/>
        </w:rPr>
        <w:t xml:space="preserve"> je objekte v javni rabi, ki se gradijo oziroma rekonstruirajo, treba primerno prilagoditi med samo gradnjo oziroma rekonstrukcijo objekta. Vendar pa to ne vključuje javnih športnih objektov, grajenih pred uveljavitvijo </w:t>
      </w:r>
      <w:r w:rsidR="007C0B19">
        <w:rPr>
          <w:rFonts w:eastAsiaTheme="minorHAnsi" w:cs="Arial"/>
          <w:szCs w:val="20"/>
        </w:rPr>
        <w:t>ZIMI</w:t>
      </w:r>
      <w:r w:rsidRPr="00FA3CAC">
        <w:rPr>
          <w:rFonts w:eastAsiaTheme="minorHAnsi" w:cs="Arial"/>
          <w:szCs w:val="20"/>
        </w:rPr>
        <w:t xml:space="preserve">, ki še niso bili deležni rekonstrukcije in posledično prilagoditve v izogib diskriminaciji zaradi invalidnosti. </w:t>
      </w:r>
      <w:r w:rsidR="007C0B19">
        <w:rPr>
          <w:rFonts w:eastAsiaTheme="minorHAnsi" w:cs="Arial"/>
          <w:szCs w:val="20"/>
        </w:rPr>
        <w:t xml:space="preserve">Z namenom ureditve dostopa do javne športne infrastrukture za invalide je smiselno in potrebno sofinancirati namenske investicije, tudi ob upoštevanju dejstva, da </w:t>
      </w:r>
      <w:r w:rsidRPr="00FA3CAC">
        <w:rPr>
          <w:rFonts w:eastAsiaTheme="minorHAnsi" w:cs="Arial"/>
          <w:szCs w:val="20"/>
        </w:rPr>
        <w:t xml:space="preserve">se rok za prilagoditve javnih športnih objektov izteče v decembru 2025. </w:t>
      </w:r>
    </w:p>
    <w:p w14:paraId="7046634A" w14:textId="585F8B96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Z ukrepom bodo sofinancirani projekti investicij v prilagoditve javnih športnih objektov z namenom dostopnosti ljudem z</w:t>
      </w:r>
      <w:r w:rsidR="006D381B">
        <w:rPr>
          <w:rFonts w:eastAsiaTheme="minorHAnsi" w:cs="Arial"/>
          <w:szCs w:val="20"/>
        </w:rPr>
        <w:t xml:space="preserve"> različnimi vrstami in stopnjami</w:t>
      </w:r>
      <w:r w:rsidRPr="00FA3CAC">
        <w:rPr>
          <w:rFonts w:eastAsiaTheme="minorHAnsi" w:cs="Arial"/>
          <w:szCs w:val="20"/>
        </w:rPr>
        <w:t xml:space="preserve"> invalidnostmi. </w:t>
      </w:r>
    </w:p>
    <w:p w14:paraId="575C0731" w14:textId="1361D765" w:rsidR="00FA3CAC" w:rsidRDefault="00FA3CAC" w:rsidP="00FA3CAC">
      <w:pPr>
        <w:spacing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Podrobnejša merila in pogoje za izbor investicij bo ministrstvo, pristojno za šport, določilo v okviru javnega razpisa. </w:t>
      </w:r>
    </w:p>
    <w:p w14:paraId="21A8E1EC" w14:textId="77777777" w:rsidR="000F547B" w:rsidRPr="00A75421" w:rsidRDefault="000F547B" w:rsidP="00FA3CAC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8F64944" w14:textId="3F54E184" w:rsidR="00FA3CAC" w:rsidRPr="00FA3CAC" w:rsidRDefault="00FA3CAC" w:rsidP="00FA3CAC">
      <w:pPr>
        <w:numPr>
          <w:ilvl w:val="0"/>
          <w:numId w:val="22"/>
        </w:numPr>
        <w:spacing w:after="160" w:line="259" w:lineRule="auto"/>
        <w:contextualSpacing/>
        <w:rPr>
          <w:rFonts w:eastAsiaTheme="minorHAnsi" w:cs="Arial"/>
          <w:szCs w:val="20"/>
        </w:rPr>
      </w:pPr>
      <w:r w:rsidRPr="00FA3CAC">
        <w:rPr>
          <w:rFonts w:eastAsiaTheme="minorHAnsi" w:cs="Arial"/>
          <w:b/>
          <w:bCs/>
          <w:szCs w:val="20"/>
        </w:rPr>
        <w:t xml:space="preserve">Protipoplavna in </w:t>
      </w:r>
      <w:proofErr w:type="spellStart"/>
      <w:r w:rsidRPr="00FA3CAC">
        <w:rPr>
          <w:rFonts w:eastAsiaTheme="minorHAnsi" w:cs="Arial"/>
          <w:b/>
          <w:bCs/>
          <w:szCs w:val="20"/>
        </w:rPr>
        <w:t>protipla</w:t>
      </w:r>
      <w:r w:rsidR="007C0B19">
        <w:rPr>
          <w:rFonts w:eastAsiaTheme="minorHAnsi" w:cs="Arial"/>
          <w:b/>
          <w:bCs/>
          <w:szCs w:val="20"/>
        </w:rPr>
        <w:t>z</w:t>
      </w:r>
      <w:r w:rsidRPr="00FA3CAC">
        <w:rPr>
          <w:rFonts w:eastAsiaTheme="minorHAnsi" w:cs="Arial"/>
          <w:b/>
          <w:bCs/>
          <w:szCs w:val="20"/>
        </w:rPr>
        <w:t>na</w:t>
      </w:r>
      <w:proofErr w:type="spellEnd"/>
      <w:r w:rsidRPr="00FA3CAC">
        <w:rPr>
          <w:rFonts w:eastAsiaTheme="minorHAnsi" w:cs="Arial"/>
          <w:b/>
          <w:bCs/>
          <w:szCs w:val="20"/>
        </w:rPr>
        <w:t xml:space="preserve"> zaščita športnih objektov</w:t>
      </w:r>
    </w:p>
    <w:p w14:paraId="7B659E69" w14:textId="77777777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 xml:space="preserve">Zaradi posledic poplav in zemeljskih plazov v avgustu 2023 je bilo v skladu s podatki, zbranimi s strani Olimpijskega komiteja Slovenije – Združenja športnih zvez in Ministrstva za gospodarstvo, turizem in šport, poškodovanih več športnih objektov. Na področjih, kjer je ob podobnih vremenskih razmerah v prihodnje pričakovati podoben vpliv naravnih nesreč na športno infrastrukturo, je potrebno vzpostaviti pogoje za zaščito športne infrastrukture pred prihodnjimi naravnimi nesrečami. </w:t>
      </w:r>
    </w:p>
    <w:p w14:paraId="047B2F77" w14:textId="365C4A0A" w:rsidR="00FA3CAC" w:rsidRPr="00FA3CAC" w:rsidRDefault="00FA3CAC" w:rsidP="00FA3CAC">
      <w:pPr>
        <w:spacing w:after="160" w:line="259" w:lineRule="auto"/>
        <w:jc w:val="both"/>
        <w:rPr>
          <w:rFonts w:eastAsiaTheme="minorHAnsi" w:cs="Arial"/>
          <w:szCs w:val="20"/>
        </w:rPr>
      </w:pPr>
      <w:r w:rsidRPr="00FA3CAC">
        <w:rPr>
          <w:rFonts w:eastAsiaTheme="minorHAnsi" w:cs="Arial"/>
          <w:szCs w:val="20"/>
        </w:rPr>
        <w:t>Z ukrepom bodo sofinancirani projekti investitorjev v protipoplavno oziroma proti</w:t>
      </w:r>
      <w:r w:rsidR="00F221D8">
        <w:rPr>
          <w:rFonts w:eastAsiaTheme="minorHAnsi" w:cs="Arial"/>
          <w:szCs w:val="20"/>
        </w:rPr>
        <w:t xml:space="preserve"> </w:t>
      </w:r>
      <w:r w:rsidRPr="00FA3CAC">
        <w:rPr>
          <w:rFonts w:eastAsiaTheme="minorHAnsi" w:cs="Arial"/>
          <w:szCs w:val="20"/>
        </w:rPr>
        <w:t xml:space="preserve">plazovno zaščito športnih objektov, pri katerih je za to podan javni interes (so namenjeni zagotavljanju pogojev za več in bolj kakovostno ukvarjanje s športom in gibalnimi dejavnostmi za ohranjanje zdravja). </w:t>
      </w:r>
    </w:p>
    <w:p w14:paraId="67A059C1" w14:textId="11E3B7E3" w:rsidR="004F2728" w:rsidRPr="004F2728" w:rsidRDefault="00FA3CAC" w:rsidP="004034E2">
      <w:pPr>
        <w:spacing w:line="240" w:lineRule="auto"/>
        <w:jc w:val="both"/>
        <w:rPr>
          <w:rFonts w:cs="Arial"/>
          <w:bCs/>
          <w:szCs w:val="20"/>
          <w:lang w:eastAsia="sl-SI"/>
        </w:rPr>
      </w:pPr>
      <w:r w:rsidRPr="00FA3CAC">
        <w:rPr>
          <w:rFonts w:eastAsiaTheme="minorHAnsi" w:cs="Arial"/>
          <w:szCs w:val="20"/>
        </w:rPr>
        <w:t>Podrobnejša merila in pogoje za izbor investicij bo ministrstvo, pristojno za šport, določilo v okviru javnega razpisa.</w:t>
      </w:r>
    </w:p>
    <w:sectPr w:rsidR="004F2728" w:rsidRPr="004F2728" w:rsidSect="00A3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1FEE" w14:textId="77777777" w:rsidR="004720E6" w:rsidRDefault="004720E6" w:rsidP="008A4089">
      <w:pPr>
        <w:spacing w:line="240" w:lineRule="auto"/>
      </w:pPr>
      <w:r>
        <w:separator/>
      </w:r>
    </w:p>
  </w:endnote>
  <w:endnote w:type="continuationSeparator" w:id="0">
    <w:p w14:paraId="2F8C5AE5" w14:textId="77777777" w:rsidR="004720E6" w:rsidRDefault="004720E6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2B3E" w14:textId="77777777" w:rsidR="00DA46B8" w:rsidRDefault="00DA46B8" w:rsidP="00A340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3EB4E7" w14:textId="77777777" w:rsidR="00DA46B8" w:rsidRDefault="00DA46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C4FE" w14:textId="3EEF9780" w:rsidR="00DA46B8" w:rsidRDefault="00DA46B8" w:rsidP="00A3400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0CCE"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5A263D48" w14:textId="77777777" w:rsidR="00DA46B8" w:rsidRDefault="00DA46B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81DA" w14:textId="77777777" w:rsidR="004D3568" w:rsidRDefault="004D35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CC10" w14:textId="77777777" w:rsidR="004720E6" w:rsidRDefault="004720E6" w:rsidP="008A4089">
      <w:pPr>
        <w:spacing w:line="240" w:lineRule="auto"/>
      </w:pPr>
      <w:r>
        <w:separator/>
      </w:r>
    </w:p>
  </w:footnote>
  <w:footnote w:type="continuationSeparator" w:id="0">
    <w:p w14:paraId="4F6AD19D" w14:textId="77777777" w:rsidR="004720E6" w:rsidRDefault="004720E6" w:rsidP="008A4089">
      <w:pPr>
        <w:spacing w:line="240" w:lineRule="auto"/>
      </w:pPr>
      <w:r>
        <w:continuationSeparator/>
      </w:r>
    </w:p>
  </w:footnote>
  <w:footnote w:id="1">
    <w:p w14:paraId="53156166" w14:textId="0D91273F" w:rsidR="004034E2" w:rsidRDefault="004034E2" w:rsidP="004034E2">
      <w:pPr>
        <w:pStyle w:val="Sprotnaopomba-besedilo"/>
        <w:jc w:val="both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4034E2">
        <w:rPr>
          <w:sz w:val="16"/>
          <w:szCs w:val="16"/>
        </w:rPr>
        <w:t xml:space="preserve">Znesek zagotovljenih sredstev je pripravljen v skladu s predlaganimi spremembami Zakona o zagotavljanju finančnih sredstev za investicije v športno infrastrukturo v Republiki Sloveniji v letih od 2023 do 2027, ki je po opravljeni javni razpravi in medresorskem usklajevanju  v postopku sprejemanja na Vladi. S predlaganimi spremembami se podaljšuje ukrep zagotavljanja finančnih sredstev za investicije v športno infrastrukturo ter hkrati znižuje obseg sredstev, ki se za ta namen zagotovijo na letni ravni, in sicer </w:t>
      </w:r>
      <w:r w:rsidR="000A5B1E">
        <w:rPr>
          <w:sz w:val="16"/>
          <w:szCs w:val="16"/>
        </w:rPr>
        <w:t>s</w:t>
      </w:r>
      <w:r w:rsidR="000A5B1E" w:rsidRPr="004034E2">
        <w:rPr>
          <w:sz w:val="16"/>
          <w:szCs w:val="16"/>
        </w:rPr>
        <w:t xml:space="preserve"> </w:t>
      </w:r>
      <w:r w:rsidRPr="004034E2">
        <w:rPr>
          <w:sz w:val="16"/>
          <w:szCs w:val="16"/>
        </w:rPr>
        <w:t>30 milijonov evrov na 20 milijonov evrov. S temi spremembami ter razlogi zanje je Ministrstvo za gospodarstvo, turizem in šport predhodno seznanilo tudi reprezentativna združenja občin, Strokovni svet RS za šport in Olimpijski komite Slovenije.</w:t>
      </w:r>
      <w:r w:rsidR="007C0B19">
        <w:rPr>
          <w:sz w:val="16"/>
          <w:szCs w:val="16"/>
        </w:rPr>
        <w:t xml:space="preserve"> </w:t>
      </w:r>
      <w:r w:rsidR="000A5B1E">
        <w:rPr>
          <w:sz w:val="16"/>
          <w:szCs w:val="16"/>
        </w:rPr>
        <w:t xml:space="preserve">V skladu s predvideno spremembo ZFSŠI27 so bila tudi načrtovana proračunska sredstva za leto 2024. </w:t>
      </w:r>
      <w:r w:rsidR="007C0B19">
        <w:rPr>
          <w:sz w:val="16"/>
          <w:szCs w:val="16"/>
        </w:rPr>
        <w:t>Namenska sredstva za investicije v športno infrastrukturo so v letu 2024 vključena v Letni program športa in v tem opredeljena kot sredstva, zagotovljena na podlagi ZFSŠI27.</w:t>
      </w:r>
    </w:p>
    <w:p w14:paraId="0E1A8D12" w14:textId="022B4947" w:rsidR="00FC7D1B" w:rsidRDefault="00FC7D1B" w:rsidP="004034E2">
      <w:pPr>
        <w:pStyle w:val="Sprotnaopomba-besedilo"/>
        <w:jc w:val="both"/>
      </w:pPr>
      <w:r>
        <w:rPr>
          <w:rFonts w:cs="Arial"/>
          <w:sz w:val="16"/>
          <w:szCs w:val="16"/>
        </w:rPr>
        <w:t>²</w:t>
      </w:r>
      <w:r>
        <w:rPr>
          <w:sz w:val="16"/>
          <w:szCs w:val="16"/>
        </w:rPr>
        <w:t xml:space="preserve"> Ministrstvo za gospodarstvo turizem in šport načrtuje objavo javnega razpisa v letošnjem letu za leto 2024 in 2025, saj je zaradi narave investicij </w:t>
      </w:r>
      <w:r w:rsidR="00947B64">
        <w:rPr>
          <w:sz w:val="16"/>
          <w:szCs w:val="16"/>
        </w:rPr>
        <w:t xml:space="preserve">(priprave in izvedbe gradbenih del) utemeljeno pričakovati, da vsi izbrani in iz državnega proračuna sofinancirani investicijski projekti ne bodo zaključeni v letu 2024. Ministrstvo zato v ta namen načrtuje sredstva na proračunski postavki tudi za leto 2025, in sicer v višini 10.000.000,00 evrov.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F086" w14:textId="77777777" w:rsidR="004D3568" w:rsidRDefault="004D35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2E0" w14:textId="77777777" w:rsidR="00DA46B8" w:rsidRPr="00110CBD" w:rsidRDefault="00DA46B8" w:rsidP="00A34007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DA46B8" w:rsidRPr="008F3500" w14:paraId="6150FC0B" w14:textId="77777777" w:rsidTr="00A34007">
      <w:trPr>
        <w:trHeight w:hRule="exact" w:val="847"/>
      </w:trPr>
      <w:tc>
        <w:tcPr>
          <w:tcW w:w="649" w:type="dxa"/>
        </w:tcPr>
        <w:p w14:paraId="7D0CAD28" w14:textId="77777777" w:rsidR="00DA46B8" w:rsidRDefault="00DA46B8" w:rsidP="00A3400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A5BCE8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F0E88E0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4BA5DAEE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4CCC95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2F5498CC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B76988F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6FC7869B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483CE4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F8DA89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889ECDE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E50E11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3FD7B3B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5115C865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4BB5B9E2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15A90239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  <w:p w14:paraId="0FC7067F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DA46B8" w:rsidRPr="008F3500" w14:paraId="4FA1A33F" w14:textId="77777777" w:rsidTr="00A340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AE21DE4" w14:textId="77777777" w:rsidR="00DA46B8" w:rsidRPr="006D42D9" w:rsidRDefault="00DA46B8" w:rsidP="00A34007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070085A0" w14:textId="77777777" w:rsidR="00DA46B8" w:rsidRPr="008F3500" w:rsidRDefault="00DA46B8" w:rsidP="00A34007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EAFC6" wp14:editId="2E9A0A4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91896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A130785" w14:textId="77777777" w:rsidR="00DA46B8" w:rsidRPr="008A4089" w:rsidRDefault="00DA46B8" w:rsidP="00A3400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gospodarstvo, turizem in šport</w:t>
    </w:r>
  </w:p>
  <w:p w14:paraId="2E575EC7" w14:textId="77777777" w:rsidR="00DA46B8" w:rsidRPr="008F3500" w:rsidRDefault="00DA46B8" w:rsidP="00FE031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01 400 35 64</w:t>
    </w:r>
  </w:p>
  <w:p w14:paraId="68DBCCBC" w14:textId="77777777" w:rsidR="00DA46B8" w:rsidRPr="008F3500" w:rsidRDefault="00DA46B8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gp.mgts@gov.si</w:t>
    </w:r>
  </w:p>
  <w:p w14:paraId="534A3D56" w14:textId="77777777" w:rsidR="00DA46B8" w:rsidRPr="008F3500" w:rsidRDefault="00DA46B8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www.mgts.gov.si</w:t>
    </w:r>
  </w:p>
  <w:p w14:paraId="621FDB71" w14:textId="77777777" w:rsidR="00DA46B8" w:rsidRPr="008F3500" w:rsidRDefault="00DA46B8" w:rsidP="00A3400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482"/>
    <w:multiLevelType w:val="hybridMultilevel"/>
    <w:tmpl w:val="50124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268"/>
    <w:multiLevelType w:val="hybridMultilevel"/>
    <w:tmpl w:val="BF745F0E"/>
    <w:lvl w:ilvl="0" w:tplc="539CED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71D"/>
    <w:multiLevelType w:val="hybridMultilevel"/>
    <w:tmpl w:val="684C9280"/>
    <w:lvl w:ilvl="0" w:tplc="8CDAF3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431"/>
    <w:multiLevelType w:val="hybridMultilevel"/>
    <w:tmpl w:val="6B261C3E"/>
    <w:lvl w:ilvl="0" w:tplc="DC4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2314"/>
    <w:multiLevelType w:val="hybridMultilevel"/>
    <w:tmpl w:val="BD46C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666"/>
    <w:multiLevelType w:val="hybridMultilevel"/>
    <w:tmpl w:val="F2E6F1E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682"/>
    <w:multiLevelType w:val="multilevel"/>
    <w:tmpl w:val="0CC2B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B45FA9"/>
    <w:multiLevelType w:val="hybridMultilevel"/>
    <w:tmpl w:val="4328A20C"/>
    <w:lvl w:ilvl="0" w:tplc="0A04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344D4"/>
    <w:multiLevelType w:val="multilevel"/>
    <w:tmpl w:val="538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49AA"/>
    <w:multiLevelType w:val="hybridMultilevel"/>
    <w:tmpl w:val="0748B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04EF"/>
    <w:multiLevelType w:val="hybridMultilevel"/>
    <w:tmpl w:val="6C7C53E8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75B41EB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2112B"/>
    <w:multiLevelType w:val="hybridMultilevel"/>
    <w:tmpl w:val="A1E2D060"/>
    <w:lvl w:ilvl="0" w:tplc="73DE9A5A">
      <w:start w:val="4"/>
      <w:numFmt w:val="decimal"/>
      <w:lvlText w:val="%1."/>
      <w:lvlJc w:val="left"/>
      <w:pPr>
        <w:ind w:left="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8B9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2A2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62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5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6AC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8CD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A3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B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0864D4"/>
    <w:multiLevelType w:val="hybridMultilevel"/>
    <w:tmpl w:val="ADE8137A"/>
    <w:lvl w:ilvl="0" w:tplc="F36C02C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B3877"/>
    <w:multiLevelType w:val="hybridMultilevel"/>
    <w:tmpl w:val="2800C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24BA"/>
    <w:multiLevelType w:val="hybridMultilevel"/>
    <w:tmpl w:val="482AE8C6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86F73"/>
    <w:multiLevelType w:val="hybridMultilevel"/>
    <w:tmpl w:val="0748B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C69D3"/>
    <w:multiLevelType w:val="hybridMultilevel"/>
    <w:tmpl w:val="5E86AAC6"/>
    <w:lvl w:ilvl="0" w:tplc="0A04A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B1DF3"/>
    <w:multiLevelType w:val="hybridMultilevel"/>
    <w:tmpl w:val="2800CD4E"/>
    <w:lvl w:ilvl="0" w:tplc="08E0C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9200B"/>
    <w:multiLevelType w:val="hybridMultilevel"/>
    <w:tmpl w:val="5C84A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3EFB"/>
    <w:multiLevelType w:val="hybridMultilevel"/>
    <w:tmpl w:val="0748B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C70"/>
    <w:multiLevelType w:val="hybridMultilevel"/>
    <w:tmpl w:val="13AAA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E6516"/>
    <w:multiLevelType w:val="hybridMultilevel"/>
    <w:tmpl w:val="A316F02C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392F"/>
    <w:multiLevelType w:val="hybridMultilevel"/>
    <w:tmpl w:val="0914A6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16876">
    <w:abstractNumId w:val="6"/>
  </w:num>
  <w:num w:numId="2" w16cid:durableId="2012298628">
    <w:abstractNumId w:val="15"/>
  </w:num>
  <w:num w:numId="3" w16cid:durableId="1623685105">
    <w:abstractNumId w:val="10"/>
  </w:num>
  <w:num w:numId="4" w16cid:durableId="826358179">
    <w:abstractNumId w:val="17"/>
  </w:num>
  <w:num w:numId="5" w16cid:durableId="2046325807">
    <w:abstractNumId w:val="24"/>
  </w:num>
  <w:num w:numId="6" w16cid:durableId="545725795">
    <w:abstractNumId w:val="7"/>
  </w:num>
  <w:num w:numId="7" w16cid:durableId="976571430">
    <w:abstractNumId w:val="12"/>
  </w:num>
  <w:num w:numId="8" w16cid:durableId="512647093">
    <w:abstractNumId w:val="19"/>
  </w:num>
  <w:num w:numId="9" w16cid:durableId="966739373">
    <w:abstractNumId w:val="11"/>
  </w:num>
  <w:num w:numId="10" w16cid:durableId="1362128451">
    <w:abstractNumId w:val="5"/>
  </w:num>
  <w:num w:numId="11" w16cid:durableId="1042171977">
    <w:abstractNumId w:val="20"/>
  </w:num>
  <w:num w:numId="12" w16cid:durableId="575095322">
    <w:abstractNumId w:val="8"/>
  </w:num>
  <w:num w:numId="13" w16cid:durableId="381288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7483328">
    <w:abstractNumId w:val="4"/>
  </w:num>
  <w:num w:numId="15" w16cid:durableId="1588347026">
    <w:abstractNumId w:val="0"/>
  </w:num>
  <w:num w:numId="16" w16cid:durableId="952445965">
    <w:abstractNumId w:val="1"/>
  </w:num>
  <w:num w:numId="17" w16cid:durableId="1441799749">
    <w:abstractNumId w:val="18"/>
  </w:num>
  <w:num w:numId="18" w16cid:durableId="1631739116">
    <w:abstractNumId w:val="13"/>
  </w:num>
  <w:num w:numId="19" w16cid:durableId="1346060076">
    <w:abstractNumId w:val="23"/>
  </w:num>
  <w:num w:numId="20" w16cid:durableId="1052188867">
    <w:abstractNumId w:val="22"/>
  </w:num>
  <w:num w:numId="21" w16cid:durableId="1668315931">
    <w:abstractNumId w:val="21"/>
  </w:num>
  <w:num w:numId="22" w16cid:durableId="1932486">
    <w:abstractNumId w:val="3"/>
  </w:num>
  <w:num w:numId="23" w16cid:durableId="1857957817">
    <w:abstractNumId w:val="16"/>
  </w:num>
  <w:num w:numId="24" w16cid:durableId="1373386284">
    <w:abstractNumId w:val="9"/>
  </w:num>
  <w:num w:numId="25" w16cid:durableId="3474154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1782210">
    <w:abstractNumId w:val="14"/>
  </w:num>
  <w:num w:numId="27" w16cid:durableId="1624922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58"/>
    <w:rsid w:val="000150D5"/>
    <w:rsid w:val="000253F5"/>
    <w:rsid w:val="000278E7"/>
    <w:rsid w:val="000363A4"/>
    <w:rsid w:val="000428B3"/>
    <w:rsid w:val="0009132C"/>
    <w:rsid w:val="000A5B1E"/>
    <w:rsid w:val="000F547B"/>
    <w:rsid w:val="00111F14"/>
    <w:rsid w:val="00176FE0"/>
    <w:rsid w:val="0018186E"/>
    <w:rsid w:val="001B5A8B"/>
    <w:rsid w:val="001B6A43"/>
    <w:rsid w:val="001C4299"/>
    <w:rsid w:val="001D7DC6"/>
    <w:rsid w:val="00210598"/>
    <w:rsid w:val="00216CA9"/>
    <w:rsid w:val="002174EC"/>
    <w:rsid w:val="00220699"/>
    <w:rsid w:val="00230376"/>
    <w:rsid w:val="00235ACC"/>
    <w:rsid w:val="00240AD5"/>
    <w:rsid w:val="002455AA"/>
    <w:rsid w:val="00261D89"/>
    <w:rsid w:val="00264199"/>
    <w:rsid w:val="00272256"/>
    <w:rsid w:val="00291EE2"/>
    <w:rsid w:val="002941C3"/>
    <w:rsid w:val="002A5E44"/>
    <w:rsid w:val="002B74D3"/>
    <w:rsid w:val="0032062E"/>
    <w:rsid w:val="0032416A"/>
    <w:rsid w:val="003271C3"/>
    <w:rsid w:val="00332BF7"/>
    <w:rsid w:val="00334B1F"/>
    <w:rsid w:val="00343B9F"/>
    <w:rsid w:val="003702FA"/>
    <w:rsid w:val="00373914"/>
    <w:rsid w:val="003767C4"/>
    <w:rsid w:val="003970FB"/>
    <w:rsid w:val="003A1B44"/>
    <w:rsid w:val="003B5BD8"/>
    <w:rsid w:val="003E2A15"/>
    <w:rsid w:val="004034E2"/>
    <w:rsid w:val="00427A1A"/>
    <w:rsid w:val="00441FE0"/>
    <w:rsid w:val="004534F9"/>
    <w:rsid w:val="00457058"/>
    <w:rsid w:val="00463498"/>
    <w:rsid w:val="004720E6"/>
    <w:rsid w:val="00472864"/>
    <w:rsid w:val="00487008"/>
    <w:rsid w:val="004941CD"/>
    <w:rsid w:val="004B4D81"/>
    <w:rsid w:val="004D2A7A"/>
    <w:rsid w:val="004D3568"/>
    <w:rsid w:val="004E2BAE"/>
    <w:rsid w:val="004F05C8"/>
    <w:rsid w:val="004F1ACE"/>
    <w:rsid w:val="004F2728"/>
    <w:rsid w:val="005077CC"/>
    <w:rsid w:val="005141A8"/>
    <w:rsid w:val="005148B7"/>
    <w:rsid w:val="00536E28"/>
    <w:rsid w:val="00592305"/>
    <w:rsid w:val="00596622"/>
    <w:rsid w:val="005971E3"/>
    <w:rsid w:val="005E3A54"/>
    <w:rsid w:val="00604571"/>
    <w:rsid w:val="00614BE0"/>
    <w:rsid w:val="00631DA0"/>
    <w:rsid w:val="0063527A"/>
    <w:rsid w:val="00651BE1"/>
    <w:rsid w:val="0065317B"/>
    <w:rsid w:val="00680A13"/>
    <w:rsid w:val="006A560A"/>
    <w:rsid w:val="006B5FDC"/>
    <w:rsid w:val="006D33F1"/>
    <w:rsid w:val="006D381B"/>
    <w:rsid w:val="006E1440"/>
    <w:rsid w:val="00713E1B"/>
    <w:rsid w:val="00714DBF"/>
    <w:rsid w:val="00722D2E"/>
    <w:rsid w:val="00722E8D"/>
    <w:rsid w:val="00723C3C"/>
    <w:rsid w:val="00740BB4"/>
    <w:rsid w:val="007540C9"/>
    <w:rsid w:val="0079510C"/>
    <w:rsid w:val="0079637A"/>
    <w:rsid w:val="007A64F5"/>
    <w:rsid w:val="007B7B75"/>
    <w:rsid w:val="007C0B19"/>
    <w:rsid w:val="007C46B8"/>
    <w:rsid w:val="007D6B19"/>
    <w:rsid w:val="007F2304"/>
    <w:rsid w:val="008240AF"/>
    <w:rsid w:val="00837CEB"/>
    <w:rsid w:val="0085189D"/>
    <w:rsid w:val="00861176"/>
    <w:rsid w:val="00863AA6"/>
    <w:rsid w:val="00871308"/>
    <w:rsid w:val="00880DD1"/>
    <w:rsid w:val="008A26C3"/>
    <w:rsid w:val="008A4089"/>
    <w:rsid w:val="008B3358"/>
    <w:rsid w:val="008C0BFB"/>
    <w:rsid w:val="0092688C"/>
    <w:rsid w:val="00935359"/>
    <w:rsid w:val="00947B64"/>
    <w:rsid w:val="009749B6"/>
    <w:rsid w:val="00990CCE"/>
    <w:rsid w:val="009B3717"/>
    <w:rsid w:val="009F1CE5"/>
    <w:rsid w:val="009F1DF3"/>
    <w:rsid w:val="00A04B9B"/>
    <w:rsid w:val="00A123BD"/>
    <w:rsid w:val="00A27194"/>
    <w:rsid w:val="00A315AB"/>
    <w:rsid w:val="00A34007"/>
    <w:rsid w:val="00A62CD5"/>
    <w:rsid w:val="00A63D4A"/>
    <w:rsid w:val="00A75421"/>
    <w:rsid w:val="00A8231D"/>
    <w:rsid w:val="00AA4EFD"/>
    <w:rsid w:val="00AB388E"/>
    <w:rsid w:val="00AB660A"/>
    <w:rsid w:val="00AF5D5C"/>
    <w:rsid w:val="00B12F1A"/>
    <w:rsid w:val="00B150FC"/>
    <w:rsid w:val="00B23C6C"/>
    <w:rsid w:val="00B34F33"/>
    <w:rsid w:val="00B427D4"/>
    <w:rsid w:val="00B465A9"/>
    <w:rsid w:val="00B51F41"/>
    <w:rsid w:val="00B677F8"/>
    <w:rsid w:val="00B72236"/>
    <w:rsid w:val="00B74B0E"/>
    <w:rsid w:val="00B77554"/>
    <w:rsid w:val="00BA2046"/>
    <w:rsid w:val="00BD4978"/>
    <w:rsid w:val="00BF25DF"/>
    <w:rsid w:val="00C136CF"/>
    <w:rsid w:val="00C15CA1"/>
    <w:rsid w:val="00C24EF7"/>
    <w:rsid w:val="00C3025A"/>
    <w:rsid w:val="00C44180"/>
    <w:rsid w:val="00C44879"/>
    <w:rsid w:val="00C535F9"/>
    <w:rsid w:val="00C55659"/>
    <w:rsid w:val="00C676A8"/>
    <w:rsid w:val="00CB1A69"/>
    <w:rsid w:val="00CB1BEF"/>
    <w:rsid w:val="00CB4AD2"/>
    <w:rsid w:val="00CB4FF3"/>
    <w:rsid w:val="00CB6D92"/>
    <w:rsid w:val="00CD0B08"/>
    <w:rsid w:val="00CE4ED4"/>
    <w:rsid w:val="00CF59AE"/>
    <w:rsid w:val="00D4394C"/>
    <w:rsid w:val="00D476EE"/>
    <w:rsid w:val="00D5625B"/>
    <w:rsid w:val="00D66869"/>
    <w:rsid w:val="00D70807"/>
    <w:rsid w:val="00D8371F"/>
    <w:rsid w:val="00D86614"/>
    <w:rsid w:val="00D866A4"/>
    <w:rsid w:val="00DA46B8"/>
    <w:rsid w:val="00DB0E65"/>
    <w:rsid w:val="00DB7974"/>
    <w:rsid w:val="00DB7EB4"/>
    <w:rsid w:val="00E369C7"/>
    <w:rsid w:val="00E44228"/>
    <w:rsid w:val="00E45A76"/>
    <w:rsid w:val="00E45EFF"/>
    <w:rsid w:val="00EA33B2"/>
    <w:rsid w:val="00EE6F7C"/>
    <w:rsid w:val="00EF0A12"/>
    <w:rsid w:val="00EF1A0B"/>
    <w:rsid w:val="00EF1EB3"/>
    <w:rsid w:val="00F0693D"/>
    <w:rsid w:val="00F13FDD"/>
    <w:rsid w:val="00F17F85"/>
    <w:rsid w:val="00F221D8"/>
    <w:rsid w:val="00F60C74"/>
    <w:rsid w:val="00F74C0F"/>
    <w:rsid w:val="00FA3CAC"/>
    <w:rsid w:val="00FA7FF9"/>
    <w:rsid w:val="00FB2A18"/>
    <w:rsid w:val="00FB6300"/>
    <w:rsid w:val="00FC6A27"/>
    <w:rsid w:val="00FC7D1B"/>
    <w:rsid w:val="00FD146E"/>
    <w:rsid w:val="00FD2735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1E70"/>
  <w15:chartTrackingRefBased/>
  <w15:docId w15:val="{81381869-BE0E-4658-A7E2-025C76A7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4978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Revizija">
    <w:name w:val="Revision"/>
    <w:hidden/>
    <w:uiPriority w:val="99"/>
    <w:semiHidden/>
    <w:rsid w:val="00CB1BE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80D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80DD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80DD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0D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0DD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F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FE0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148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7D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7DC6"/>
    <w:rPr>
      <w:color w:val="605E5C"/>
      <w:shd w:val="clear" w:color="auto" w:fill="E1DFDD"/>
    </w:rPr>
  </w:style>
  <w:style w:type="paragraph" w:customStyle="1" w:styleId="Naslovpredpisa">
    <w:name w:val="Naslov_predpisa"/>
    <w:basedOn w:val="Navaden"/>
    <w:link w:val="NaslovpredpisaZnak"/>
    <w:qFormat/>
    <w:rsid w:val="007540C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7540C9"/>
    <w:rPr>
      <w:rFonts w:ascii="Arial" w:eastAsia="Times New Roman" w:hAnsi="Arial" w:cs="Arial"/>
      <w:b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034E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034E2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034E2"/>
    <w:rPr>
      <w:vertAlign w:val="superscript"/>
    </w:rPr>
  </w:style>
  <w:style w:type="paragraph" w:customStyle="1" w:styleId="Neotevilenodstavek">
    <w:name w:val="Neoštevilčen odstavek"/>
    <w:basedOn w:val="Navaden"/>
    <w:link w:val="NeotevilenodstavekZnak"/>
    <w:qFormat/>
    <w:rsid w:val="006D33F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D33F1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nikP31\Downloads\DNT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2E02EA-3846-4CAB-8BF8-B992CD8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DNT_SI</Template>
  <TotalTime>10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Robnik</dc:creator>
  <cp:keywords/>
  <dc:description/>
  <cp:lastModifiedBy>Ksenija Mavrič</cp:lastModifiedBy>
  <cp:revision>2</cp:revision>
  <cp:lastPrinted>2024-01-10T08:10:00Z</cp:lastPrinted>
  <dcterms:created xsi:type="dcterms:W3CDTF">2024-02-26T12:59:00Z</dcterms:created>
  <dcterms:modified xsi:type="dcterms:W3CDTF">2024-02-26T12:59:00Z</dcterms:modified>
</cp:coreProperties>
</file>