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4F9E" w14:textId="77777777" w:rsidR="00BD6A1D" w:rsidRPr="00BD6A1D" w:rsidRDefault="006943C1" w:rsidP="00683232">
      <w:pPr>
        <w:pStyle w:val="Glava"/>
        <w:tabs>
          <w:tab w:val="left" w:pos="5103"/>
        </w:tabs>
        <w:spacing w:line="240" w:lineRule="exact"/>
        <w:rPr>
          <w:rFonts w:cs="Arial"/>
          <w:sz w:val="16"/>
          <w:szCs w:val="16"/>
        </w:rPr>
      </w:pPr>
      <w:r>
        <w:rPr>
          <w:rFonts w:cs="Arial"/>
          <w:sz w:val="16"/>
          <w:szCs w:val="16"/>
        </w:rPr>
        <w:t xml:space="preserve">  </w:t>
      </w:r>
      <w:r w:rsidRPr="006943C1">
        <w:rPr>
          <w:rFonts w:cs="Arial"/>
          <w:sz w:val="16"/>
          <w:szCs w:val="16"/>
        </w:rPr>
        <w:t>Dunajska cesta 21</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 xml:space="preserve">T: 01 369 </w:t>
      </w:r>
      <w:r w:rsidR="00794550">
        <w:rPr>
          <w:rFonts w:cs="Arial"/>
          <w:sz w:val="16"/>
          <w:szCs w:val="16"/>
        </w:rPr>
        <w:t>79 40</w:t>
      </w:r>
    </w:p>
    <w:p w14:paraId="67325B6E"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 xml:space="preserve">E: </w:t>
      </w:r>
      <w:proofErr w:type="spellStart"/>
      <w:r w:rsidRPr="00BD6A1D">
        <w:rPr>
          <w:rFonts w:cs="Arial"/>
          <w:sz w:val="16"/>
          <w:szCs w:val="16"/>
        </w:rPr>
        <w:t>gp.</w:t>
      </w:r>
      <w:r w:rsidR="00683232">
        <w:rPr>
          <w:rFonts w:cs="Arial"/>
          <w:sz w:val="16"/>
          <w:szCs w:val="16"/>
        </w:rPr>
        <w:t>msp</w:t>
      </w:r>
      <w:r w:rsidRPr="00BD6A1D">
        <w:rPr>
          <w:rFonts w:cs="Arial"/>
          <w:sz w:val="16"/>
          <w:szCs w:val="16"/>
        </w:rPr>
        <w:t>@gov.si</w:t>
      </w:r>
      <w:proofErr w:type="spellEnd"/>
      <w:r w:rsidRPr="00BD6A1D">
        <w:rPr>
          <w:rFonts w:cs="Arial"/>
          <w:sz w:val="16"/>
          <w:szCs w:val="16"/>
        </w:rPr>
        <w:t xml:space="preserve"> </w:t>
      </w:r>
      <w:hyperlink r:id="rId7" w:history="1">
        <w:r w:rsidR="00683232" w:rsidRPr="00B45898">
          <w:rPr>
            <w:rStyle w:val="Hiperpovezava"/>
            <w:rFonts w:cs="Arial"/>
            <w:sz w:val="16"/>
            <w:szCs w:val="16"/>
          </w:rPr>
          <w:t>www.gov.si</w:t>
        </w:r>
      </w:hyperlink>
    </w:p>
    <w:p w14:paraId="11EA6EB2" w14:textId="66762ABF" w:rsidR="00BD6A1D" w:rsidRDefault="00BD6A1D" w:rsidP="00BD6A1D">
      <w:pPr>
        <w:pStyle w:val="Glava"/>
        <w:tabs>
          <w:tab w:val="left" w:pos="5112"/>
        </w:tabs>
        <w:spacing w:line="240" w:lineRule="exact"/>
        <w:ind w:left="5103"/>
        <w:rPr>
          <w:rFonts w:cs="Arial"/>
          <w:sz w:val="16"/>
          <w:szCs w:val="16"/>
        </w:rPr>
      </w:pPr>
    </w:p>
    <w:p w14:paraId="5E52C424" w14:textId="77777777" w:rsidR="00193301" w:rsidRPr="00BD6A1D" w:rsidRDefault="00193301" w:rsidP="00BD6A1D">
      <w:pPr>
        <w:pStyle w:val="Glava"/>
        <w:tabs>
          <w:tab w:val="left" w:pos="5112"/>
        </w:tabs>
        <w:spacing w:line="240" w:lineRule="exact"/>
        <w:ind w:left="5103"/>
        <w:rPr>
          <w:rFonts w:cs="Arial"/>
          <w:sz w:val="16"/>
          <w:szCs w:val="16"/>
        </w:rPr>
      </w:pPr>
    </w:p>
    <w:tbl>
      <w:tblPr>
        <w:tblW w:w="9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4641"/>
        <w:gridCol w:w="794"/>
        <w:gridCol w:w="2267"/>
      </w:tblGrid>
      <w:tr w:rsidR="00AE1F83" w:rsidRPr="00AE1F83" w14:paraId="058AA467" w14:textId="77777777" w:rsidTr="00AA1EE9">
        <w:trPr>
          <w:gridAfter w:val="2"/>
          <w:wAfter w:w="3061" w:type="dxa"/>
          <w:trHeight w:val="255"/>
        </w:trPr>
        <w:tc>
          <w:tcPr>
            <w:tcW w:w="6086" w:type="dxa"/>
            <w:gridSpan w:val="2"/>
          </w:tcPr>
          <w:p w14:paraId="69A54D12" w14:textId="365710BA"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5C4967">
              <w:rPr>
                <w:rFonts w:eastAsia="Times New Roman" w:cs="Arial"/>
                <w:szCs w:val="20"/>
                <w:lang w:eastAsia="sl-SI"/>
              </w:rPr>
              <w:t>41</w:t>
            </w:r>
            <w:r w:rsidR="004D2A86">
              <w:rPr>
                <w:rFonts w:eastAsia="Times New Roman" w:cs="Arial"/>
                <w:szCs w:val="20"/>
                <w:lang w:eastAsia="sl-SI"/>
              </w:rPr>
              <w:t>0</w:t>
            </w:r>
            <w:r w:rsidR="005C4967">
              <w:rPr>
                <w:rFonts w:eastAsia="Times New Roman" w:cs="Arial"/>
                <w:szCs w:val="20"/>
                <w:lang w:eastAsia="sl-SI"/>
              </w:rPr>
              <w:t>1-</w:t>
            </w:r>
            <w:r w:rsidR="0003694D">
              <w:rPr>
                <w:rFonts w:eastAsia="Times New Roman" w:cs="Arial"/>
                <w:szCs w:val="20"/>
                <w:lang w:eastAsia="sl-SI"/>
              </w:rPr>
              <w:t>1</w:t>
            </w:r>
            <w:r w:rsidR="009B4986">
              <w:rPr>
                <w:rFonts w:eastAsia="Times New Roman" w:cs="Arial"/>
                <w:szCs w:val="20"/>
                <w:lang w:eastAsia="sl-SI"/>
              </w:rPr>
              <w:t>3</w:t>
            </w:r>
            <w:r w:rsidR="005C4967">
              <w:rPr>
                <w:rFonts w:eastAsia="Times New Roman" w:cs="Arial"/>
                <w:szCs w:val="20"/>
                <w:lang w:eastAsia="sl-SI"/>
              </w:rPr>
              <w:t>/202</w:t>
            </w:r>
            <w:r w:rsidR="0003694D">
              <w:rPr>
                <w:rFonts w:eastAsia="Times New Roman" w:cs="Arial"/>
                <w:szCs w:val="20"/>
                <w:lang w:eastAsia="sl-SI"/>
              </w:rPr>
              <w:t>4</w:t>
            </w:r>
            <w:r w:rsidR="005C4967">
              <w:rPr>
                <w:rFonts w:eastAsia="Times New Roman" w:cs="Arial"/>
                <w:szCs w:val="20"/>
                <w:lang w:eastAsia="sl-SI"/>
              </w:rPr>
              <w:t>-2</w:t>
            </w:r>
            <w:r w:rsidR="0003694D">
              <w:rPr>
                <w:rFonts w:eastAsia="Times New Roman" w:cs="Arial"/>
                <w:szCs w:val="20"/>
                <w:lang w:eastAsia="sl-SI"/>
              </w:rPr>
              <w:t>720-</w:t>
            </w:r>
            <w:r w:rsidR="005D3949">
              <w:rPr>
                <w:rFonts w:eastAsia="Times New Roman" w:cs="Arial"/>
                <w:szCs w:val="20"/>
                <w:lang w:eastAsia="sl-SI"/>
              </w:rPr>
              <w:t>46</w:t>
            </w:r>
          </w:p>
        </w:tc>
      </w:tr>
      <w:tr w:rsidR="00AE1F83" w:rsidRPr="00AE1F83" w14:paraId="324E21C5" w14:textId="77777777" w:rsidTr="00AA1EE9">
        <w:trPr>
          <w:gridAfter w:val="2"/>
          <w:wAfter w:w="3061" w:type="dxa"/>
          <w:trHeight w:val="255"/>
        </w:trPr>
        <w:tc>
          <w:tcPr>
            <w:tcW w:w="6086" w:type="dxa"/>
            <w:gridSpan w:val="2"/>
          </w:tcPr>
          <w:p w14:paraId="32D1B65F" w14:textId="072839CD"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Ljubljana</w:t>
            </w:r>
            <w:r w:rsidR="00193301">
              <w:rPr>
                <w:rFonts w:eastAsia="Times New Roman" w:cs="Arial"/>
                <w:szCs w:val="20"/>
                <w:lang w:eastAsia="sl-SI"/>
              </w:rPr>
              <w:t xml:space="preserve">, </w:t>
            </w:r>
            <w:r w:rsidR="005D3949">
              <w:rPr>
                <w:rFonts w:eastAsia="Times New Roman" w:cs="Arial"/>
                <w:szCs w:val="20"/>
                <w:lang w:eastAsia="sl-SI"/>
              </w:rPr>
              <w:t>2. 4. 2025</w:t>
            </w:r>
          </w:p>
        </w:tc>
      </w:tr>
      <w:tr w:rsidR="00AE1F83" w:rsidRPr="00AE1F83" w14:paraId="0ED184A8" w14:textId="77777777" w:rsidTr="00AA1EE9">
        <w:trPr>
          <w:gridAfter w:val="2"/>
          <w:wAfter w:w="3061" w:type="dxa"/>
          <w:trHeight w:val="255"/>
        </w:trPr>
        <w:tc>
          <w:tcPr>
            <w:tcW w:w="6086" w:type="dxa"/>
            <w:gridSpan w:val="2"/>
          </w:tcPr>
          <w:p w14:paraId="7A725270" w14:textId="3D019E16"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p>
        </w:tc>
      </w:tr>
      <w:tr w:rsidR="00AE1F83" w:rsidRPr="00AE1F83" w14:paraId="02F3913B" w14:textId="77777777" w:rsidTr="00AA1EE9">
        <w:trPr>
          <w:gridAfter w:val="2"/>
          <w:wAfter w:w="3061" w:type="dxa"/>
          <w:trHeight w:val="1036"/>
        </w:trPr>
        <w:tc>
          <w:tcPr>
            <w:tcW w:w="6086" w:type="dxa"/>
            <w:gridSpan w:val="2"/>
          </w:tcPr>
          <w:p w14:paraId="16DADF26" w14:textId="77777777" w:rsidR="00AE1F83" w:rsidRPr="00AE1F83" w:rsidRDefault="00AE1F83" w:rsidP="00AE1F83">
            <w:pPr>
              <w:spacing w:after="0" w:line="260" w:lineRule="exact"/>
              <w:rPr>
                <w:rFonts w:eastAsia="Times New Roman" w:cs="Arial"/>
                <w:szCs w:val="20"/>
              </w:rPr>
            </w:pPr>
          </w:p>
          <w:p w14:paraId="65AF7E88"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18961D6C" w14:textId="77777777" w:rsidR="00AE1F83" w:rsidRPr="00AE1F83" w:rsidRDefault="00000000" w:rsidP="00AE1F83">
            <w:pPr>
              <w:spacing w:after="0" w:line="260" w:lineRule="exact"/>
              <w:rPr>
                <w:rFonts w:eastAsia="Times New Roman" w:cs="Arial"/>
                <w:szCs w:val="20"/>
              </w:rPr>
            </w:pPr>
            <w:hyperlink r:id="rId8" w:history="1">
              <w:r w:rsidR="00AE1F83" w:rsidRPr="00AE1F83">
                <w:rPr>
                  <w:rFonts w:eastAsia="Times New Roman"/>
                  <w:color w:val="0000FF"/>
                  <w:szCs w:val="20"/>
                  <w:u w:val="single"/>
                </w:rPr>
                <w:t>Gp.gs@gov.si</w:t>
              </w:r>
            </w:hyperlink>
          </w:p>
          <w:p w14:paraId="51F36EEE" w14:textId="77777777" w:rsidR="00AE1F83" w:rsidRPr="00AE1F83" w:rsidRDefault="00AE1F83" w:rsidP="00AE1F83">
            <w:pPr>
              <w:spacing w:after="0" w:line="260" w:lineRule="exact"/>
              <w:rPr>
                <w:rFonts w:eastAsia="Times New Roman" w:cs="Arial"/>
                <w:szCs w:val="20"/>
              </w:rPr>
            </w:pPr>
          </w:p>
        </w:tc>
      </w:tr>
      <w:tr w:rsidR="00193301" w:rsidRPr="00AE1F83" w14:paraId="78E7FEDF" w14:textId="77777777" w:rsidTr="00AA1EE9">
        <w:trPr>
          <w:trHeight w:val="510"/>
        </w:trPr>
        <w:tc>
          <w:tcPr>
            <w:tcW w:w="9147" w:type="dxa"/>
            <w:gridSpan w:val="4"/>
          </w:tcPr>
          <w:p w14:paraId="55174612" w14:textId="17B88F30" w:rsidR="00193301" w:rsidRPr="00193301" w:rsidRDefault="00193301" w:rsidP="00193301">
            <w:pPr>
              <w:suppressAutoHyphens/>
              <w:overflowPunct w:val="0"/>
              <w:autoSpaceDE w:val="0"/>
              <w:autoSpaceDN w:val="0"/>
              <w:adjustRightInd w:val="0"/>
              <w:spacing w:after="0" w:line="260" w:lineRule="exact"/>
              <w:textAlignment w:val="baseline"/>
              <w:rPr>
                <w:rFonts w:eastAsia="Times New Roman" w:cs="Arial"/>
                <w:b/>
                <w:bCs/>
                <w:szCs w:val="20"/>
                <w:lang w:eastAsia="sl-SI"/>
              </w:rPr>
            </w:pPr>
            <w:r w:rsidRPr="00193301">
              <w:rPr>
                <w:b/>
                <w:bCs/>
                <w:szCs w:val="20"/>
              </w:rPr>
              <w:t xml:space="preserve">ZADEVA: </w:t>
            </w:r>
            <w:r w:rsidR="009B4986" w:rsidRPr="009B4986">
              <w:rPr>
                <w:rFonts w:eastAsia="Times New Roman"/>
                <w:b/>
                <w:bCs/>
                <w:szCs w:val="20"/>
              </w:rPr>
              <w:t>Sprememba izhodiščne vrednosti ter podaljšanje in ponovna uvrstitev projekta 2611-22-</w:t>
            </w:r>
            <w:r w:rsidR="00771E8C" w:rsidRPr="00771E8C">
              <w:rPr>
                <w:rFonts w:eastAsia="Times New Roman"/>
                <w:b/>
                <w:bCs/>
                <w:szCs w:val="20"/>
              </w:rPr>
              <w:t xml:space="preserve">0905 – Izgradnja delavnic - VDC Novo mesto, enota Trebnje </w:t>
            </w:r>
            <w:r w:rsidR="009B4986" w:rsidRPr="009B4986">
              <w:rPr>
                <w:rFonts w:eastAsia="Times New Roman"/>
                <w:b/>
                <w:bCs/>
                <w:szCs w:val="20"/>
              </w:rPr>
              <w:t>v veljavni Načrt razvojnih programov 2025 – 2028 – gradivo za obravnavo</w:t>
            </w:r>
          </w:p>
        </w:tc>
      </w:tr>
      <w:tr w:rsidR="00193301" w:rsidRPr="00AE1F83" w14:paraId="172409D9" w14:textId="77777777" w:rsidTr="00AA1EE9">
        <w:trPr>
          <w:trHeight w:val="255"/>
        </w:trPr>
        <w:tc>
          <w:tcPr>
            <w:tcW w:w="9147" w:type="dxa"/>
            <w:gridSpan w:val="4"/>
          </w:tcPr>
          <w:p w14:paraId="7729BC27"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193301" w:rsidRPr="00AE1F83" w14:paraId="7AF751C0" w14:textId="77777777" w:rsidTr="00AA1EE9">
        <w:trPr>
          <w:trHeight w:val="6593"/>
        </w:trPr>
        <w:tc>
          <w:tcPr>
            <w:tcW w:w="9147" w:type="dxa"/>
            <w:gridSpan w:val="4"/>
          </w:tcPr>
          <w:p w14:paraId="2AEFCE8F" w14:textId="77777777" w:rsidR="00193301" w:rsidRDefault="00193301" w:rsidP="00193301">
            <w:pPr>
              <w:pStyle w:val="Neotevilenodstavek"/>
              <w:rPr>
                <w:iCs/>
                <w:sz w:val="20"/>
                <w:szCs w:val="20"/>
              </w:rPr>
            </w:pPr>
          </w:p>
          <w:p w14:paraId="36265117" w14:textId="77777777"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bookmarkStart w:id="0" w:name="_Hlk190080034"/>
            <w:r w:rsidRPr="009B4986">
              <w:rPr>
                <w:rFonts w:eastAsia="Times New Roman" w:cs="Arial"/>
                <w:iCs/>
                <w:szCs w:val="20"/>
                <w:lang w:eastAsia="sl-SI"/>
              </w:rPr>
              <w:t xml:space="preserve">Na podlagi petega odstavka 31. člena Zakona o izvrševanju proračunov Republike Slovenije za leti 2025 in 2026 (Uradni list RS, </w:t>
            </w:r>
            <w:bookmarkStart w:id="1" w:name="_Hlk93915835"/>
            <w:r w:rsidRPr="009B4986">
              <w:rPr>
                <w:rFonts w:eastAsia="Times New Roman" w:cs="Arial"/>
                <w:iCs/>
                <w:szCs w:val="20"/>
                <w:lang w:eastAsia="sl-SI"/>
              </w:rPr>
              <w:t xml:space="preserve">št. </w:t>
            </w:r>
            <w:bookmarkEnd w:id="1"/>
            <w:r w:rsidRPr="009B4986">
              <w:rPr>
                <w:rFonts w:eastAsia="Times New Roman" w:cs="Arial"/>
                <w:iCs/>
                <w:szCs w:val="20"/>
                <w:lang w:eastAsia="sl-SI"/>
              </w:rPr>
              <w:t xml:space="preserve">104/24) je Vlada Republike Slovenije na seji dne………………sprejela naslednji </w:t>
            </w:r>
          </w:p>
          <w:p w14:paraId="7701BC57" w14:textId="77777777" w:rsidR="009B4986" w:rsidRPr="009B4986" w:rsidRDefault="009B4986" w:rsidP="009B4986">
            <w:pPr>
              <w:overflowPunct w:val="0"/>
              <w:autoSpaceDE w:val="0"/>
              <w:autoSpaceDN w:val="0"/>
              <w:adjustRightInd w:val="0"/>
              <w:spacing w:after="0" w:line="240" w:lineRule="auto"/>
              <w:jc w:val="both"/>
              <w:textAlignment w:val="baseline"/>
              <w:rPr>
                <w:rFonts w:eastAsia="Times New Roman" w:cs="Arial"/>
                <w:iCs/>
                <w:szCs w:val="20"/>
                <w:lang w:eastAsia="sl-SI"/>
              </w:rPr>
            </w:pPr>
          </w:p>
          <w:p w14:paraId="18A33F68" w14:textId="77777777" w:rsidR="009B4986" w:rsidRPr="009B4986" w:rsidRDefault="009B4986" w:rsidP="009B4986">
            <w:pPr>
              <w:overflowPunct w:val="0"/>
              <w:autoSpaceDE w:val="0"/>
              <w:autoSpaceDN w:val="0"/>
              <w:adjustRightInd w:val="0"/>
              <w:spacing w:after="0" w:line="240" w:lineRule="auto"/>
              <w:jc w:val="center"/>
              <w:textAlignment w:val="baseline"/>
              <w:rPr>
                <w:rFonts w:eastAsia="Times New Roman" w:cs="Arial"/>
                <w:iCs/>
                <w:szCs w:val="20"/>
                <w:lang w:eastAsia="sl-SI"/>
              </w:rPr>
            </w:pPr>
            <w:r w:rsidRPr="009B4986">
              <w:rPr>
                <w:rFonts w:eastAsia="Times New Roman" w:cs="Arial"/>
                <w:iCs/>
                <w:szCs w:val="20"/>
                <w:lang w:eastAsia="sl-SI"/>
              </w:rPr>
              <w:t>SKLEP:</w:t>
            </w:r>
          </w:p>
          <w:p w14:paraId="49C43E8A" w14:textId="77777777" w:rsidR="009B4986" w:rsidRPr="009B4986" w:rsidRDefault="009B4986" w:rsidP="009B4986">
            <w:pPr>
              <w:overflowPunct w:val="0"/>
              <w:autoSpaceDE w:val="0"/>
              <w:autoSpaceDN w:val="0"/>
              <w:adjustRightInd w:val="0"/>
              <w:spacing w:after="0" w:line="240" w:lineRule="auto"/>
              <w:jc w:val="center"/>
              <w:textAlignment w:val="baseline"/>
              <w:rPr>
                <w:rFonts w:eastAsia="Times New Roman" w:cs="Arial"/>
                <w:iCs/>
                <w:szCs w:val="20"/>
                <w:lang w:eastAsia="sl-SI"/>
              </w:rPr>
            </w:pPr>
          </w:p>
          <w:p w14:paraId="2EF74EAD" w14:textId="6D1D6913" w:rsidR="00771E8C" w:rsidRPr="00771E8C" w:rsidRDefault="009B4986" w:rsidP="00771E8C">
            <w:pPr>
              <w:jc w:val="both"/>
              <w:rPr>
                <w:rFonts w:eastAsia="Times New Roman"/>
                <w:szCs w:val="24"/>
              </w:rPr>
            </w:pPr>
            <w:bookmarkStart w:id="2" w:name="_Hlk188450193"/>
            <w:r w:rsidRPr="009B4986">
              <w:rPr>
                <w:rFonts w:eastAsia="Times New Roman"/>
                <w:iCs/>
                <w:szCs w:val="20"/>
              </w:rPr>
              <w:t>V veljavnem Načrtu razvojnih programov 2025–202</w:t>
            </w:r>
            <w:r w:rsidR="00771E8C">
              <w:rPr>
                <w:rFonts w:eastAsia="Times New Roman"/>
                <w:iCs/>
                <w:szCs w:val="20"/>
              </w:rPr>
              <w:t>8</w:t>
            </w:r>
            <w:r w:rsidRPr="009B4986">
              <w:rPr>
                <w:rFonts w:eastAsia="Times New Roman"/>
                <w:iCs/>
                <w:szCs w:val="20"/>
              </w:rPr>
              <w:t xml:space="preserve"> se, v skladu s podatki iz priložene tabele, poveča izhodiščna vrednost ter podaljša in ponovno uvrsti projekt, ki izhaja iz evidenčnega projekta </w:t>
            </w:r>
            <w:r w:rsidR="00771E8C" w:rsidRPr="00771E8C">
              <w:rPr>
                <w:rFonts w:eastAsia="Times New Roman"/>
                <w:iCs/>
                <w:color w:val="000000"/>
                <w:szCs w:val="20"/>
              </w:rPr>
              <w:t>2611-13-0001 – n</w:t>
            </w:r>
            <w:r w:rsidR="00771E8C" w:rsidRPr="00771E8C">
              <w:rPr>
                <w:rFonts w:eastAsia="Times New Roman"/>
                <w:iCs/>
                <w:szCs w:val="20"/>
              </w:rPr>
              <w:t>ovogradnje, adaptacije, rekonstrukcije, oprema za SV zavode, in sicer</w:t>
            </w:r>
            <w:r w:rsidR="00771E8C" w:rsidRPr="00771E8C">
              <w:rPr>
                <w:rFonts w:eastAsia="Times New Roman"/>
                <w:iCs/>
                <w:color w:val="000000"/>
                <w:szCs w:val="20"/>
              </w:rPr>
              <w:t>: 2611-22-0905– Izgradnja delavnic - VDC Novo mesto, enota Trebnje</w:t>
            </w:r>
            <w:r w:rsidR="00771E8C" w:rsidRPr="00771E8C">
              <w:rPr>
                <w:rFonts w:eastAsia="Times New Roman"/>
                <w:b/>
                <w:iCs/>
                <w:color w:val="000000"/>
                <w:szCs w:val="20"/>
              </w:rPr>
              <w:t xml:space="preserve">, </w:t>
            </w:r>
            <w:r w:rsidR="00771E8C" w:rsidRPr="00771E8C">
              <w:rPr>
                <w:rFonts w:eastAsia="Times New Roman"/>
                <w:iCs/>
                <w:color w:val="000000"/>
                <w:szCs w:val="20"/>
              </w:rPr>
              <w:t xml:space="preserve">ki sodi v skupino projektov, 2611-13-S001 – </w:t>
            </w:r>
            <w:r w:rsidR="00771E8C" w:rsidRPr="00771E8C">
              <w:rPr>
                <w:rFonts w:eastAsia="Times New Roman" w:cs="Arial"/>
                <w:szCs w:val="20"/>
              </w:rPr>
              <w:t>Poslovni prostori in oprema CSD, VDC, ZU in vozila</w:t>
            </w:r>
            <w:r w:rsidR="00771E8C" w:rsidRPr="00771E8C">
              <w:rPr>
                <w:rFonts w:eastAsia="Times New Roman"/>
                <w:iCs/>
                <w:color w:val="000000"/>
                <w:szCs w:val="20"/>
              </w:rPr>
              <w:t>.</w:t>
            </w:r>
          </w:p>
          <w:bookmarkEnd w:id="0"/>
          <w:bookmarkEnd w:id="2"/>
          <w:p w14:paraId="7904BD07" w14:textId="60921D5C" w:rsidR="00193301" w:rsidRPr="00670EE1" w:rsidRDefault="00193301" w:rsidP="00193301">
            <w:pPr>
              <w:pStyle w:val="Neotevilenodstavek"/>
              <w:rPr>
                <w:iCs/>
                <w:sz w:val="20"/>
                <w:szCs w:val="20"/>
              </w:rPr>
            </w:pPr>
          </w:p>
          <w:p w14:paraId="45D4BC57" w14:textId="77777777" w:rsidR="00193301" w:rsidRPr="00670EE1" w:rsidRDefault="00193301" w:rsidP="00193301">
            <w:pPr>
              <w:pStyle w:val="Neotevilenodstavek"/>
              <w:rPr>
                <w:iCs/>
                <w:sz w:val="20"/>
                <w:szCs w:val="20"/>
              </w:rPr>
            </w:pPr>
          </w:p>
          <w:p w14:paraId="0D4A26C2" w14:textId="77777777" w:rsidR="00193301" w:rsidRPr="00670EE1" w:rsidRDefault="00193301" w:rsidP="00193301">
            <w:pPr>
              <w:pStyle w:val="Neotevilenodstavek"/>
              <w:rPr>
                <w:iCs/>
                <w:sz w:val="20"/>
                <w:szCs w:val="20"/>
              </w:rPr>
            </w:pPr>
            <w:r w:rsidRPr="00670EE1">
              <w:rPr>
                <w:iCs/>
                <w:sz w:val="20"/>
                <w:szCs w:val="20"/>
              </w:rPr>
              <w:t>Številka:</w:t>
            </w:r>
          </w:p>
          <w:p w14:paraId="70BD8916" w14:textId="77777777" w:rsidR="00193301" w:rsidRPr="00670EE1" w:rsidRDefault="00193301" w:rsidP="00193301">
            <w:pPr>
              <w:pStyle w:val="Neotevilenodstavek"/>
              <w:rPr>
                <w:iCs/>
                <w:sz w:val="20"/>
                <w:szCs w:val="20"/>
              </w:rPr>
            </w:pPr>
            <w:r w:rsidRPr="00670EE1">
              <w:rPr>
                <w:iCs/>
                <w:sz w:val="20"/>
                <w:szCs w:val="20"/>
              </w:rPr>
              <w:t>V Ljubljani, dne</w:t>
            </w:r>
          </w:p>
          <w:p w14:paraId="3240FC11" w14:textId="77777777" w:rsidR="00193301" w:rsidRPr="00670EE1" w:rsidRDefault="00193301" w:rsidP="00193301">
            <w:pPr>
              <w:pStyle w:val="Neotevilenodstavek"/>
              <w:rPr>
                <w:iCs/>
                <w:sz w:val="20"/>
                <w:szCs w:val="20"/>
              </w:rPr>
            </w:pPr>
          </w:p>
          <w:p w14:paraId="0212E163" w14:textId="77777777" w:rsidR="00193301" w:rsidRPr="00875E9F" w:rsidRDefault="00193301" w:rsidP="00193301">
            <w:pPr>
              <w:pStyle w:val="Neotevilenodstavek"/>
              <w:rPr>
                <w:iCs/>
                <w:sz w:val="20"/>
                <w:szCs w:val="20"/>
                <w:highlight w:val="yellow"/>
              </w:rPr>
            </w:pPr>
            <w:r w:rsidRPr="00670EE1">
              <w:rPr>
                <w:iCs/>
                <w:sz w:val="20"/>
                <w:szCs w:val="20"/>
              </w:rPr>
              <w:t xml:space="preserve">                                                                                       </w:t>
            </w:r>
            <w:r>
              <w:rPr>
                <w:iCs/>
                <w:sz w:val="20"/>
                <w:szCs w:val="20"/>
              </w:rPr>
              <w:t>Barbara Kolenko Helbl</w:t>
            </w:r>
          </w:p>
          <w:p w14:paraId="295D31D6" w14:textId="77777777" w:rsidR="00193301" w:rsidRPr="00670EE1" w:rsidRDefault="00193301" w:rsidP="00193301">
            <w:pPr>
              <w:pStyle w:val="Neotevilenodstavek"/>
              <w:rPr>
                <w:iCs/>
                <w:sz w:val="20"/>
                <w:szCs w:val="20"/>
              </w:rPr>
            </w:pPr>
            <w:r w:rsidRPr="00C73D98">
              <w:rPr>
                <w:iCs/>
                <w:sz w:val="20"/>
                <w:szCs w:val="20"/>
              </w:rPr>
              <w:t xml:space="preserve">                                                                                      </w:t>
            </w:r>
            <w:r>
              <w:rPr>
                <w:iCs/>
                <w:sz w:val="20"/>
                <w:szCs w:val="20"/>
              </w:rPr>
              <w:t xml:space="preserve"> </w:t>
            </w:r>
            <w:r w:rsidRPr="00C73D98">
              <w:rPr>
                <w:iCs/>
                <w:sz w:val="20"/>
                <w:szCs w:val="20"/>
              </w:rPr>
              <w:t>generaln</w:t>
            </w:r>
            <w:r>
              <w:rPr>
                <w:iCs/>
                <w:sz w:val="20"/>
                <w:szCs w:val="20"/>
              </w:rPr>
              <w:t>a</w:t>
            </w:r>
            <w:r w:rsidRPr="00C73D98">
              <w:rPr>
                <w:iCs/>
                <w:sz w:val="20"/>
                <w:szCs w:val="20"/>
              </w:rPr>
              <w:t xml:space="preserve"> sekretar</w:t>
            </w:r>
            <w:r>
              <w:rPr>
                <w:iCs/>
                <w:sz w:val="20"/>
                <w:szCs w:val="20"/>
              </w:rPr>
              <w:t>ka</w:t>
            </w:r>
          </w:p>
          <w:p w14:paraId="774DB249" w14:textId="77777777" w:rsidR="00193301" w:rsidRPr="00670EE1" w:rsidRDefault="00193301" w:rsidP="00193301">
            <w:pPr>
              <w:pStyle w:val="Neotevilenodstavek"/>
              <w:rPr>
                <w:iCs/>
                <w:sz w:val="20"/>
                <w:szCs w:val="20"/>
              </w:rPr>
            </w:pPr>
          </w:p>
          <w:p w14:paraId="7ABD9FAA" w14:textId="77777777" w:rsidR="00193301" w:rsidRPr="00670EE1" w:rsidRDefault="00193301" w:rsidP="00193301">
            <w:pPr>
              <w:pStyle w:val="Neotevilenodstavek"/>
              <w:rPr>
                <w:iCs/>
                <w:sz w:val="20"/>
                <w:szCs w:val="20"/>
              </w:rPr>
            </w:pPr>
          </w:p>
          <w:p w14:paraId="57A3346B" w14:textId="77777777" w:rsidR="00193301" w:rsidRPr="00670EE1" w:rsidRDefault="00193301" w:rsidP="00193301">
            <w:pPr>
              <w:pStyle w:val="Neotevilenodstavek"/>
              <w:rPr>
                <w:iCs/>
                <w:sz w:val="20"/>
                <w:szCs w:val="20"/>
              </w:rPr>
            </w:pPr>
          </w:p>
          <w:p w14:paraId="2B1EC9DC" w14:textId="77777777" w:rsidR="00193301" w:rsidRPr="00670EE1" w:rsidRDefault="00193301" w:rsidP="00193301">
            <w:pPr>
              <w:keepLines/>
              <w:rPr>
                <w:rFonts w:cs="Arial"/>
                <w:bCs/>
                <w:szCs w:val="20"/>
              </w:rPr>
            </w:pPr>
            <w:r w:rsidRPr="00670EE1">
              <w:rPr>
                <w:rFonts w:cs="Arial"/>
                <w:bCs/>
                <w:szCs w:val="20"/>
              </w:rPr>
              <w:t>Prejme</w:t>
            </w:r>
            <w:r>
              <w:rPr>
                <w:rFonts w:cs="Arial"/>
                <w:bCs/>
                <w:szCs w:val="20"/>
              </w:rPr>
              <w:t>ta</w:t>
            </w:r>
            <w:r w:rsidRPr="00670EE1">
              <w:rPr>
                <w:rFonts w:cs="Arial"/>
                <w:bCs/>
                <w:szCs w:val="20"/>
              </w:rPr>
              <w:t>:</w:t>
            </w:r>
          </w:p>
          <w:p w14:paraId="5732C05B" w14:textId="7070AD25" w:rsidR="00193301" w:rsidRPr="00670EE1" w:rsidRDefault="00193301" w:rsidP="00193301">
            <w:pPr>
              <w:pStyle w:val="Odstavekseznama"/>
              <w:keepLines/>
              <w:numPr>
                <w:ilvl w:val="0"/>
                <w:numId w:val="12"/>
              </w:numPr>
              <w:spacing w:line="260" w:lineRule="exact"/>
              <w:contextualSpacing/>
              <w:rPr>
                <w:rFonts w:ascii="Arial" w:hAnsi="Arial" w:cs="Arial"/>
                <w:bCs/>
                <w:sz w:val="20"/>
                <w:szCs w:val="20"/>
              </w:rPr>
            </w:pPr>
            <w:r w:rsidRPr="00670EE1">
              <w:rPr>
                <w:rFonts w:ascii="Arial" w:hAnsi="Arial" w:cs="Arial"/>
                <w:bCs/>
                <w:sz w:val="20"/>
                <w:szCs w:val="20"/>
              </w:rPr>
              <w:t xml:space="preserve">Ministrstvo za </w:t>
            </w:r>
            <w:r w:rsidR="0047112A">
              <w:rPr>
                <w:rFonts w:ascii="Arial" w:hAnsi="Arial" w:cs="Arial"/>
                <w:bCs/>
                <w:sz w:val="20"/>
                <w:szCs w:val="20"/>
              </w:rPr>
              <w:t>solidarno prihodnost</w:t>
            </w:r>
            <w:r w:rsidRPr="00670EE1">
              <w:rPr>
                <w:rFonts w:ascii="Arial" w:hAnsi="Arial" w:cs="Arial"/>
                <w:bCs/>
                <w:sz w:val="20"/>
                <w:szCs w:val="20"/>
              </w:rPr>
              <w:t>,</w:t>
            </w:r>
          </w:p>
          <w:p w14:paraId="1551B772" w14:textId="510A4F2E" w:rsidR="00193301" w:rsidRPr="00AE1F83" w:rsidRDefault="00193301" w:rsidP="00193301">
            <w:pPr>
              <w:numPr>
                <w:ilvl w:val="0"/>
                <w:numId w:val="12"/>
              </w:numPr>
              <w:overflowPunct w:val="0"/>
              <w:autoSpaceDE w:val="0"/>
              <w:autoSpaceDN w:val="0"/>
              <w:adjustRightInd w:val="0"/>
              <w:spacing w:after="0" w:line="260" w:lineRule="exact"/>
              <w:jc w:val="both"/>
              <w:textAlignment w:val="baseline"/>
              <w:rPr>
                <w:rFonts w:eastAsia="Times New Roman" w:cs="Arial"/>
                <w:iCs/>
                <w:szCs w:val="20"/>
                <w:lang w:eastAsia="sl-SI"/>
              </w:rPr>
            </w:pPr>
            <w:r w:rsidRPr="00670EE1">
              <w:rPr>
                <w:rFonts w:cs="Arial"/>
                <w:bCs/>
                <w:szCs w:val="20"/>
              </w:rPr>
              <w:t>Ministrstvo za finance.</w:t>
            </w:r>
          </w:p>
        </w:tc>
      </w:tr>
      <w:tr w:rsidR="00193301" w:rsidRPr="00AE1F83" w14:paraId="3B16B4BD" w14:textId="77777777" w:rsidTr="00AA1EE9">
        <w:trPr>
          <w:trHeight w:val="525"/>
        </w:trPr>
        <w:tc>
          <w:tcPr>
            <w:tcW w:w="9147" w:type="dxa"/>
            <w:gridSpan w:val="4"/>
          </w:tcPr>
          <w:p w14:paraId="7D081B9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193301" w:rsidRPr="00AE1F83" w14:paraId="078864DE" w14:textId="77777777" w:rsidTr="00AA1EE9">
        <w:trPr>
          <w:trHeight w:val="255"/>
        </w:trPr>
        <w:tc>
          <w:tcPr>
            <w:tcW w:w="9147" w:type="dxa"/>
            <w:gridSpan w:val="4"/>
          </w:tcPr>
          <w:p w14:paraId="71208482" w14:textId="4EEAEA5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0687AD67" w14:textId="77777777" w:rsidTr="00AA1EE9">
        <w:trPr>
          <w:trHeight w:val="255"/>
        </w:trPr>
        <w:tc>
          <w:tcPr>
            <w:tcW w:w="9147" w:type="dxa"/>
            <w:gridSpan w:val="4"/>
          </w:tcPr>
          <w:p w14:paraId="1692530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proofErr w:type="spellStart"/>
            <w:r w:rsidRPr="00AE1F83">
              <w:rPr>
                <w:rFonts w:eastAsia="Times New Roman" w:cs="Arial"/>
                <w:b/>
                <w:szCs w:val="20"/>
                <w:lang w:eastAsia="sl-SI"/>
              </w:rPr>
              <w:t>3.a</w:t>
            </w:r>
            <w:proofErr w:type="spellEnd"/>
            <w:r w:rsidRPr="00AE1F83">
              <w:rPr>
                <w:rFonts w:eastAsia="Times New Roman" w:cs="Arial"/>
                <w:b/>
                <w:szCs w:val="20"/>
                <w:lang w:eastAsia="sl-SI"/>
              </w:rPr>
              <w:t xml:space="preserve"> Osebe, odgovorne za strokovno pripravo in usklajenost gradiva:</w:t>
            </w:r>
          </w:p>
        </w:tc>
      </w:tr>
      <w:tr w:rsidR="00193301" w:rsidRPr="00AE1F83" w14:paraId="004E8AE2" w14:textId="77777777" w:rsidTr="00AA1EE9">
        <w:trPr>
          <w:trHeight w:val="510"/>
        </w:trPr>
        <w:tc>
          <w:tcPr>
            <w:tcW w:w="9147" w:type="dxa"/>
            <w:gridSpan w:val="4"/>
          </w:tcPr>
          <w:p w14:paraId="6EB2B7A7" w14:textId="0E4F13B0" w:rsidR="005C4967" w:rsidRDefault="0003694D"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Ana Černe</w:t>
            </w:r>
            <w:r w:rsidR="00193301" w:rsidRPr="00193301">
              <w:rPr>
                <w:rFonts w:eastAsia="Times New Roman" w:cs="Arial"/>
                <w:iCs/>
                <w:szCs w:val="20"/>
                <w:lang w:eastAsia="sl-SI"/>
              </w:rPr>
              <w:t xml:space="preserve">, </w:t>
            </w:r>
            <w:r>
              <w:rPr>
                <w:rFonts w:eastAsia="Times New Roman" w:cs="Arial"/>
                <w:iCs/>
                <w:szCs w:val="20"/>
                <w:lang w:eastAsia="sl-SI"/>
              </w:rPr>
              <w:t>g</w:t>
            </w:r>
            <w:r w:rsidR="00193301" w:rsidRPr="00193301">
              <w:rPr>
                <w:rFonts w:eastAsia="Times New Roman" w:cs="Arial"/>
                <w:iCs/>
                <w:szCs w:val="20"/>
                <w:lang w:eastAsia="sl-SI"/>
              </w:rPr>
              <w:t>eneraln</w:t>
            </w:r>
            <w:r w:rsidR="002B2BA1">
              <w:rPr>
                <w:rFonts w:eastAsia="Times New Roman" w:cs="Arial"/>
                <w:iCs/>
                <w:szCs w:val="20"/>
                <w:lang w:eastAsia="sl-SI"/>
              </w:rPr>
              <w:t>a</w:t>
            </w:r>
            <w:r w:rsidR="00193301" w:rsidRPr="00193301">
              <w:rPr>
                <w:rFonts w:eastAsia="Times New Roman" w:cs="Arial"/>
                <w:iCs/>
                <w:szCs w:val="20"/>
                <w:lang w:eastAsia="sl-SI"/>
              </w:rPr>
              <w:t xml:space="preserve"> </w:t>
            </w:r>
            <w:r w:rsidR="00193301">
              <w:rPr>
                <w:rFonts w:eastAsia="Times New Roman" w:cs="Arial"/>
                <w:iCs/>
                <w:szCs w:val="20"/>
                <w:lang w:eastAsia="sl-SI"/>
              </w:rPr>
              <w:t>sekretar</w:t>
            </w:r>
            <w:r>
              <w:rPr>
                <w:rFonts w:eastAsia="Times New Roman" w:cs="Arial"/>
                <w:iCs/>
                <w:szCs w:val="20"/>
                <w:lang w:eastAsia="sl-SI"/>
              </w:rPr>
              <w:t>k</w:t>
            </w:r>
            <w:r w:rsidR="002B2BA1">
              <w:rPr>
                <w:rFonts w:eastAsia="Times New Roman" w:cs="Arial"/>
                <w:iCs/>
                <w:szCs w:val="20"/>
                <w:lang w:eastAsia="sl-SI"/>
              </w:rPr>
              <w:t>a</w:t>
            </w:r>
          </w:p>
          <w:p w14:paraId="1E13FFF1" w14:textId="015FFE85" w:rsidR="00193301" w:rsidRPr="00AE1F83" w:rsidRDefault="0003694D"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mag. Lidija Kodrič Vuk, vodja Službe za investicije</w:t>
            </w:r>
          </w:p>
        </w:tc>
      </w:tr>
      <w:tr w:rsidR="00193301" w:rsidRPr="00AE1F83" w14:paraId="1533FA07" w14:textId="77777777" w:rsidTr="00AA1EE9">
        <w:trPr>
          <w:trHeight w:val="255"/>
        </w:trPr>
        <w:tc>
          <w:tcPr>
            <w:tcW w:w="9147" w:type="dxa"/>
            <w:gridSpan w:val="4"/>
          </w:tcPr>
          <w:p w14:paraId="6032BAC5"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proofErr w:type="spellStart"/>
            <w:r w:rsidRPr="00AE1F83">
              <w:rPr>
                <w:rFonts w:eastAsia="Times New Roman" w:cs="Arial"/>
                <w:b/>
                <w:iCs/>
                <w:szCs w:val="20"/>
                <w:lang w:eastAsia="sl-SI"/>
              </w:rPr>
              <w:t>3.b</w:t>
            </w:r>
            <w:proofErr w:type="spellEnd"/>
            <w:r w:rsidRPr="00AE1F83">
              <w:rPr>
                <w:rFonts w:eastAsia="Times New Roman" w:cs="Arial"/>
                <w:b/>
                <w:iCs/>
                <w:szCs w:val="20"/>
                <w:lang w:eastAsia="sl-SI"/>
              </w:rPr>
              <w:t xml:space="preserve"> Zunanji strokovnjaki, ki so </w:t>
            </w:r>
            <w:r w:rsidRPr="00AE1F83">
              <w:rPr>
                <w:rFonts w:eastAsia="Times New Roman" w:cs="Arial"/>
                <w:b/>
                <w:szCs w:val="20"/>
                <w:lang w:eastAsia="sl-SI"/>
              </w:rPr>
              <w:t>sodelovali pri pripravi dela ali celotnega gradiva:</w:t>
            </w:r>
          </w:p>
        </w:tc>
      </w:tr>
      <w:tr w:rsidR="00193301" w:rsidRPr="00AE1F83" w14:paraId="5D99A4F5" w14:textId="77777777" w:rsidTr="00AA1EE9">
        <w:trPr>
          <w:trHeight w:val="255"/>
        </w:trPr>
        <w:tc>
          <w:tcPr>
            <w:tcW w:w="9147" w:type="dxa"/>
            <w:gridSpan w:val="4"/>
          </w:tcPr>
          <w:p w14:paraId="05385821" w14:textId="625C81C6"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Pr>
                <w:rFonts w:eastAsia="Times New Roman" w:cs="Arial"/>
                <w:iCs/>
                <w:szCs w:val="20"/>
                <w:lang w:eastAsia="sl-SI"/>
              </w:rPr>
              <w:t>/</w:t>
            </w:r>
          </w:p>
        </w:tc>
      </w:tr>
      <w:tr w:rsidR="00193301" w:rsidRPr="00AE1F83" w14:paraId="1EFC6760" w14:textId="77777777" w:rsidTr="00AA1EE9">
        <w:trPr>
          <w:trHeight w:val="255"/>
        </w:trPr>
        <w:tc>
          <w:tcPr>
            <w:tcW w:w="9147" w:type="dxa"/>
            <w:gridSpan w:val="4"/>
          </w:tcPr>
          <w:p w14:paraId="6A5A22F8"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193301" w:rsidRPr="00AE1F83" w14:paraId="024CDEC1" w14:textId="77777777" w:rsidTr="00AA1EE9">
        <w:trPr>
          <w:trHeight w:val="255"/>
        </w:trPr>
        <w:tc>
          <w:tcPr>
            <w:tcW w:w="9147" w:type="dxa"/>
            <w:gridSpan w:val="4"/>
          </w:tcPr>
          <w:p w14:paraId="54169B33" w14:textId="0E0DD32E"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
                <w:szCs w:val="20"/>
                <w:lang w:eastAsia="sl-SI"/>
              </w:rPr>
            </w:pPr>
            <w:r>
              <w:rPr>
                <w:rFonts w:eastAsia="Times New Roman" w:cs="Arial"/>
                <w:iCs/>
                <w:szCs w:val="20"/>
                <w:lang w:eastAsia="sl-SI"/>
              </w:rPr>
              <w:t>/</w:t>
            </w:r>
          </w:p>
        </w:tc>
      </w:tr>
      <w:tr w:rsidR="00193301" w:rsidRPr="00AE1F83" w14:paraId="56B22850" w14:textId="77777777" w:rsidTr="00AA1EE9">
        <w:trPr>
          <w:trHeight w:val="255"/>
        </w:trPr>
        <w:tc>
          <w:tcPr>
            <w:tcW w:w="9147" w:type="dxa"/>
            <w:gridSpan w:val="4"/>
          </w:tcPr>
          <w:p w14:paraId="5A0A42D1"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w:t>
            </w:r>
            <w:r w:rsidRPr="00785D2A">
              <w:rPr>
                <w:rFonts w:eastAsia="Times New Roman" w:cs="Arial"/>
                <w:b/>
                <w:szCs w:val="20"/>
                <w:lang w:eastAsia="sl-SI"/>
              </w:rPr>
              <w:t>. Kratek povzetek gradiva:</w:t>
            </w:r>
          </w:p>
        </w:tc>
      </w:tr>
      <w:tr w:rsidR="00193301" w:rsidRPr="00AE1F83" w14:paraId="179E7059" w14:textId="77777777" w:rsidTr="00AA1EE9">
        <w:trPr>
          <w:trHeight w:val="2853"/>
        </w:trPr>
        <w:tc>
          <w:tcPr>
            <w:tcW w:w="9147" w:type="dxa"/>
            <w:gridSpan w:val="4"/>
          </w:tcPr>
          <w:p w14:paraId="517A8AB1" w14:textId="3148186D" w:rsidR="00771E8C" w:rsidRPr="00956375" w:rsidRDefault="009B4986" w:rsidP="00956375">
            <w:pPr>
              <w:tabs>
                <w:tab w:val="left" w:pos="1701"/>
              </w:tabs>
              <w:spacing w:after="0" w:line="264" w:lineRule="auto"/>
              <w:jc w:val="both"/>
              <w:rPr>
                <w:rFonts w:eastAsia="Times New Roman"/>
                <w:szCs w:val="20"/>
              </w:rPr>
            </w:pPr>
            <w:r w:rsidRPr="009B4986">
              <w:rPr>
                <w:rFonts w:eastAsia="Times New Roman"/>
                <w:iCs/>
                <w:szCs w:val="20"/>
              </w:rPr>
              <w:lastRenderedPageBreak/>
              <w:t xml:space="preserve">Gradivo se nanaša na spremembo izhodiščne vrednosti ter podaljšanje in ponovno uvrstitev projekta v veljavni Načrt razvojnih programov, in sicer za </w:t>
            </w:r>
            <w:r w:rsidR="00771E8C" w:rsidRPr="00771E8C">
              <w:rPr>
                <w:rFonts w:eastAsia="Times New Roman"/>
                <w:iCs/>
                <w:szCs w:val="20"/>
              </w:rPr>
              <w:t>izgradnjo delavnic VDC Novo mesto v Trebnjem</w:t>
            </w:r>
            <w:r w:rsidR="00771E8C" w:rsidRPr="00771E8C">
              <w:rPr>
                <w:rFonts w:eastAsia="Times New Roman"/>
                <w:szCs w:val="20"/>
              </w:rPr>
              <w:t>.</w:t>
            </w:r>
            <w:r w:rsidR="00956375">
              <w:t xml:space="preserve"> </w:t>
            </w:r>
            <w:r w:rsidR="00956375" w:rsidRPr="00956375">
              <w:rPr>
                <w:rFonts w:eastAsia="Times New Roman"/>
                <w:szCs w:val="20"/>
              </w:rPr>
              <w:t>Zaradi neuspešne oddaje javnega naročila - prejete ponudbe so zaradi velikega povišanja cen gradbenih storitev na trgu presegale višino zagotovljenih sredstev, se izvedba investicije ni začela</w:t>
            </w:r>
            <w:r w:rsidR="00956375">
              <w:rPr>
                <w:rFonts w:eastAsia="Times New Roman"/>
                <w:szCs w:val="20"/>
              </w:rPr>
              <w:t xml:space="preserve"> v predvidenem roku</w:t>
            </w:r>
            <w:r w:rsidR="00956375" w:rsidRPr="00956375">
              <w:rPr>
                <w:rFonts w:eastAsia="Times New Roman"/>
                <w:szCs w:val="20"/>
              </w:rPr>
              <w:t>.</w:t>
            </w:r>
            <w:r w:rsidR="00956375">
              <w:rPr>
                <w:rFonts w:eastAsia="Times New Roman"/>
                <w:szCs w:val="20"/>
              </w:rPr>
              <w:t xml:space="preserve"> </w:t>
            </w:r>
            <w:r w:rsidR="00956375" w:rsidRPr="00956375">
              <w:rPr>
                <w:rFonts w:eastAsia="Times New Roman"/>
                <w:szCs w:val="20"/>
              </w:rPr>
              <w:t>Zaradi znatnega znižanja obsega proračunskih sredstev z izvedbo investicije v letu 2024 ni bilo možno nadaljevati. Ker ni bilo znano, kdaj in v kakšnem obsegu bodo sredstva lahko zagotovljena ter na kakšen način se bo investicija nadaljevala, se je do zagotovitve sredstev ter sprejetja odločitve, določil status projekta »začasno prekinjen«.</w:t>
            </w:r>
            <w:r w:rsidR="00956375">
              <w:rPr>
                <w:rFonts w:eastAsia="Times New Roman"/>
                <w:szCs w:val="20"/>
              </w:rPr>
              <w:t xml:space="preserve"> </w:t>
            </w:r>
            <w:r w:rsidR="00956375" w:rsidRPr="00956375">
              <w:rPr>
                <w:rFonts w:eastAsia="Times New Roman"/>
                <w:szCs w:val="20"/>
              </w:rPr>
              <w:t>Ker se je pokazala možnost zagotovitve sredstev za izvedbo investicije v letih 2025 in 2026, je bila izdelana Novelacija investicijskega programa</w:t>
            </w:r>
            <w:r w:rsidR="00956375">
              <w:rPr>
                <w:rFonts w:eastAsia="Times New Roman"/>
                <w:szCs w:val="20"/>
              </w:rPr>
              <w:t>.</w:t>
            </w:r>
            <w:r w:rsidR="00956375" w:rsidRPr="00956375">
              <w:rPr>
                <w:rFonts w:eastAsia="Times New Roman"/>
                <w:szCs w:val="20"/>
              </w:rPr>
              <w:t xml:space="preserve"> </w:t>
            </w:r>
            <w:r w:rsidR="00956375">
              <w:rPr>
                <w:rFonts w:eastAsia="Times New Roman"/>
                <w:szCs w:val="20"/>
              </w:rPr>
              <w:t>Nova izhodiščna</w:t>
            </w:r>
            <w:r w:rsidR="00771E8C" w:rsidRPr="00771E8C">
              <w:rPr>
                <w:rFonts w:eastAsia="Times New Roman"/>
                <w:iCs/>
                <w:szCs w:val="20"/>
              </w:rPr>
              <w:t xml:space="preserve"> vrednost investicije </w:t>
            </w:r>
            <w:r w:rsidR="00956375">
              <w:rPr>
                <w:rFonts w:eastAsia="Times New Roman"/>
                <w:iCs/>
                <w:szCs w:val="20"/>
              </w:rPr>
              <w:t xml:space="preserve">tako </w:t>
            </w:r>
            <w:r w:rsidR="00771E8C">
              <w:rPr>
                <w:rFonts w:eastAsia="Times New Roman"/>
                <w:iCs/>
                <w:szCs w:val="20"/>
              </w:rPr>
              <w:t>znaša</w:t>
            </w:r>
            <w:r w:rsidR="00771E8C" w:rsidRPr="00771E8C">
              <w:rPr>
                <w:rFonts w:eastAsia="Times New Roman"/>
                <w:iCs/>
                <w:szCs w:val="20"/>
              </w:rPr>
              <w:t xml:space="preserve"> </w:t>
            </w:r>
            <w:r w:rsidR="00771E8C">
              <w:rPr>
                <w:rFonts w:eastAsia="Times New Roman"/>
                <w:iCs/>
                <w:szCs w:val="20"/>
              </w:rPr>
              <w:t>2</w:t>
            </w:r>
            <w:r w:rsidR="00771E8C" w:rsidRPr="00771E8C">
              <w:rPr>
                <w:rFonts w:eastAsia="Times New Roman"/>
                <w:iCs/>
                <w:szCs w:val="20"/>
              </w:rPr>
              <w:t>.1</w:t>
            </w:r>
            <w:r w:rsidR="00771E8C">
              <w:rPr>
                <w:rFonts w:eastAsia="Times New Roman"/>
                <w:iCs/>
                <w:szCs w:val="20"/>
              </w:rPr>
              <w:t>70</w:t>
            </w:r>
            <w:r w:rsidR="00771E8C" w:rsidRPr="00771E8C">
              <w:rPr>
                <w:rFonts w:eastAsia="Times New Roman"/>
                <w:iCs/>
                <w:szCs w:val="20"/>
              </w:rPr>
              <w:t>.</w:t>
            </w:r>
            <w:r w:rsidR="00771E8C">
              <w:rPr>
                <w:rFonts w:eastAsia="Times New Roman"/>
                <w:iCs/>
                <w:szCs w:val="20"/>
              </w:rPr>
              <w:t>971,43</w:t>
            </w:r>
            <w:r w:rsidR="00771E8C" w:rsidRPr="00771E8C">
              <w:rPr>
                <w:rFonts w:eastAsia="Times New Roman"/>
                <w:iCs/>
                <w:szCs w:val="20"/>
              </w:rPr>
              <w:t xml:space="preserve"> EUR z DDV</w:t>
            </w:r>
            <w:r w:rsidR="00771E8C">
              <w:rPr>
                <w:rFonts w:eastAsia="Times New Roman"/>
                <w:iCs/>
                <w:szCs w:val="20"/>
              </w:rPr>
              <w:t xml:space="preserve">. Priprave na investicijo so se začele v letu 2022, </w:t>
            </w:r>
            <w:r w:rsidR="00771E8C" w:rsidRPr="00771E8C">
              <w:rPr>
                <w:rFonts w:eastAsia="Times New Roman"/>
                <w:iCs/>
                <w:szCs w:val="20"/>
              </w:rPr>
              <w:t>izvajala pa se bo v letih 202</w:t>
            </w:r>
            <w:r w:rsidR="00771E8C">
              <w:rPr>
                <w:rFonts w:eastAsia="Times New Roman"/>
                <w:iCs/>
                <w:szCs w:val="20"/>
              </w:rPr>
              <w:t>5</w:t>
            </w:r>
            <w:r w:rsidR="00771E8C" w:rsidRPr="00771E8C">
              <w:rPr>
                <w:rFonts w:eastAsia="Times New Roman"/>
                <w:iCs/>
                <w:szCs w:val="20"/>
              </w:rPr>
              <w:t xml:space="preserve"> in 202</w:t>
            </w:r>
            <w:r w:rsidR="00771E8C">
              <w:rPr>
                <w:rFonts w:eastAsia="Times New Roman"/>
                <w:iCs/>
                <w:szCs w:val="20"/>
              </w:rPr>
              <w:t>6</w:t>
            </w:r>
            <w:r w:rsidR="00771E8C" w:rsidRPr="00771E8C">
              <w:rPr>
                <w:rFonts w:eastAsia="Times New Roman"/>
                <w:iCs/>
                <w:szCs w:val="20"/>
              </w:rPr>
              <w:t>. Z izvedbo investicije se bodo v novih ustreznih prostorih lahko združili uporabniki z različnih lokacij, hkrati pa bodo omogočene dodatne vključitve uporabnikov, ki so trenutno na čakalni listi.</w:t>
            </w:r>
            <w:r w:rsidR="00771E8C" w:rsidRPr="00771E8C">
              <w:rPr>
                <w:rFonts w:ascii="Calibri" w:hAnsi="Calibri"/>
                <w:szCs w:val="24"/>
              </w:rPr>
              <w:t xml:space="preserve"> Z</w:t>
            </w:r>
            <w:r w:rsidR="00771E8C" w:rsidRPr="00771E8C">
              <w:rPr>
                <w:rFonts w:eastAsia="Times New Roman"/>
                <w:iCs/>
                <w:szCs w:val="20"/>
              </w:rPr>
              <w:t>agotovljeno bo prijetno in varno okolje za uporabnike, izboljšala se bo kvaliteta storitev in dejavnosti, omogočeno pa bo tudi izvajanje vseh programov na prostem.</w:t>
            </w:r>
          </w:p>
          <w:p w14:paraId="0BC1747C" w14:textId="4442CB35" w:rsidR="00EF4012" w:rsidRPr="0047112A" w:rsidRDefault="009B4986" w:rsidP="009B4986">
            <w:pPr>
              <w:tabs>
                <w:tab w:val="left" w:pos="1701"/>
              </w:tabs>
              <w:spacing w:after="0" w:line="264" w:lineRule="auto"/>
              <w:jc w:val="both"/>
              <w:rPr>
                <w:rFonts w:eastAsia="Times New Roman" w:cs="Arial"/>
                <w:bCs/>
                <w:szCs w:val="20"/>
              </w:rPr>
            </w:pPr>
            <w:r w:rsidRPr="009B4986">
              <w:rPr>
                <w:rFonts w:eastAsia="Times New Roman" w:cs="Arial"/>
                <w:szCs w:val="20"/>
              </w:rPr>
              <w:t>Na podlagi Zakona o spremembah in dopolnitvah Zakona o državni upravi (Uradni list RS, št. 18/23) se je z dnem 14. 2. 2023 opravljanje nalog na področju socialnega varstva v delu, ki se nanaša na institucionalno varstvo, preneslo v pristojnost Ministrstva za solidarno prihodnost (v nadaljevanju: ministrstvo).</w:t>
            </w:r>
          </w:p>
        </w:tc>
      </w:tr>
      <w:tr w:rsidR="00193301" w:rsidRPr="00AE1F83" w14:paraId="6557C882" w14:textId="77777777" w:rsidTr="00AA1EE9">
        <w:trPr>
          <w:trHeight w:val="255"/>
        </w:trPr>
        <w:tc>
          <w:tcPr>
            <w:tcW w:w="9147" w:type="dxa"/>
            <w:gridSpan w:val="4"/>
          </w:tcPr>
          <w:p w14:paraId="3448BBC2" w14:textId="77777777" w:rsidR="00193301" w:rsidRPr="00AE1F83" w:rsidRDefault="00193301" w:rsidP="0019330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193301" w:rsidRPr="00AE1F83" w14:paraId="613E88F3" w14:textId="77777777" w:rsidTr="00AA1EE9">
        <w:trPr>
          <w:trHeight w:val="510"/>
        </w:trPr>
        <w:tc>
          <w:tcPr>
            <w:tcW w:w="1445" w:type="dxa"/>
          </w:tcPr>
          <w:p w14:paraId="73B4048E"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35" w:type="dxa"/>
            <w:gridSpan w:val="2"/>
          </w:tcPr>
          <w:p w14:paraId="5C1FB9E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67" w:type="dxa"/>
            <w:vAlign w:val="center"/>
          </w:tcPr>
          <w:p w14:paraId="482C2970"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193301">
              <w:rPr>
                <w:rFonts w:eastAsia="Times New Roman" w:cs="Arial"/>
                <w:b/>
                <w:bCs/>
                <w:szCs w:val="20"/>
                <w:lang w:eastAsia="sl-SI"/>
              </w:rPr>
              <w:t>DA</w:t>
            </w:r>
            <w:r w:rsidRPr="00AE1F83">
              <w:rPr>
                <w:rFonts w:eastAsia="Times New Roman" w:cs="Arial"/>
                <w:szCs w:val="20"/>
                <w:lang w:eastAsia="sl-SI"/>
              </w:rPr>
              <w:t>/NE</w:t>
            </w:r>
          </w:p>
        </w:tc>
      </w:tr>
      <w:tr w:rsidR="00193301" w:rsidRPr="00AE1F83" w14:paraId="073840ED" w14:textId="77777777" w:rsidTr="00AA1EE9">
        <w:trPr>
          <w:trHeight w:val="510"/>
        </w:trPr>
        <w:tc>
          <w:tcPr>
            <w:tcW w:w="1445" w:type="dxa"/>
          </w:tcPr>
          <w:p w14:paraId="3718B54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35" w:type="dxa"/>
            <w:gridSpan w:val="2"/>
          </w:tcPr>
          <w:p w14:paraId="49EE7CCB"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67" w:type="dxa"/>
            <w:vAlign w:val="center"/>
          </w:tcPr>
          <w:p w14:paraId="5D364D17"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1E8BF67D" w14:textId="77777777" w:rsidTr="00AA1EE9">
        <w:trPr>
          <w:trHeight w:val="255"/>
        </w:trPr>
        <w:tc>
          <w:tcPr>
            <w:tcW w:w="1445" w:type="dxa"/>
          </w:tcPr>
          <w:p w14:paraId="141F8836"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35" w:type="dxa"/>
            <w:gridSpan w:val="2"/>
          </w:tcPr>
          <w:p w14:paraId="18B9375E"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67" w:type="dxa"/>
            <w:vAlign w:val="center"/>
          </w:tcPr>
          <w:p w14:paraId="148DCA06"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2834E78" w14:textId="77777777" w:rsidTr="00AA1EE9">
        <w:trPr>
          <w:trHeight w:val="525"/>
        </w:trPr>
        <w:tc>
          <w:tcPr>
            <w:tcW w:w="1445" w:type="dxa"/>
          </w:tcPr>
          <w:p w14:paraId="7A7BD6A0"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35" w:type="dxa"/>
            <w:gridSpan w:val="2"/>
          </w:tcPr>
          <w:p w14:paraId="7BE5A152"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67" w:type="dxa"/>
            <w:vAlign w:val="center"/>
          </w:tcPr>
          <w:p w14:paraId="336AC7E4"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B68B067" w14:textId="77777777" w:rsidTr="00AA1EE9">
        <w:trPr>
          <w:trHeight w:val="255"/>
        </w:trPr>
        <w:tc>
          <w:tcPr>
            <w:tcW w:w="1445" w:type="dxa"/>
          </w:tcPr>
          <w:p w14:paraId="226626DD"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35" w:type="dxa"/>
            <w:gridSpan w:val="2"/>
          </w:tcPr>
          <w:p w14:paraId="43EDBAE3"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67" w:type="dxa"/>
            <w:vAlign w:val="center"/>
          </w:tcPr>
          <w:p w14:paraId="12275EB3"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4F7CCA34" w14:textId="77777777" w:rsidTr="00AA1EE9">
        <w:trPr>
          <w:trHeight w:val="255"/>
        </w:trPr>
        <w:tc>
          <w:tcPr>
            <w:tcW w:w="1445" w:type="dxa"/>
          </w:tcPr>
          <w:p w14:paraId="4A441BCF"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35" w:type="dxa"/>
            <w:gridSpan w:val="2"/>
          </w:tcPr>
          <w:p w14:paraId="31EBBD7A"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67" w:type="dxa"/>
            <w:vAlign w:val="center"/>
          </w:tcPr>
          <w:p w14:paraId="3BD0ACAA"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0CF39864" w14:textId="77777777" w:rsidTr="00AA1EE9">
        <w:trPr>
          <w:trHeight w:val="1546"/>
        </w:trPr>
        <w:tc>
          <w:tcPr>
            <w:tcW w:w="1445" w:type="dxa"/>
            <w:tcBorders>
              <w:bottom w:val="single" w:sz="4" w:space="0" w:color="auto"/>
            </w:tcBorders>
          </w:tcPr>
          <w:p w14:paraId="0165FB92" w14:textId="77777777" w:rsidR="00193301" w:rsidRPr="00AE1F83" w:rsidRDefault="00193301" w:rsidP="00193301">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35" w:type="dxa"/>
            <w:gridSpan w:val="2"/>
            <w:tcBorders>
              <w:bottom w:val="single" w:sz="4" w:space="0" w:color="auto"/>
            </w:tcBorders>
          </w:tcPr>
          <w:p w14:paraId="4070B8E0" w14:textId="77777777" w:rsidR="00193301" w:rsidRPr="00AE1F83" w:rsidRDefault="00193301" w:rsidP="00193301">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3F7142FE"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7723D280"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344F7C9A" w14:textId="77777777" w:rsidR="00193301" w:rsidRPr="00AE1F83" w:rsidRDefault="00193301" w:rsidP="00193301">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67" w:type="dxa"/>
            <w:tcBorders>
              <w:bottom w:val="single" w:sz="4" w:space="0" w:color="auto"/>
            </w:tcBorders>
            <w:vAlign w:val="center"/>
          </w:tcPr>
          <w:p w14:paraId="686BDC69" w14:textId="77777777" w:rsidR="00193301" w:rsidRPr="00AE1F83" w:rsidRDefault="00193301" w:rsidP="00193301">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21515227" w14:textId="77777777" w:rsidTr="00AA1EE9">
        <w:trPr>
          <w:trHeight w:val="510"/>
        </w:trPr>
        <w:tc>
          <w:tcPr>
            <w:tcW w:w="9147" w:type="dxa"/>
            <w:gridSpan w:val="4"/>
            <w:tcBorders>
              <w:top w:val="single" w:sz="4" w:space="0" w:color="auto"/>
              <w:left w:val="single" w:sz="4" w:space="0" w:color="auto"/>
              <w:bottom w:val="single" w:sz="4" w:space="0" w:color="auto"/>
              <w:right w:val="single" w:sz="4" w:space="0" w:color="auto"/>
            </w:tcBorders>
          </w:tcPr>
          <w:p w14:paraId="7829EB8C"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proofErr w:type="spellStart"/>
            <w:r w:rsidRPr="00AE1F83">
              <w:rPr>
                <w:rFonts w:eastAsia="Times New Roman" w:cs="Arial"/>
                <w:b/>
                <w:szCs w:val="20"/>
                <w:lang w:eastAsia="sl-SI"/>
              </w:rPr>
              <w:t>7.a</w:t>
            </w:r>
            <w:proofErr w:type="spellEnd"/>
            <w:r w:rsidRPr="00AE1F83">
              <w:rPr>
                <w:rFonts w:eastAsia="Times New Roman" w:cs="Arial"/>
                <w:b/>
                <w:szCs w:val="20"/>
                <w:lang w:eastAsia="sl-SI"/>
              </w:rPr>
              <w:t xml:space="preserve"> Predstavitev ocene finančnih posledic nad 40.000 EUR:</w:t>
            </w:r>
          </w:p>
          <w:p w14:paraId="7B3E550A" w14:textId="77777777" w:rsidR="00193301" w:rsidRPr="00AE1F83" w:rsidRDefault="00193301" w:rsidP="00193301">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(Samo če izberete DA pod točko 6.a.)</w:t>
            </w:r>
          </w:p>
        </w:tc>
      </w:tr>
    </w:tbl>
    <w:p w14:paraId="47C95CD6"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1269"/>
        <w:gridCol w:w="858"/>
        <w:gridCol w:w="973"/>
        <w:gridCol w:w="913"/>
        <w:gridCol w:w="683"/>
        <w:gridCol w:w="385"/>
        <w:gridCol w:w="589"/>
        <w:gridCol w:w="1842"/>
      </w:tblGrid>
      <w:tr w:rsidR="00AE1F83" w:rsidRPr="00AE1F83" w14:paraId="50A651ED"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2FB6033"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 Ocena finančnih posledic, ki niso načrtovane v sprejetem proračunu</w:t>
            </w:r>
          </w:p>
        </w:tc>
      </w:tr>
      <w:tr w:rsidR="00AE1F83" w:rsidRPr="00AE1F83" w14:paraId="5822E5A8" w14:textId="77777777" w:rsidTr="00193301">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7A1E34B"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89960D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F2481C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693842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4442F7A2"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28BD8AF7"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DD135C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E08BB4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0067906"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35DC55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F68F64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1DF4C77B"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A88F8F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C461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FCD9A20"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D9EB79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CF6AA6B"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71B8898"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2956FD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9F10AE9"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F3C6B21" w14:textId="77777777" w:rsidR="00AE1F83" w:rsidRPr="00AE1F83" w:rsidRDefault="00AE1F83" w:rsidP="00AE1F83">
            <w:pPr>
              <w:widowControl w:val="0"/>
              <w:spacing w:after="0" w:line="260" w:lineRule="exact"/>
              <w:jc w:val="center"/>
              <w:rPr>
                <w:rFonts w:eastAsia="Times New Roman" w:cs="Arial"/>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0BE6ACB4"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B7C3575"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94BEEBD" w14:textId="77777777" w:rsidTr="00193301">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65406C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0961A00" w14:textId="77777777" w:rsidR="00AE1F83" w:rsidRPr="00AE1F83" w:rsidRDefault="00AE1F83" w:rsidP="00AE1F83">
            <w:pPr>
              <w:widowControl w:val="0"/>
              <w:spacing w:after="0" w:line="260" w:lineRule="exact"/>
              <w:jc w:val="center"/>
              <w:rPr>
                <w:rFonts w:eastAsia="Times New Roman"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97053EE" w14:textId="77777777" w:rsidR="00AE1F83" w:rsidRPr="00AE1F83" w:rsidRDefault="00AE1F83" w:rsidP="00AE1F83">
            <w:pPr>
              <w:widowControl w:val="0"/>
              <w:spacing w:after="0" w:line="260" w:lineRule="exact"/>
              <w:jc w:val="center"/>
              <w:rPr>
                <w:rFonts w:eastAsia="Times New Roman" w:cs="Arial"/>
                <w:szCs w:val="20"/>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7550BAE2" w14:textId="77777777" w:rsidR="00AE1F83" w:rsidRPr="00AE1F83" w:rsidRDefault="00AE1F83" w:rsidP="00AE1F83">
            <w:pPr>
              <w:widowControl w:val="0"/>
              <w:spacing w:after="0" w:line="260" w:lineRule="exact"/>
              <w:jc w:val="center"/>
              <w:rPr>
                <w:rFonts w:eastAsia="Times New Roman" w:cs="Arial"/>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51E5FBF" w14:textId="77777777" w:rsidR="00AE1F83" w:rsidRPr="00AE1F83" w:rsidRDefault="00AE1F83" w:rsidP="00AE1F83">
            <w:pPr>
              <w:widowControl w:val="0"/>
              <w:spacing w:after="0" w:line="260" w:lineRule="exact"/>
              <w:jc w:val="center"/>
              <w:rPr>
                <w:rFonts w:eastAsia="Times New Roman" w:cs="Arial"/>
                <w:szCs w:val="20"/>
              </w:rPr>
            </w:pPr>
          </w:p>
        </w:tc>
      </w:tr>
      <w:tr w:rsidR="00AE1F83" w:rsidRPr="00AE1F83" w14:paraId="68B8AE1B" w14:textId="77777777" w:rsidTr="0019330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12A60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77F417"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BDC143D" w14:textId="77777777" w:rsidR="00AE1F83" w:rsidRPr="00AE1F83" w:rsidRDefault="00AE1F83" w:rsidP="00AE1F83">
            <w:pPr>
              <w:widowControl w:val="0"/>
              <w:tabs>
                <w:tab w:val="left" w:pos="360"/>
              </w:tabs>
              <w:spacing w:after="0" w:line="260" w:lineRule="exact"/>
              <w:jc w:val="center"/>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50121A2"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6774038A" w14:textId="77777777" w:rsidR="00AE1F83" w:rsidRPr="00AE1F83" w:rsidRDefault="00AE1F83" w:rsidP="00AE1F83">
            <w:pPr>
              <w:widowControl w:val="0"/>
              <w:tabs>
                <w:tab w:val="left" w:pos="360"/>
              </w:tabs>
              <w:spacing w:after="0" w:line="260" w:lineRule="exact"/>
              <w:jc w:val="center"/>
              <w:outlineLvl w:val="0"/>
              <w:rPr>
                <w:rFonts w:eastAsia="Times New Roman" w:cs="Arial"/>
                <w:kern w:val="32"/>
                <w:szCs w:val="20"/>
                <w:lang w:eastAsia="sl-SI"/>
              </w:rPr>
            </w:pPr>
          </w:p>
        </w:tc>
      </w:tr>
      <w:tr w:rsidR="00AE1F83" w:rsidRPr="00AE1F83" w14:paraId="587DC14A"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FC2E02"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558E3785"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6D276B"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proofErr w:type="spellStart"/>
            <w:r w:rsidRPr="00AE1F83">
              <w:rPr>
                <w:rFonts w:eastAsia="Times New Roman" w:cs="Arial"/>
                <w:b/>
                <w:kern w:val="32"/>
                <w:szCs w:val="20"/>
                <w:lang w:eastAsia="sl-SI"/>
              </w:rPr>
              <w:t>II.a</w:t>
            </w:r>
            <w:proofErr w:type="spellEnd"/>
            <w:r w:rsidRPr="00AE1F83">
              <w:rPr>
                <w:rFonts w:eastAsia="Times New Roman" w:cs="Arial"/>
                <w:b/>
                <w:kern w:val="32"/>
                <w:szCs w:val="20"/>
                <w:lang w:eastAsia="sl-SI"/>
              </w:rPr>
              <w:t xml:space="preserve"> Pravice porabe za izvedbo predlaganih rešitev so zagotovljene:</w:t>
            </w:r>
          </w:p>
        </w:tc>
      </w:tr>
      <w:tr w:rsidR="00AE1F83" w:rsidRPr="00AE1F83" w14:paraId="290B17DB" w14:textId="77777777" w:rsidTr="00771E8C">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4BF4C8B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08C45DA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7048EB30"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38737A6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412AFBC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681FE6F5" w14:textId="77777777" w:rsidTr="00771E8C">
        <w:trPr>
          <w:cantSplit/>
          <w:trHeight w:val="328"/>
        </w:trPr>
        <w:tc>
          <w:tcPr>
            <w:tcW w:w="1688" w:type="dxa"/>
            <w:tcBorders>
              <w:top w:val="single" w:sz="4" w:space="0" w:color="auto"/>
              <w:left w:val="single" w:sz="4" w:space="0" w:color="auto"/>
              <w:bottom w:val="single" w:sz="4" w:space="0" w:color="auto"/>
              <w:right w:val="single" w:sz="4" w:space="0" w:color="auto"/>
            </w:tcBorders>
            <w:vAlign w:val="center"/>
          </w:tcPr>
          <w:p w14:paraId="299EF65D" w14:textId="61577BDC" w:rsidR="00AE1F83" w:rsidRPr="00AE1F83" w:rsidRDefault="0019330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525E2467" w14:textId="36F56F3F" w:rsidR="00AE1F83" w:rsidRPr="00AE1F83" w:rsidRDefault="00771E8C" w:rsidP="00AE1F83">
            <w:pPr>
              <w:widowControl w:val="0"/>
              <w:tabs>
                <w:tab w:val="left" w:pos="360"/>
              </w:tabs>
              <w:spacing w:after="0" w:line="260" w:lineRule="exact"/>
              <w:outlineLvl w:val="0"/>
              <w:rPr>
                <w:rFonts w:eastAsia="Times New Roman" w:cs="Arial"/>
                <w:bCs/>
                <w:kern w:val="32"/>
                <w:szCs w:val="20"/>
                <w:lang w:eastAsia="sl-SI"/>
              </w:rPr>
            </w:pPr>
            <w:r w:rsidRPr="00771E8C">
              <w:rPr>
                <w:rFonts w:eastAsia="Times New Roman" w:cs="Arial"/>
                <w:szCs w:val="24"/>
                <w:lang w:eastAsia="sl-SI"/>
              </w:rPr>
              <w:t xml:space="preserve">2611-22-0905 - </w:t>
            </w:r>
            <w:r w:rsidRPr="00771E8C">
              <w:rPr>
                <w:rFonts w:eastAsia="Times New Roman"/>
                <w:szCs w:val="24"/>
              </w:rPr>
              <w:t>Izgradnja delavnic - VDC Novo mesto, enota Trebnje</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22FACDA7" w14:textId="2DF8EF3D" w:rsidR="00771E8C" w:rsidRPr="00771E8C" w:rsidRDefault="00771E8C" w:rsidP="00771E8C">
            <w:pPr>
              <w:widowControl w:val="0"/>
              <w:tabs>
                <w:tab w:val="left" w:pos="360"/>
              </w:tabs>
              <w:spacing w:after="0" w:line="260" w:lineRule="exact"/>
              <w:outlineLvl w:val="0"/>
              <w:rPr>
                <w:rFonts w:eastAsia="Times New Roman"/>
                <w:bCs/>
                <w:iCs/>
                <w:color w:val="000000"/>
                <w:kern w:val="32"/>
                <w:szCs w:val="20"/>
                <w:lang w:val="x-none" w:eastAsia="x-none"/>
              </w:rPr>
            </w:pPr>
            <w:r>
              <w:rPr>
                <w:rFonts w:eastAsia="Times New Roman"/>
                <w:bCs/>
                <w:iCs/>
                <w:color w:val="000000"/>
                <w:kern w:val="32"/>
                <w:szCs w:val="20"/>
                <w:lang w:val="x-none" w:eastAsia="x-none"/>
              </w:rPr>
              <w:t>231743</w:t>
            </w:r>
            <w:r w:rsidRPr="00771E8C">
              <w:rPr>
                <w:rFonts w:eastAsia="Times New Roman"/>
                <w:bCs/>
                <w:iCs/>
                <w:color w:val="000000"/>
                <w:kern w:val="32"/>
                <w:szCs w:val="20"/>
                <w:lang w:val="x-none" w:eastAsia="x-none"/>
              </w:rPr>
              <w:t xml:space="preserve"> -</w:t>
            </w:r>
          </w:p>
          <w:p w14:paraId="00A75C5D" w14:textId="0AB04A86" w:rsidR="00AE1F83" w:rsidRPr="00AE1F83" w:rsidRDefault="00771E8C" w:rsidP="00771E8C">
            <w:pPr>
              <w:widowControl w:val="0"/>
              <w:tabs>
                <w:tab w:val="left" w:pos="360"/>
              </w:tabs>
              <w:spacing w:after="0" w:line="260" w:lineRule="exact"/>
              <w:outlineLvl w:val="0"/>
              <w:rPr>
                <w:rFonts w:eastAsia="Times New Roman" w:cs="Arial"/>
                <w:bCs/>
                <w:kern w:val="32"/>
                <w:szCs w:val="20"/>
                <w:lang w:eastAsia="sl-SI"/>
              </w:rPr>
            </w:pPr>
            <w:r w:rsidRPr="00771E8C">
              <w:rPr>
                <w:rFonts w:eastAsia="Times New Roman"/>
                <w:szCs w:val="24"/>
                <w:lang w:eastAsia="sl-SI"/>
              </w:rPr>
              <w:t>Poslovni prostori in oprema varstveno-delovnih centrov</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2F8F0034" w14:textId="342612F9" w:rsidR="00AE1F83" w:rsidRPr="00AE1F83" w:rsidRDefault="006D5DBD"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c>
          <w:tcPr>
            <w:tcW w:w="1842" w:type="dxa"/>
            <w:tcBorders>
              <w:top w:val="single" w:sz="4" w:space="0" w:color="auto"/>
              <w:left w:val="single" w:sz="4" w:space="0" w:color="auto"/>
              <w:bottom w:val="single" w:sz="4" w:space="0" w:color="auto"/>
              <w:right w:val="single" w:sz="4" w:space="0" w:color="auto"/>
            </w:tcBorders>
            <w:vAlign w:val="center"/>
          </w:tcPr>
          <w:p w14:paraId="1C078903" w14:textId="37438DB0" w:rsidR="00AE1F83" w:rsidRPr="00AE1F83" w:rsidRDefault="00193301"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0</w:t>
            </w:r>
          </w:p>
        </w:tc>
      </w:tr>
      <w:tr w:rsidR="00AE1F83" w:rsidRPr="00AE1F83" w14:paraId="26801BAB" w14:textId="77777777" w:rsidTr="00771E8C">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2AEC234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40131E7C"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388548E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6C4A6ED4"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E8A9B98"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0EB344E8" w14:textId="77777777" w:rsidTr="0019330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BB235E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ECBB7E4" w14:textId="359F619E" w:rsidR="00AE1F83" w:rsidRPr="00AE1F83" w:rsidRDefault="00193301" w:rsidP="00AE1F83">
            <w:pPr>
              <w:widowControl w:val="0"/>
              <w:spacing w:after="0" w:line="260" w:lineRule="exact"/>
              <w:jc w:val="center"/>
              <w:rPr>
                <w:rFonts w:eastAsia="Times New Roman" w:cs="Arial"/>
                <w:b/>
                <w:szCs w:val="20"/>
              </w:rPr>
            </w:pPr>
            <w:r>
              <w:rPr>
                <w:rFonts w:eastAsia="Times New Roman" w:cs="Arial"/>
                <w:b/>
                <w:szCs w:val="20"/>
              </w:rPr>
              <w:t>0</w:t>
            </w:r>
          </w:p>
        </w:tc>
        <w:tc>
          <w:tcPr>
            <w:tcW w:w="1842" w:type="dxa"/>
            <w:tcBorders>
              <w:top w:val="single" w:sz="4" w:space="0" w:color="auto"/>
              <w:left w:val="single" w:sz="4" w:space="0" w:color="auto"/>
              <w:bottom w:val="single" w:sz="4" w:space="0" w:color="auto"/>
              <w:right w:val="single" w:sz="4" w:space="0" w:color="auto"/>
            </w:tcBorders>
            <w:vAlign w:val="center"/>
          </w:tcPr>
          <w:p w14:paraId="085A63CC" w14:textId="6EB7330D" w:rsidR="00AE1F83" w:rsidRPr="00AE1F83" w:rsidRDefault="00193301"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0</w:t>
            </w:r>
          </w:p>
        </w:tc>
      </w:tr>
      <w:tr w:rsidR="00AE1F83" w:rsidRPr="00AE1F83" w14:paraId="26BBC683"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E6729D0"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r w:rsidRPr="00AE1F83">
              <w:rPr>
                <w:rFonts w:eastAsia="Times New Roman" w:cs="Arial"/>
                <w:b/>
                <w:kern w:val="32"/>
                <w:szCs w:val="20"/>
                <w:lang w:eastAsia="sl-SI"/>
              </w:rPr>
              <w:t>II.b</w:t>
            </w:r>
            <w:proofErr w:type="spellEnd"/>
            <w:r w:rsidRPr="00AE1F83">
              <w:rPr>
                <w:rFonts w:eastAsia="Times New Roman" w:cs="Arial"/>
                <w:b/>
                <w:kern w:val="32"/>
                <w:szCs w:val="20"/>
                <w:lang w:eastAsia="sl-SI"/>
              </w:rPr>
              <w:t xml:space="preserve"> Manjkajoče pravice porabe bodo zagotovljene s prerazporeditvijo:</w:t>
            </w:r>
          </w:p>
        </w:tc>
      </w:tr>
      <w:tr w:rsidR="00AE1F83" w:rsidRPr="00AE1F83" w14:paraId="32501252" w14:textId="77777777" w:rsidTr="00771E8C">
        <w:trPr>
          <w:cantSplit/>
          <w:trHeight w:val="100"/>
        </w:trPr>
        <w:tc>
          <w:tcPr>
            <w:tcW w:w="1688" w:type="dxa"/>
            <w:tcBorders>
              <w:top w:val="single" w:sz="4" w:space="0" w:color="auto"/>
              <w:left w:val="single" w:sz="4" w:space="0" w:color="auto"/>
              <w:bottom w:val="single" w:sz="4" w:space="0" w:color="auto"/>
              <w:right w:val="single" w:sz="4" w:space="0" w:color="auto"/>
            </w:tcBorders>
            <w:vAlign w:val="center"/>
          </w:tcPr>
          <w:p w14:paraId="0CBB610A"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0B86811F"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4214367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C7B240B"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3B226A2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193301" w:rsidRPr="00AE1F83" w14:paraId="0A59C6B8" w14:textId="77777777" w:rsidTr="00771E8C">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44DBA2B0" w14:textId="6CA68542"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MSP</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8FD1E0B" w14:textId="3F5BA57C" w:rsidR="00193301" w:rsidRPr="00AE1F83" w:rsidRDefault="00771E8C" w:rsidP="00193301">
            <w:pPr>
              <w:widowControl w:val="0"/>
              <w:tabs>
                <w:tab w:val="left" w:pos="360"/>
              </w:tabs>
              <w:spacing w:after="0" w:line="260" w:lineRule="exact"/>
              <w:outlineLvl w:val="0"/>
              <w:rPr>
                <w:rFonts w:eastAsia="Times New Roman" w:cs="Arial"/>
                <w:bCs/>
                <w:kern w:val="32"/>
                <w:szCs w:val="20"/>
                <w:lang w:eastAsia="sl-SI"/>
              </w:rPr>
            </w:pPr>
            <w:r w:rsidRPr="00771E8C">
              <w:rPr>
                <w:rFonts w:eastAsia="Times New Roman"/>
                <w:szCs w:val="24"/>
              </w:rPr>
              <w:t>2611-13-0001 Novogradnje, adaptacije, rekonstrukcije, oprema za SV zavode</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138A5A25" w14:textId="77777777" w:rsidR="00771E8C" w:rsidRPr="00771E8C" w:rsidRDefault="00771E8C" w:rsidP="00771E8C">
            <w:pPr>
              <w:widowControl w:val="0"/>
              <w:tabs>
                <w:tab w:val="left" w:pos="360"/>
              </w:tabs>
              <w:spacing w:after="0" w:line="260" w:lineRule="exact"/>
              <w:outlineLvl w:val="0"/>
              <w:rPr>
                <w:rFonts w:eastAsia="Times New Roman"/>
                <w:bCs/>
                <w:iCs/>
                <w:color w:val="000000"/>
                <w:kern w:val="32"/>
                <w:szCs w:val="20"/>
                <w:lang w:val="x-none" w:eastAsia="x-none"/>
              </w:rPr>
            </w:pPr>
            <w:r>
              <w:rPr>
                <w:rFonts w:eastAsia="Times New Roman"/>
                <w:bCs/>
                <w:iCs/>
                <w:color w:val="000000"/>
                <w:kern w:val="32"/>
                <w:szCs w:val="20"/>
                <w:lang w:val="x-none" w:eastAsia="x-none"/>
              </w:rPr>
              <w:t>231743</w:t>
            </w:r>
            <w:r w:rsidRPr="00771E8C">
              <w:rPr>
                <w:rFonts w:eastAsia="Times New Roman"/>
                <w:bCs/>
                <w:iCs/>
                <w:color w:val="000000"/>
                <w:kern w:val="32"/>
                <w:szCs w:val="20"/>
                <w:lang w:val="x-none" w:eastAsia="x-none"/>
              </w:rPr>
              <w:t xml:space="preserve"> -</w:t>
            </w:r>
          </w:p>
          <w:p w14:paraId="6176593F" w14:textId="3DB104B3" w:rsidR="00193301" w:rsidRPr="00AE1F83" w:rsidRDefault="00771E8C" w:rsidP="00771E8C">
            <w:pPr>
              <w:widowControl w:val="0"/>
              <w:tabs>
                <w:tab w:val="left" w:pos="360"/>
              </w:tabs>
              <w:spacing w:after="0" w:line="260" w:lineRule="exact"/>
              <w:outlineLvl w:val="0"/>
              <w:rPr>
                <w:rFonts w:eastAsia="Times New Roman" w:cs="Arial"/>
                <w:bCs/>
                <w:kern w:val="32"/>
                <w:szCs w:val="20"/>
                <w:lang w:eastAsia="sl-SI"/>
              </w:rPr>
            </w:pPr>
            <w:r w:rsidRPr="00771E8C">
              <w:rPr>
                <w:rFonts w:eastAsia="Times New Roman"/>
                <w:szCs w:val="24"/>
                <w:lang w:eastAsia="sl-SI"/>
              </w:rPr>
              <w:t>Poslovni prostori in oprema varstveno-delovnih centrov</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44AAA25" w14:textId="6D651971" w:rsidR="00193301" w:rsidRPr="00AE1F83" w:rsidRDefault="00771E8C"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922.933,25</w:t>
            </w:r>
          </w:p>
        </w:tc>
        <w:tc>
          <w:tcPr>
            <w:tcW w:w="1842" w:type="dxa"/>
            <w:tcBorders>
              <w:top w:val="single" w:sz="4" w:space="0" w:color="auto"/>
              <w:left w:val="single" w:sz="4" w:space="0" w:color="auto"/>
              <w:bottom w:val="single" w:sz="4" w:space="0" w:color="auto"/>
              <w:right w:val="single" w:sz="4" w:space="0" w:color="auto"/>
            </w:tcBorders>
            <w:vAlign w:val="center"/>
          </w:tcPr>
          <w:p w14:paraId="0F6E0245" w14:textId="0035A19A" w:rsidR="00193301" w:rsidRPr="00AE1F83" w:rsidRDefault="00771E8C" w:rsidP="00193301">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1.014.953,23</w:t>
            </w:r>
          </w:p>
        </w:tc>
      </w:tr>
      <w:tr w:rsidR="00193301" w:rsidRPr="00AE1F83" w14:paraId="6FD8EE4C" w14:textId="77777777" w:rsidTr="00771E8C">
        <w:trPr>
          <w:cantSplit/>
          <w:trHeight w:val="95"/>
        </w:trPr>
        <w:tc>
          <w:tcPr>
            <w:tcW w:w="1688" w:type="dxa"/>
            <w:tcBorders>
              <w:top w:val="single" w:sz="4" w:space="0" w:color="auto"/>
              <w:left w:val="single" w:sz="4" w:space="0" w:color="auto"/>
              <w:bottom w:val="single" w:sz="4" w:space="0" w:color="auto"/>
              <w:right w:val="single" w:sz="4" w:space="0" w:color="auto"/>
            </w:tcBorders>
            <w:vAlign w:val="center"/>
          </w:tcPr>
          <w:p w14:paraId="3129366B"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15197BD8"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0DB0C03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50CA16E1"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1842" w:type="dxa"/>
            <w:tcBorders>
              <w:top w:val="single" w:sz="4" w:space="0" w:color="auto"/>
              <w:left w:val="single" w:sz="4" w:space="0" w:color="auto"/>
              <w:bottom w:val="single" w:sz="4" w:space="0" w:color="auto"/>
              <w:right w:val="single" w:sz="4" w:space="0" w:color="auto"/>
            </w:tcBorders>
            <w:vAlign w:val="center"/>
          </w:tcPr>
          <w:p w14:paraId="73DC91F9"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193301" w:rsidRPr="00AE1F83" w14:paraId="463FD831" w14:textId="77777777" w:rsidTr="0019330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03AC8BA"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657" w:type="dxa"/>
            <w:gridSpan w:val="3"/>
            <w:tcBorders>
              <w:top w:val="single" w:sz="4" w:space="0" w:color="auto"/>
              <w:left w:val="single" w:sz="4" w:space="0" w:color="auto"/>
              <w:bottom w:val="single" w:sz="4" w:space="0" w:color="auto"/>
              <w:right w:val="single" w:sz="4" w:space="0" w:color="auto"/>
            </w:tcBorders>
            <w:vAlign w:val="center"/>
          </w:tcPr>
          <w:p w14:paraId="1A336FCC" w14:textId="405F13EE" w:rsidR="00193301" w:rsidRPr="00AE1F83" w:rsidRDefault="00771E8C"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922.933,25</w:t>
            </w:r>
          </w:p>
        </w:tc>
        <w:tc>
          <w:tcPr>
            <w:tcW w:w="1842" w:type="dxa"/>
            <w:tcBorders>
              <w:top w:val="single" w:sz="4" w:space="0" w:color="auto"/>
              <w:left w:val="single" w:sz="4" w:space="0" w:color="auto"/>
              <w:bottom w:val="single" w:sz="4" w:space="0" w:color="auto"/>
              <w:right w:val="single" w:sz="4" w:space="0" w:color="auto"/>
            </w:tcBorders>
            <w:vAlign w:val="center"/>
          </w:tcPr>
          <w:p w14:paraId="4254B210" w14:textId="05425973" w:rsidR="00193301" w:rsidRPr="00AE1F83" w:rsidRDefault="00771E8C" w:rsidP="00193301">
            <w:pPr>
              <w:widowControl w:val="0"/>
              <w:tabs>
                <w:tab w:val="left" w:pos="360"/>
              </w:tabs>
              <w:spacing w:after="0" w:line="260" w:lineRule="exact"/>
              <w:jc w:val="center"/>
              <w:outlineLvl w:val="0"/>
              <w:rPr>
                <w:rFonts w:eastAsia="Times New Roman" w:cs="Arial"/>
                <w:b/>
                <w:kern w:val="32"/>
                <w:szCs w:val="20"/>
                <w:lang w:eastAsia="sl-SI"/>
              </w:rPr>
            </w:pPr>
            <w:r>
              <w:rPr>
                <w:rFonts w:eastAsia="Times New Roman" w:cs="Arial"/>
                <w:b/>
                <w:kern w:val="32"/>
                <w:szCs w:val="20"/>
                <w:lang w:eastAsia="sl-SI"/>
              </w:rPr>
              <w:t>1.014.953,23</w:t>
            </w:r>
          </w:p>
        </w:tc>
      </w:tr>
      <w:tr w:rsidR="00193301" w:rsidRPr="00AE1F83" w14:paraId="6605EB78"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A55BB7A" w14:textId="77777777" w:rsidR="00193301" w:rsidRPr="00AE1F83" w:rsidRDefault="00193301" w:rsidP="00193301">
            <w:pPr>
              <w:widowControl w:val="0"/>
              <w:tabs>
                <w:tab w:val="left" w:pos="2340"/>
              </w:tabs>
              <w:spacing w:after="0" w:line="260" w:lineRule="exact"/>
              <w:outlineLvl w:val="0"/>
              <w:rPr>
                <w:rFonts w:eastAsia="Times New Roman" w:cs="Arial"/>
                <w:b/>
                <w:kern w:val="32"/>
                <w:szCs w:val="20"/>
                <w:lang w:eastAsia="sl-SI"/>
              </w:rPr>
            </w:pPr>
            <w:proofErr w:type="spellStart"/>
            <w:r w:rsidRPr="00AE1F83">
              <w:rPr>
                <w:rFonts w:eastAsia="Times New Roman" w:cs="Arial"/>
                <w:b/>
                <w:kern w:val="32"/>
                <w:szCs w:val="20"/>
                <w:lang w:eastAsia="sl-SI"/>
              </w:rPr>
              <w:t>II.c</w:t>
            </w:r>
            <w:proofErr w:type="spellEnd"/>
            <w:r w:rsidRPr="00AE1F83">
              <w:rPr>
                <w:rFonts w:eastAsia="Times New Roman" w:cs="Arial"/>
                <w:b/>
                <w:kern w:val="32"/>
                <w:szCs w:val="20"/>
                <w:lang w:eastAsia="sl-SI"/>
              </w:rPr>
              <w:t xml:space="preserve"> Načrtovana nadomestitev zmanjšanih prihodkov in povečanih odhodkov proračuna:</w:t>
            </w:r>
          </w:p>
        </w:tc>
      </w:tr>
      <w:tr w:rsidR="00193301" w:rsidRPr="00AE1F83" w14:paraId="67C8A590" w14:textId="77777777" w:rsidTr="00771E8C">
        <w:trPr>
          <w:cantSplit/>
          <w:trHeight w:val="100"/>
        </w:trPr>
        <w:tc>
          <w:tcPr>
            <w:tcW w:w="3815" w:type="dxa"/>
            <w:gridSpan w:val="3"/>
            <w:tcBorders>
              <w:top w:val="single" w:sz="4" w:space="0" w:color="auto"/>
              <w:left w:val="single" w:sz="4" w:space="0" w:color="auto"/>
              <w:bottom w:val="single" w:sz="4" w:space="0" w:color="auto"/>
              <w:right w:val="single" w:sz="4" w:space="0" w:color="auto"/>
            </w:tcBorders>
            <w:vAlign w:val="center"/>
          </w:tcPr>
          <w:p w14:paraId="0C27449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59803C0F"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78D0369" w14:textId="77777777" w:rsidR="00193301" w:rsidRPr="00AE1F83" w:rsidRDefault="00193301" w:rsidP="00193301">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193301" w:rsidRPr="00AE1F83" w14:paraId="460FA2E7" w14:textId="77777777" w:rsidTr="00771E8C">
        <w:trPr>
          <w:cantSplit/>
          <w:trHeight w:val="95"/>
        </w:trPr>
        <w:tc>
          <w:tcPr>
            <w:tcW w:w="3815" w:type="dxa"/>
            <w:gridSpan w:val="3"/>
            <w:tcBorders>
              <w:top w:val="single" w:sz="4" w:space="0" w:color="auto"/>
              <w:left w:val="single" w:sz="4" w:space="0" w:color="auto"/>
              <w:bottom w:val="single" w:sz="4" w:space="0" w:color="auto"/>
              <w:right w:val="single" w:sz="4" w:space="0" w:color="auto"/>
            </w:tcBorders>
            <w:vAlign w:val="center"/>
          </w:tcPr>
          <w:p w14:paraId="17847E06"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50E3778F"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16E7873" w14:textId="77777777" w:rsidR="00193301" w:rsidRPr="00AE1F83" w:rsidRDefault="00193301" w:rsidP="00193301">
            <w:pPr>
              <w:widowControl w:val="0"/>
              <w:tabs>
                <w:tab w:val="left" w:pos="360"/>
              </w:tabs>
              <w:spacing w:after="0" w:line="260" w:lineRule="exact"/>
              <w:outlineLvl w:val="0"/>
              <w:rPr>
                <w:rFonts w:eastAsia="Times New Roman" w:cs="Arial"/>
                <w:bCs/>
                <w:kern w:val="32"/>
                <w:szCs w:val="20"/>
                <w:lang w:eastAsia="sl-SI"/>
              </w:rPr>
            </w:pPr>
          </w:p>
        </w:tc>
      </w:tr>
      <w:tr w:rsidR="00193301" w:rsidRPr="00AE1F83" w14:paraId="6FB994A2" w14:textId="77777777" w:rsidTr="00771E8C">
        <w:trPr>
          <w:cantSplit/>
          <w:trHeight w:val="95"/>
        </w:trPr>
        <w:tc>
          <w:tcPr>
            <w:tcW w:w="3815" w:type="dxa"/>
            <w:gridSpan w:val="3"/>
            <w:tcBorders>
              <w:top w:val="single" w:sz="4" w:space="0" w:color="auto"/>
              <w:left w:val="single" w:sz="4" w:space="0" w:color="auto"/>
              <w:bottom w:val="single" w:sz="4" w:space="0" w:color="auto"/>
              <w:right w:val="single" w:sz="4" w:space="0" w:color="auto"/>
            </w:tcBorders>
            <w:vAlign w:val="center"/>
          </w:tcPr>
          <w:p w14:paraId="3C0B5FA3"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569" w:type="dxa"/>
            <w:gridSpan w:val="3"/>
            <w:tcBorders>
              <w:top w:val="single" w:sz="4" w:space="0" w:color="auto"/>
              <w:left w:val="single" w:sz="4" w:space="0" w:color="auto"/>
              <w:bottom w:val="single" w:sz="4" w:space="0" w:color="auto"/>
              <w:right w:val="single" w:sz="4" w:space="0" w:color="auto"/>
            </w:tcBorders>
            <w:vAlign w:val="center"/>
          </w:tcPr>
          <w:p w14:paraId="1B60D31F"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C901D1B" w14:textId="77777777" w:rsidR="00193301" w:rsidRPr="00AE1F83" w:rsidRDefault="00193301" w:rsidP="00193301">
            <w:pPr>
              <w:widowControl w:val="0"/>
              <w:tabs>
                <w:tab w:val="left" w:pos="360"/>
              </w:tabs>
              <w:spacing w:after="0" w:line="260" w:lineRule="exact"/>
              <w:outlineLvl w:val="0"/>
              <w:rPr>
                <w:rFonts w:eastAsia="Times New Roman" w:cs="Arial"/>
                <w:b/>
                <w:kern w:val="32"/>
                <w:szCs w:val="20"/>
                <w:lang w:eastAsia="sl-SI"/>
              </w:rPr>
            </w:pPr>
          </w:p>
        </w:tc>
      </w:tr>
      <w:tr w:rsidR="00193301" w:rsidRPr="00AE1F83" w14:paraId="3C6657C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6707198" w14:textId="77777777" w:rsidR="00193301" w:rsidRPr="00AE1F83" w:rsidRDefault="00193301" w:rsidP="00193301">
            <w:pPr>
              <w:widowControl w:val="0"/>
              <w:spacing w:after="0" w:line="260" w:lineRule="exact"/>
              <w:rPr>
                <w:rFonts w:eastAsia="Times New Roman" w:cs="Arial"/>
                <w:b/>
                <w:szCs w:val="20"/>
              </w:rPr>
            </w:pPr>
            <w:r w:rsidRPr="00AE1F83">
              <w:rPr>
                <w:rFonts w:eastAsia="Times New Roman" w:cs="Arial"/>
                <w:b/>
                <w:szCs w:val="20"/>
              </w:rPr>
              <w:t>OBRAZLOŽITEV:</w:t>
            </w:r>
          </w:p>
          <w:p w14:paraId="42C29F4C"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3F660099" w14:textId="77777777" w:rsidR="00193301" w:rsidRPr="00AE1F83" w:rsidRDefault="00193301" w:rsidP="00193301">
            <w:pPr>
              <w:widowControl w:val="0"/>
              <w:spacing w:after="0" w:line="260" w:lineRule="exact"/>
              <w:ind w:left="360" w:hanging="76"/>
              <w:jc w:val="both"/>
              <w:rPr>
                <w:rFonts w:eastAsia="Times New Roman" w:cs="Arial"/>
                <w:szCs w:val="20"/>
                <w:lang w:eastAsia="sl-SI"/>
              </w:rPr>
            </w:pPr>
            <w:r w:rsidRPr="00AE1F83">
              <w:rPr>
                <w:rFonts w:eastAsia="Times New Roman" w:cs="Arial"/>
                <w:szCs w:val="20"/>
                <w:lang w:eastAsia="sl-SI"/>
              </w:rPr>
              <w:t>V zvezi s predlaganim vladnim gradivom se navedejo predvidene spremembe (povečanje, zmanjšanje):</w:t>
            </w:r>
          </w:p>
          <w:p w14:paraId="4731CD3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prihodkov državnega proračuna in občinskih proračunov,</w:t>
            </w:r>
          </w:p>
          <w:p w14:paraId="5C99A1F2"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odhodkov državnega proračuna, ki niso načrtovani na ukrepih oziroma projektih sprejetih proračunov,</w:t>
            </w:r>
          </w:p>
          <w:p w14:paraId="0CE6B641" w14:textId="77777777" w:rsidR="00193301" w:rsidRPr="00AE1F83" w:rsidRDefault="00193301" w:rsidP="00193301">
            <w:pPr>
              <w:widowControl w:val="0"/>
              <w:numPr>
                <w:ilvl w:val="0"/>
                <w:numId w:val="4"/>
              </w:numPr>
              <w:suppressAutoHyphens/>
              <w:spacing w:after="0" w:line="260" w:lineRule="exact"/>
              <w:jc w:val="both"/>
              <w:rPr>
                <w:rFonts w:eastAsia="Times New Roman" w:cs="Arial"/>
                <w:szCs w:val="20"/>
              </w:rPr>
            </w:pPr>
            <w:r w:rsidRPr="00AE1F83">
              <w:rPr>
                <w:rFonts w:eastAsia="Times New Roman" w:cs="Arial"/>
                <w:szCs w:val="20"/>
                <w:lang w:eastAsia="sl-SI"/>
              </w:rPr>
              <w:t>obveznosti za druga javnofinančna sredstva (drugi viri), ki niso načrtovana na ukrepih oziroma projektih sprejetih proračunov.</w:t>
            </w:r>
          </w:p>
          <w:p w14:paraId="09EAA053" w14:textId="77777777" w:rsidR="00193301" w:rsidRPr="00AE1F83" w:rsidRDefault="00193301" w:rsidP="00193301">
            <w:pPr>
              <w:widowControl w:val="0"/>
              <w:spacing w:after="0" w:line="260" w:lineRule="exact"/>
              <w:ind w:left="284"/>
              <w:rPr>
                <w:rFonts w:eastAsia="Times New Roman" w:cs="Arial"/>
                <w:szCs w:val="20"/>
                <w:lang w:eastAsia="sl-SI"/>
              </w:rPr>
            </w:pPr>
          </w:p>
          <w:p w14:paraId="09155949" w14:textId="77777777" w:rsidR="00193301" w:rsidRPr="00AE1F83" w:rsidRDefault="00193301" w:rsidP="00193301">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130F03CA"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Prikazane morajo biti finančne posledice za državni proračun, ki so na proračunskih postavkah načrtovane v dinamiki projektov oziroma ukrepov:</w:t>
            </w:r>
          </w:p>
          <w:p w14:paraId="42110DB0" w14:textId="77777777" w:rsidR="00193301" w:rsidRPr="00AE1F83" w:rsidRDefault="00193301" w:rsidP="00193301">
            <w:pPr>
              <w:widowControl w:val="0"/>
              <w:suppressAutoHyphens/>
              <w:spacing w:after="0" w:line="260" w:lineRule="exact"/>
              <w:ind w:left="720"/>
              <w:jc w:val="both"/>
              <w:rPr>
                <w:rFonts w:eastAsia="Times New Roman" w:cs="Arial"/>
                <w:b/>
                <w:szCs w:val="20"/>
                <w:lang w:eastAsia="sl-SI"/>
              </w:rPr>
            </w:pPr>
            <w:proofErr w:type="spellStart"/>
            <w:r w:rsidRPr="00AE1F83">
              <w:rPr>
                <w:rFonts w:eastAsia="Times New Roman" w:cs="Arial"/>
                <w:b/>
                <w:szCs w:val="20"/>
                <w:lang w:eastAsia="sl-SI"/>
              </w:rPr>
              <w:t>II.a</w:t>
            </w:r>
            <w:proofErr w:type="spellEnd"/>
            <w:r w:rsidRPr="00AE1F83">
              <w:rPr>
                <w:rFonts w:eastAsia="Times New Roman" w:cs="Arial"/>
                <w:b/>
                <w:szCs w:val="20"/>
                <w:lang w:eastAsia="sl-SI"/>
              </w:rPr>
              <w:t xml:space="preserve"> Pravice porabe za izvedbo predlaganih rešitev so zagotovljene:</w:t>
            </w:r>
          </w:p>
          <w:p w14:paraId="2346E059"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Pri uvrstitvi novega projekta oziroma ukrepa v načrt razvojnih programov se navedejo:</w:t>
            </w:r>
          </w:p>
          <w:p w14:paraId="71196DC7"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77955504"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36EB5FAF" w14:textId="77777777" w:rsidR="00193301" w:rsidRPr="00AE1F83" w:rsidRDefault="00193301" w:rsidP="00193301">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7EC27F55"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Za zagotovitev pravic porabe na proračunskih postavkah, s katerih se bo financiral novi projekt oziroma ukrep, je treba izpolniti tudi točko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saj je za novi projekt oziroma ukrep mogoče zagotoviti pravice porabe le s prerazporeditvijo s proračunskih postavk, s katerih se financirajo že sprejeti oziroma veljavni projekti in ukrepi.</w:t>
            </w:r>
          </w:p>
          <w:p w14:paraId="069BDA04"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proofErr w:type="spellStart"/>
            <w:r w:rsidRPr="00AE1F83">
              <w:rPr>
                <w:rFonts w:eastAsia="Times New Roman" w:cs="Arial"/>
                <w:b/>
                <w:szCs w:val="20"/>
                <w:lang w:eastAsia="sl-SI"/>
              </w:rPr>
              <w:t>II.b</w:t>
            </w:r>
            <w:proofErr w:type="spellEnd"/>
            <w:r w:rsidRPr="00AE1F83">
              <w:rPr>
                <w:rFonts w:eastAsia="Times New Roman" w:cs="Arial"/>
                <w:b/>
                <w:szCs w:val="20"/>
                <w:lang w:eastAsia="sl-SI"/>
              </w:rPr>
              <w:t xml:space="preserve"> Manjkajoče pravice porabe bodo zagotovljene s prerazporeditvijo:</w:t>
            </w:r>
          </w:p>
          <w:p w14:paraId="240781E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F103CF6" w14:textId="77777777" w:rsidR="00193301" w:rsidRPr="00AE1F83" w:rsidRDefault="00193301" w:rsidP="00193301">
            <w:pPr>
              <w:widowControl w:val="0"/>
              <w:suppressAutoHyphens/>
              <w:spacing w:after="0" w:line="260" w:lineRule="exact"/>
              <w:ind w:left="714"/>
              <w:jc w:val="both"/>
              <w:rPr>
                <w:rFonts w:eastAsia="Times New Roman" w:cs="Arial"/>
                <w:b/>
                <w:szCs w:val="20"/>
                <w:lang w:eastAsia="sl-SI"/>
              </w:rPr>
            </w:pPr>
            <w:proofErr w:type="spellStart"/>
            <w:r w:rsidRPr="00AE1F83">
              <w:rPr>
                <w:rFonts w:eastAsia="Times New Roman" w:cs="Arial"/>
                <w:b/>
                <w:szCs w:val="20"/>
                <w:lang w:eastAsia="sl-SI"/>
              </w:rPr>
              <w:t>II.c</w:t>
            </w:r>
            <w:proofErr w:type="spellEnd"/>
            <w:r w:rsidRPr="00AE1F83">
              <w:rPr>
                <w:rFonts w:eastAsia="Times New Roman" w:cs="Arial"/>
                <w:b/>
                <w:szCs w:val="20"/>
                <w:lang w:eastAsia="sl-SI"/>
              </w:rPr>
              <w:t xml:space="preserve"> Načrtovana nadomestitev zmanjšanih prihodkov in povečanih odhodkov proračuna:</w:t>
            </w:r>
          </w:p>
          <w:p w14:paraId="3CFF775E" w14:textId="77777777" w:rsidR="00193301" w:rsidRPr="00AE1F83" w:rsidRDefault="00193301" w:rsidP="00193301">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Če se povečani odhodki (pravice porabe) ne bodo zagotovili tako, kot je določeno v točkah </w:t>
            </w:r>
            <w:proofErr w:type="spellStart"/>
            <w:r w:rsidRPr="00AE1F83">
              <w:rPr>
                <w:rFonts w:eastAsia="Times New Roman" w:cs="Arial"/>
                <w:szCs w:val="20"/>
                <w:lang w:eastAsia="sl-SI"/>
              </w:rPr>
              <w:t>II.a</w:t>
            </w:r>
            <w:proofErr w:type="spellEnd"/>
            <w:r w:rsidRPr="00AE1F83">
              <w:rPr>
                <w:rFonts w:eastAsia="Times New Roman" w:cs="Arial"/>
                <w:szCs w:val="20"/>
                <w:lang w:eastAsia="sl-SI"/>
              </w:rPr>
              <w:t xml:space="preserve"> in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F932E5C" w14:textId="77777777" w:rsidR="00193301" w:rsidRPr="00AE1F83" w:rsidRDefault="00193301" w:rsidP="00193301">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193301" w:rsidRPr="00AE1F83" w14:paraId="783691F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D41B399" w14:textId="77777777" w:rsidR="00193301" w:rsidRPr="00AE1F83" w:rsidRDefault="00193301" w:rsidP="00193301">
            <w:pPr>
              <w:spacing w:after="0" w:line="260" w:lineRule="exact"/>
              <w:rPr>
                <w:rFonts w:eastAsia="Times New Roman" w:cs="Arial"/>
                <w:b/>
                <w:szCs w:val="20"/>
              </w:rPr>
            </w:pPr>
            <w:proofErr w:type="spellStart"/>
            <w:r w:rsidRPr="00AE1F83">
              <w:rPr>
                <w:rFonts w:eastAsia="Times New Roman" w:cs="Arial"/>
                <w:b/>
                <w:szCs w:val="20"/>
              </w:rPr>
              <w:t>7.b</w:t>
            </w:r>
            <w:proofErr w:type="spellEnd"/>
            <w:r w:rsidRPr="00AE1F83">
              <w:rPr>
                <w:rFonts w:eastAsia="Times New Roman" w:cs="Arial"/>
                <w:b/>
                <w:szCs w:val="20"/>
              </w:rPr>
              <w:t xml:space="preserve"> Predstavitev ocene finančnih posledic pod 40.000 EUR:</w:t>
            </w:r>
          </w:p>
          <w:p w14:paraId="1C93D3AB" w14:textId="77777777" w:rsidR="00193301" w:rsidRPr="00AE1F83" w:rsidRDefault="00193301" w:rsidP="00193301">
            <w:pPr>
              <w:spacing w:after="0" w:line="260" w:lineRule="exact"/>
              <w:rPr>
                <w:rFonts w:eastAsia="Times New Roman" w:cs="Arial"/>
                <w:szCs w:val="20"/>
              </w:rPr>
            </w:pPr>
            <w:r w:rsidRPr="00AE1F83">
              <w:rPr>
                <w:rFonts w:eastAsia="Times New Roman" w:cs="Arial"/>
                <w:szCs w:val="20"/>
              </w:rPr>
              <w:t>(Samo če izberete NE pod točko 6.a.)</w:t>
            </w:r>
          </w:p>
          <w:p w14:paraId="6E2C0DDA"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Kratka obrazložitev</w:t>
            </w:r>
          </w:p>
          <w:p w14:paraId="2B1C5005" w14:textId="77777777" w:rsidR="00193301" w:rsidRPr="00AE1F83" w:rsidRDefault="00193301" w:rsidP="00193301">
            <w:pPr>
              <w:spacing w:after="0" w:line="260" w:lineRule="exact"/>
              <w:rPr>
                <w:rFonts w:eastAsia="Times New Roman" w:cs="Arial"/>
                <w:b/>
                <w:szCs w:val="20"/>
              </w:rPr>
            </w:pPr>
          </w:p>
        </w:tc>
      </w:tr>
      <w:tr w:rsidR="00193301" w:rsidRPr="00AE1F83" w14:paraId="516E147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08B0C92" w14:textId="77777777" w:rsidR="00193301" w:rsidRPr="00AE1F83" w:rsidRDefault="00193301" w:rsidP="00193301">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193301" w:rsidRPr="00AE1F83" w14:paraId="06DB2917"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7148B8D"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3A3A6409"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6D1C6F81" w14:textId="77777777" w:rsidR="00193301" w:rsidRPr="00AE1F83" w:rsidRDefault="00193301" w:rsidP="00193301">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76EE9794" w14:textId="77777777" w:rsidR="00193301" w:rsidRPr="00AE1F83" w:rsidRDefault="00193301" w:rsidP="00193301">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3A3A0260" w14:textId="77777777" w:rsidR="00193301" w:rsidRPr="00AE1F83" w:rsidRDefault="00193301" w:rsidP="00193301">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431" w:type="dxa"/>
            <w:gridSpan w:val="2"/>
          </w:tcPr>
          <w:p w14:paraId="5E79EF38"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193301">
              <w:rPr>
                <w:rFonts w:eastAsia="Times New Roman" w:cs="Arial"/>
                <w:b/>
                <w:bCs/>
                <w:szCs w:val="20"/>
                <w:lang w:eastAsia="sl-SI"/>
              </w:rPr>
              <w:t>NE</w:t>
            </w:r>
          </w:p>
        </w:tc>
      </w:tr>
      <w:tr w:rsidR="00193301" w:rsidRPr="00AE1F83" w14:paraId="72BFB73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0C4007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1A53B0E6"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DA/</w:t>
            </w:r>
            <w:r w:rsidRPr="006E5450">
              <w:rPr>
                <w:rFonts w:eastAsia="Times New Roman" w:cs="Arial"/>
                <w:b/>
                <w:bCs/>
                <w:iCs/>
                <w:szCs w:val="20"/>
                <w:lang w:eastAsia="sl-SI"/>
              </w:rPr>
              <w:t>NE</w:t>
            </w:r>
          </w:p>
          <w:p w14:paraId="17B63A34"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DA/</w:t>
            </w:r>
            <w:r w:rsidRPr="006E5450">
              <w:rPr>
                <w:rFonts w:eastAsia="Times New Roman" w:cs="Arial"/>
                <w:b/>
                <w:bCs/>
                <w:iCs/>
                <w:szCs w:val="20"/>
                <w:lang w:eastAsia="sl-SI"/>
              </w:rPr>
              <w:t>NE</w:t>
            </w:r>
          </w:p>
          <w:p w14:paraId="44E39DC7" w14:textId="77777777" w:rsidR="00193301" w:rsidRPr="00AE1F83" w:rsidRDefault="00193301" w:rsidP="00193301">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DA/</w:t>
            </w:r>
            <w:r w:rsidRPr="006E5450">
              <w:rPr>
                <w:rFonts w:eastAsia="Times New Roman" w:cs="Arial"/>
                <w:b/>
                <w:bCs/>
                <w:iCs/>
                <w:szCs w:val="20"/>
                <w:lang w:eastAsia="sl-SI"/>
              </w:rPr>
              <w:t>NE</w:t>
            </w:r>
          </w:p>
          <w:p w14:paraId="1574571C"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Predlogi in pripombe združenj so bili upoštevani:</w:t>
            </w:r>
          </w:p>
          <w:p w14:paraId="2B3E91BC"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 celoti,</w:t>
            </w:r>
          </w:p>
          <w:p w14:paraId="1A69947E"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večinoma,</w:t>
            </w:r>
          </w:p>
          <w:p w14:paraId="5F726C48"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43B0DD13" w14:textId="77777777" w:rsidR="00193301" w:rsidRPr="00AE1F83" w:rsidRDefault="00193301" w:rsidP="00193301">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niso bili upoštevani.</w:t>
            </w:r>
          </w:p>
          <w:p w14:paraId="5E9A8D5A"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6A2D9BD2"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802729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FE53A82"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193301" w:rsidRPr="00AE1F83" w14:paraId="29A9C63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0F374EE" w14:textId="77777777" w:rsidR="00193301" w:rsidRPr="00AE1F83" w:rsidRDefault="00193301" w:rsidP="00193301">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431" w:type="dxa"/>
            <w:gridSpan w:val="2"/>
          </w:tcPr>
          <w:p w14:paraId="46D9B962"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759E853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126B945" w14:textId="75193DBA" w:rsidR="00193301" w:rsidRPr="00AE1F83" w:rsidRDefault="006E5450" w:rsidP="00193301">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6E5450">
              <w:rPr>
                <w:rFonts w:eastAsia="Times New Roman"/>
                <w:iCs/>
                <w:szCs w:val="20"/>
              </w:rPr>
              <w:t>Pri pripravi gradiva sodelovanje javnosti ni potrebno</w:t>
            </w:r>
          </w:p>
        </w:tc>
      </w:tr>
      <w:tr w:rsidR="00193301" w:rsidRPr="00AE1F83" w14:paraId="4E17A81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D631B36" w14:textId="77777777" w:rsidR="00193301" w:rsidRPr="00AE1F83" w:rsidRDefault="00193301" w:rsidP="006E5450">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193301" w:rsidRPr="00AE1F83" w14:paraId="578C93FC"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C98E434"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431" w:type="dxa"/>
            <w:gridSpan w:val="2"/>
            <w:vAlign w:val="center"/>
          </w:tcPr>
          <w:p w14:paraId="10779B46"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0FF4F17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716164B" w14:textId="77777777" w:rsidR="00193301" w:rsidRPr="00AE1F83" w:rsidRDefault="00193301" w:rsidP="00193301">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431" w:type="dxa"/>
            <w:gridSpan w:val="2"/>
            <w:vAlign w:val="center"/>
          </w:tcPr>
          <w:p w14:paraId="35621CBB" w14:textId="77777777" w:rsidR="00193301" w:rsidRPr="00AE1F83" w:rsidRDefault="00193301" w:rsidP="00193301">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r w:rsidRPr="006E5450">
              <w:rPr>
                <w:rFonts w:eastAsia="Times New Roman" w:cs="Arial"/>
                <w:b/>
                <w:bCs/>
                <w:szCs w:val="20"/>
                <w:lang w:eastAsia="sl-SI"/>
              </w:rPr>
              <w:t>NE</w:t>
            </w:r>
          </w:p>
        </w:tc>
      </w:tr>
      <w:tr w:rsidR="00193301" w:rsidRPr="00AE1F83" w14:paraId="14584AD5"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2E089FF" w14:textId="77777777" w:rsidR="00193301" w:rsidRPr="00AE1F83" w:rsidRDefault="00193301"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37CACBC6" w14:textId="77777777" w:rsid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w:t>
            </w:r>
          </w:p>
          <w:p w14:paraId="0B1D06A3" w14:textId="45E5A183"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Pr>
                <w:rFonts w:eastAsia="Times New Roman" w:cs="Arial"/>
                <w:b/>
                <w:szCs w:val="20"/>
                <w:lang w:eastAsia="sl-SI"/>
              </w:rPr>
              <w:t xml:space="preserve">                     Simon Maljevac</w:t>
            </w:r>
          </w:p>
          <w:p w14:paraId="73944D6A" w14:textId="77777777" w:rsidR="006E5450" w:rsidRPr="006E5450" w:rsidRDefault="006E5450" w:rsidP="006E5450">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r w:rsidRPr="006E5450">
              <w:rPr>
                <w:rFonts w:eastAsia="Times New Roman" w:cs="Arial"/>
                <w:b/>
                <w:szCs w:val="20"/>
                <w:lang w:eastAsia="sl-SI"/>
              </w:rPr>
              <w:t xml:space="preserve">                             minister</w:t>
            </w:r>
          </w:p>
          <w:p w14:paraId="1B6AD02C" w14:textId="77777777" w:rsidR="006E5450" w:rsidRPr="006E5450" w:rsidRDefault="006E5450" w:rsidP="006E5450">
            <w:pPr>
              <w:tabs>
                <w:tab w:val="left" w:pos="3402"/>
              </w:tabs>
              <w:spacing w:after="0" w:line="260" w:lineRule="exact"/>
              <w:jc w:val="both"/>
              <w:rPr>
                <w:rFonts w:eastAsia="Times New Roman"/>
                <w:szCs w:val="20"/>
                <w:lang w:val="it-IT"/>
              </w:rPr>
            </w:pPr>
            <w:r w:rsidRPr="006E5450">
              <w:rPr>
                <w:rFonts w:eastAsia="Times New Roman"/>
                <w:szCs w:val="20"/>
                <w:lang w:val="it-IT"/>
              </w:rPr>
              <w:t xml:space="preserve">     </w:t>
            </w:r>
          </w:p>
          <w:p w14:paraId="6BC0FAC7" w14:textId="77777777" w:rsidR="006E5450" w:rsidRPr="006E5450" w:rsidRDefault="006E5450" w:rsidP="006E5450">
            <w:pPr>
              <w:tabs>
                <w:tab w:val="left" w:pos="3402"/>
              </w:tabs>
              <w:spacing w:after="0" w:line="260" w:lineRule="exact"/>
              <w:jc w:val="both"/>
              <w:rPr>
                <w:rFonts w:eastAsia="Times New Roman"/>
                <w:szCs w:val="20"/>
                <w:lang w:val="it-IT"/>
              </w:rPr>
            </w:pPr>
          </w:p>
          <w:p w14:paraId="6561997B" w14:textId="77777777" w:rsidR="006E5450" w:rsidRPr="006E5450" w:rsidRDefault="006E5450" w:rsidP="006E5450">
            <w:pPr>
              <w:tabs>
                <w:tab w:val="left" w:pos="3402"/>
              </w:tabs>
              <w:spacing w:after="0" w:line="260" w:lineRule="exact"/>
              <w:jc w:val="both"/>
              <w:rPr>
                <w:rFonts w:eastAsia="Times New Roman"/>
                <w:szCs w:val="20"/>
                <w:lang w:val="it-IT"/>
              </w:rPr>
            </w:pPr>
          </w:p>
          <w:p w14:paraId="6C49E0D1" w14:textId="77777777" w:rsidR="006E5450" w:rsidRPr="006E5450" w:rsidRDefault="006E5450" w:rsidP="006E5450">
            <w:pPr>
              <w:tabs>
                <w:tab w:val="left" w:pos="3402"/>
              </w:tabs>
              <w:spacing w:after="0" w:line="260" w:lineRule="exact"/>
              <w:jc w:val="both"/>
              <w:rPr>
                <w:rFonts w:eastAsia="Times New Roman"/>
                <w:szCs w:val="20"/>
                <w:lang w:val="it-IT"/>
              </w:rPr>
            </w:pPr>
          </w:p>
          <w:p w14:paraId="6942A9A9" w14:textId="77777777" w:rsidR="006E5450" w:rsidRPr="006E5450" w:rsidRDefault="006E5450" w:rsidP="006E5450">
            <w:pPr>
              <w:tabs>
                <w:tab w:val="left" w:pos="3402"/>
              </w:tabs>
              <w:spacing w:after="0" w:line="260" w:lineRule="exact"/>
              <w:jc w:val="both"/>
              <w:rPr>
                <w:rFonts w:eastAsia="Times New Roman"/>
                <w:szCs w:val="20"/>
                <w:lang w:val="it-IT"/>
              </w:rPr>
            </w:pPr>
          </w:p>
          <w:p w14:paraId="3D739C6D" w14:textId="77777777" w:rsidR="006E5450" w:rsidRPr="006E5450" w:rsidRDefault="006E5450" w:rsidP="006E5450">
            <w:pPr>
              <w:tabs>
                <w:tab w:val="left" w:pos="3402"/>
              </w:tabs>
              <w:spacing w:after="0" w:line="260" w:lineRule="exact"/>
              <w:jc w:val="both"/>
              <w:rPr>
                <w:rFonts w:eastAsia="Times New Roman"/>
                <w:szCs w:val="20"/>
                <w:lang w:val="it-IT"/>
              </w:rPr>
            </w:pPr>
          </w:p>
          <w:p w14:paraId="1744C7E2" w14:textId="77777777" w:rsidR="006E5450" w:rsidRPr="006E5450" w:rsidRDefault="006E5450" w:rsidP="006E5450">
            <w:pPr>
              <w:tabs>
                <w:tab w:val="left" w:pos="3402"/>
              </w:tabs>
              <w:spacing w:after="0" w:line="260" w:lineRule="exact"/>
              <w:jc w:val="both"/>
              <w:rPr>
                <w:rFonts w:eastAsia="Times New Roman"/>
                <w:szCs w:val="20"/>
                <w:lang w:val="it-IT"/>
              </w:rPr>
            </w:pPr>
          </w:p>
          <w:p w14:paraId="44B4EB1D" w14:textId="77777777" w:rsidR="006E5450" w:rsidRPr="006E5450" w:rsidRDefault="006E5450" w:rsidP="006E5450">
            <w:pPr>
              <w:tabs>
                <w:tab w:val="left" w:pos="3402"/>
              </w:tabs>
              <w:spacing w:after="0" w:line="260" w:lineRule="exact"/>
              <w:jc w:val="both"/>
              <w:rPr>
                <w:rFonts w:eastAsia="Times New Roman"/>
                <w:szCs w:val="24"/>
              </w:rPr>
            </w:pPr>
            <w:r w:rsidRPr="006E5450">
              <w:rPr>
                <w:rFonts w:eastAsia="Times New Roman"/>
                <w:szCs w:val="20"/>
                <w:lang w:val="it-IT"/>
              </w:rPr>
              <w:t xml:space="preserve">   </w:t>
            </w:r>
            <w:r w:rsidRPr="006E5450">
              <w:rPr>
                <w:rFonts w:eastAsia="Times New Roman"/>
                <w:szCs w:val="24"/>
              </w:rPr>
              <w:t xml:space="preserve">Priloge: </w:t>
            </w:r>
          </w:p>
          <w:p w14:paraId="6BAC9259"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Obrazložitev,</w:t>
            </w:r>
          </w:p>
          <w:p w14:paraId="56773FDD"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Predlog Sklepa Vlade RS,</w:t>
            </w:r>
          </w:p>
          <w:p w14:paraId="37D9F1E7" w14:textId="77777777"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Obrazec 3: Načrt razvojnih programov,</w:t>
            </w:r>
          </w:p>
          <w:p w14:paraId="3F2204FB" w14:textId="1A0DA39D" w:rsidR="006E5450" w:rsidRPr="006E5450" w:rsidRDefault="006E5450" w:rsidP="006E5450">
            <w:pPr>
              <w:numPr>
                <w:ilvl w:val="1"/>
                <w:numId w:val="4"/>
              </w:numPr>
              <w:tabs>
                <w:tab w:val="left" w:pos="3402"/>
              </w:tabs>
              <w:spacing w:after="0" w:line="260" w:lineRule="exact"/>
              <w:jc w:val="both"/>
              <w:rPr>
                <w:rFonts w:eastAsia="Times New Roman"/>
                <w:szCs w:val="24"/>
              </w:rPr>
            </w:pPr>
            <w:r w:rsidRPr="006E5450">
              <w:rPr>
                <w:rFonts w:eastAsia="Times New Roman"/>
                <w:szCs w:val="24"/>
              </w:rPr>
              <w:t xml:space="preserve">Sklep o potrditvi investicijske dokumentacije, </w:t>
            </w:r>
            <w:r w:rsidR="009B4986">
              <w:rPr>
                <w:rFonts w:eastAsia="Times New Roman"/>
                <w:szCs w:val="24"/>
              </w:rPr>
              <w:t>1</w:t>
            </w:r>
            <w:r w:rsidRPr="006E5450">
              <w:rPr>
                <w:rFonts w:eastAsia="Times New Roman"/>
                <w:szCs w:val="24"/>
              </w:rPr>
              <w:t>x.</w:t>
            </w:r>
          </w:p>
          <w:p w14:paraId="0DB92F4D" w14:textId="77777777" w:rsidR="00193301" w:rsidRPr="00AE1F83" w:rsidRDefault="00193301"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r w:rsidR="006E5450" w:rsidRPr="00AE1F83" w14:paraId="51A15999"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AA9DD73" w14:textId="77777777" w:rsidR="006E5450" w:rsidRPr="00AE1F83" w:rsidRDefault="006E5450" w:rsidP="00193301">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1A3B8727" w14:textId="1571E733" w:rsidR="00FB397B" w:rsidRDefault="00FB397B"/>
    <w:p w14:paraId="4DBF4361" w14:textId="3D88AE64" w:rsidR="006E5450" w:rsidRDefault="006E5450"/>
    <w:p w14:paraId="3F96F71D" w14:textId="1D92E3A3" w:rsidR="006E5450" w:rsidRDefault="006E5450"/>
    <w:p w14:paraId="27339E5C" w14:textId="024F0777" w:rsidR="006E5450" w:rsidRDefault="006E5450"/>
    <w:p w14:paraId="2CDE241E" w14:textId="611C5C1B" w:rsidR="006E5450" w:rsidRDefault="006E5450"/>
    <w:p w14:paraId="1806540C" w14:textId="45D31AD7" w:rsidR="006E5450" w:rsidRDefault="006E5450"/>
    <w:p w14:paraId="4EB972B6" w14:textId="3B728A55" w:rsidR="006E5450" w:rsidRDefault="006E5450"/>
    <w:p w14:paraId="3431AD08" w14:textId="70C7D0B0" w:rsidR="006E5450" w:rsidRDefault="006E5450"/>
    <w:p w14:paraId="3C9DE666" w14:textId="109CB7A4" w:rsidR="006E5450" w:rsidRDefault="006E5450"/>
    <w:p w14:paraId="673DC739" w14:textId="4810BBD6" w:rsidR="006E5450" w:rsidRDefault="006E5450"/>
    <w:p w14:paraId="4502CA52" w14:textId="171893DE" w:rsidR="006E5450" w:rsidRDefault="006E5450"/>
    <w:p w14:paraId="25E142F7" w14:textId="77777777" w:rsidR="006E5450" w:rsidRPr="006E5450" w:rsidRDefault="006E5450" w:rsidP="006E5450">
      <w:pPr>
        <w:tabs>
          <w:tab w:val="left" w:pos="3402"/>
        </w:tabs>
        <w:spacing w:after="0" w:line="260" w:lineRule="exact"/>
        <w:ind w:left="360"/>
        <w:jc w:val="center"/>
        <w:rPr>
          <w:rFonts w:eastAsia="Times New Roman"/>
          <w:b/>
          <w:szCs w:val="24"/>
        </w:rPr>
      </w:pPr>
      <w:r w:rsidRPr="005C4967">
        <w:rPr>
          <w:rFonts w:eastAsia="Times New Roman"/>
          <w:b/>
          <w:szCs w:val="24"/>
        </w:rPr>
        <w:t>OBRAZLOŽITEV</w:t>
      </w:r>
    </w:p>
    <w:p w14:paraId="4DD2B3E7" w14:textId="77777777" w:rsidR="006E5450" w:rsidRPr="006E5450" w:rsidRDefault="006E5450" w:rsidP="006E5450">
      <w:pPr>
        <w:spacing w:after="0" w:line="260" w:lineRule="exact"/>
        <w:jc w:val="both"/>
        <w:rPr>
          <w:rFonts w:eastAsia="Times New Roman"/>
          <w:szCs w:val="24"/>
        </w:rPr>
      </w:pPr>
    </w:p>
    <w:p w14:paraId="37819813" w14:textId="144D841C" w:rsidR="009B4986" w:rsidRDefault="00295552" w:rsidP="009B4986">
      <w:pPr>
        <w:tabs>
          <w:tab w:val="left" w:pos="3402"/>
        </w:tabs>
        <w:spacing w:after="0" w:line="260" w:lineRule="exact"/>
        <w:jc w:val="both"/>
        <w:rPr>
          <w:rFonts w:eastAsia="Times New Roman" w:cs="Arial"/>
          <w:b/>
          <w:iCs/>
          <w:szCs w:val="20"/>
          <w:lang w:eastAsia="sl-SI"/>
        </w:rPr>
      </w:pPr>
      <w:r>
        <w:rPr>
          <w:rFonts w:eastAsia="Times New Roman"/>
          <w:b/>
          <w:iCs/>
          <w:color w:val="000000"/>
          <w:szCs w:val="20"/>
        </w:rPr>
        <w:t>Sprememba izhodiščne vrednosti ter podaljšanje in ponovna uvrstitev</w:t>
      </w:r>
      <w:r w:rsidR="009B4986" w:rsidRPr="009B4986">
        <w:rPr>
          <w:rFonts w:eastAsia="Times New Roman"/>
          <w:b/>
          <w:iCs/>
          <w:color w:val="000000"/>
          <w:szCs w:val="20"/>
        </w:rPr>
        <w:t xml:space="preserve"> projekta </w:t>
      </w:r>
      <w:r w:rsidRPr="00295552">
        <w:rPr>
          <w:rFonts w:eastAsia="Times New Roman"/>
          <w:b/>
          <w:iCs/>
          <w:color w:val="000000"/>
          <w:szCs w:val="20"/>
        </w:rPr>
        <w:t xml:space="preserve">2611-22-0905 – </w:t>
      </w:r>
      <w:r w:rsidRPr="00295552">
        <w:rPr>
          <w:rFonts w:eastAsia="Times New Roman" w:cs="Arial"/>
          <w:b/>
          <w:iCs/>
          <w:szCs w:val="20"/>
          <w:lang w:eastAsia="sl-SI"/>
        </w:rPr>
        <w:t>Izgradnja delavnic - VDC Novo mesto, enota Trebnje</w:t>
      </w:r>
    </w:p>
    <w:p w14:paraId="69DF1D16" w14:textId="77777777" w:rsidR="00295552" w:rsidRDefault="00295552" w:rsidP="009B4986">
      <w:pPr>
        <w:tabs>
          <w:tab w:val="left" w:pos="3402"/>
        </w:tabs>
        <w:spacing w:after="0" w:line="260" w:lineRule="exact"/>
        <w:jc w:val="both"/>
        <w:rPr>
          <w:rFonts w:eastAsia="Times New Roman" w:cs="Arial"/>
          <w:b/>
          <w:iCs/>
          <w:szCs w:val="20"/>
          <w:lang w:eastAsia="sl-SI"/>
        </w:rPr>
      </w:pPr>
    </w:p>
    <w:p w14:paraId="0BE620C3" w14:textId="13637E1A" w:rsidR="00295552" w:rsidRPr="00295552" w:rsidRDefault="00295552" w:rsidP="00295552">
      <w:pPr>
        <w:tabs>
          <w:tab w:val="left" w:pos="0"/>
        </w:tabs>
        <w:spacing w:after="0" w:line="260" w:lineRule="exact"/>
        <w:jc w:val="both"/>
        <w:rPr>
          <w:rFonts w:eastAsia="Times New Roman"/>
          <w:szCs w:val="24"/>
        </w:rPr>
      </w:pPr>
      <w:bookmarkStart w:id="3" w:name="_Hlk98751604"/>
      <w:r w:rsidRPr="00295552">
        <w:rPr>
          <w:rFonts w:eastAsia="Times New Roman"/>
          <w:szCs w:val="24"/>
        </w:rPr>
        <w:t>Varstveno delovni center Novo mesto (v nadaljnjem besedilu: VDC Novo mesto) je javni socialno varstveni zavod, ki opravlja storitve vodenja, varstva ter zaposlitve pod posebnimi pogoji in institucionalno varstvo za odrasle osebe z motnjami v duševnem in telesnem razvoju. Uporabnikom omogoča ohranjanje pridobljenih in širitev novih znanj in delovnih spretnosti, pridobivanje novih socialnih in delovnih navad, uresničevanje lastnih idej in ustvarjalnosti ter stimulacijo občutka koristnosti in samopotrditve. Z institucionalnim varstvom, ki obsega osnovno oskrbo, socialno oskrbo, zdravstveno varstvo ter fizioterapevtsko obravnavo pa upravičencem nadomešča, dopolnjuje</w:t>
      </w:r>
      <w:r w:rsidR="000056D6">
        <w:rPr>
          <w:rFonts w:eastAsia="Times New Roman"/>
          <w:szCs w:val="24"/>
        </w:rPr>
        <w:t>,</w:t>
      </w:r>
      <w:r w:rsidRPr="00295552">
        <w:rPr>
          <w:rFonts w:eastAsia="Times New Roman"/>
          <w:szCs w:val="24"/>
        </w:rPr>
        <w:t xml:space="preserve"> ali zagotavlja funkcijo doma oziroma lastne družine ter jim hkrati zagotavlja posebne oblike varstva. </w:t>
      </w:r>
    </w:p>
    <w:p w14:paraId="1683A199" w14:textId="77777777" w:rsidR="00295552" w:rsidRPr="00295552" w:rsidRDefault="00295552" w:rsidP="00295552">
      <w:pPr>
        <w:tabs>
          <w:tab w:val="left" w:pos="0"/>
        </w:tabs>
        <w:spacing w:after="0" w:line="260" w:lineRule="exact"/>
        <w:jc w:val="both"/>
        <w:rPr>
          <w:rFonts w:eastAsia="Times New Roman"/>
          <w:szCs w:val="24"/>
        </w:rPr>
      </w:pPr>
    </w:p>
    <w:p w14:paraId="52DB2C5E" w14:textId="43BE1A5B" w:rsidR="00295552" w:rsidRPr="00295552" w:rsidRDefault="00295552" w:rsidP="00295552">
      <w:pPr>
        <w:tabs>
          <w:tab w:val="left" w:pos="0"/>
        </w:tabs>
        <w:spacing w:after="0" w:line="260" w:lineRule="exact"/>
        <w:jc w:val="both"/>
        <w:rPr>
          <w:rFonts w:eastAsia="Times New Roman"/>
          <w:szCs w:val="24"/>
        </w:rPr>
      </w:pPr>
      <w:r w:rsidRPr="00295552">
        <w:rPr>
          <w:rFonts w:eastAsia="Times New Roman"/>
          <w:szCs w:val="24"/>
        </w:rPr>
        <w:t>Delavnice VDC Novo mesto v enoti v Trebnjem trenutno delujejo na dveh lokacijah, in sicer v kletnih prostorih bivalne enote Trebnje in v prizidku Doma starejših občanov Trebnje. V program je vključenih 33 uporabnikov. Prostori, s katerimi zavod trenutno razpolaga</w:t>
      </w:r>
      <w:r w:rsidR="00190281">
        <w:rPr>
          <w:rFonts w:eastAsia="Times New Roman"/>
          <w:szCs w:val="24"/>
        </w:rPr>
        <w:t xml:space="preserve">, </w:t>
      </w:r>
      <w:r w:rsidRPr="00295552">
        <w:rPr>
          <w:rFonts w:eastAsia="Times New Roman"/>
          <w:szCs w:val="24"/>
        </w:rPr>
        <w:t xml:space="preserve">ne ustrezajo zahtevam veljavnih predpisov, poleg tega pa tudi ne zagotavljajo povezanega delovanja ter zadostnih zmogljivosti glede na povečano povpraševanje po vključitvi dodatnih uporabnikov. </w:t>
      </w:r>
    </w:p>
    <w:p w14:paraId="3D41FE6C" w14:textId="77777777" w:rsidR="00295552" w:rsidRPr="00295552" w:rsidRDefault="00295552" w:rsidP="00295552">
      <w:pPr>
        <w:tabs>
          <w:tab w:val="left" w:pos="0"/>
        </w:tabs>
        <w:spacing w:after="0" w:line="260" w:lineRule="exact"/>
        <w:jc w:val="both"/>
        <w:rPr>
          <w:rFonts w:eastAsia="Times New Roman"/>
          <w:szCs w:val="24"/>
        </w:rPr>
      </w:pPr>
    </w:p>
    <w:p w14:paraId="27CA3AC5" w14:textId="77777777" w:rsidR="00295552" w:rsidRPr="00295552" w:rsidRDefault="00295552" w:rsidP="00295552">
      <w:pPr>
        <w:tabs>
          <w:tab w:val="left" w:pos="0"/>
        </w:tabs>
        <w:spacing w:after="0" w:line="260" w:lineRule="exact"/>
        <w:jc w:val="both"/>
        <w:rPr>
          <w:rFonts w:eastAsia="Times New Roman"/>
          <w:szCs w:val="24"/>
        </w:rPr>
      </w:pPr>
      <w:r w:rsidRPr="00295552">
        <w:rPr>
          <w:rFonts w:eastAsia="Times New Roman"/>
          <w:szCs w:val="24"/>
        </w:rPr>
        <w:t xml:space="preserve">Namen investicije je izgradnja objekta, ki bo namenjen delavnicam za izvajanje dejavnost vodenja, varstva in zaposlitve pod posebnimi pogoji, v katerih se uporabniki vključujejo v kooperantska dela ali dela za izdelavo lastnih izdelkov v skladu s svojimi sposobnostmi, zmožnostmi, zdravstvenim stanjem in psihofizičnim počutjem, ker trenutni prostori ne ustrezajo zahtevam veljavnih predpisov in dejanskim potrebam. Z izvedbo investicije se bodo v novih prostorih, ki bodo ustrezali področnim predpisom, lahko združili uporabniki z različnih lokacij, hkrati pa bodo omogočene dodatne vključitve uporabnikov, ki so trenutno na čakalni listi. </w:t>
      </w:r>
    </w:p>
    <w:p w14:paraId="143D60A0" w14:textId="77777777" w:rsidR="00295552" w:rsidRPr="00295552" w:rsidRDefault="00295552" w:rsidP="00295552">
      <w:pPr>
        <w:tabs>
          <w:tab w:val="left" w:pos="0"/>
        </w:tabs>
        <w:spacing w:after="0" w:line="260" w:lineRule="exact"/>
        <w:jc w:val="both"/>
        <w:rPr>
          <w:rFonts w:eastAsia="Times New Roman"/>
          <w:szCs w:val="24"/>
        </w:rPr>
      </w:pPr>
    </w:p>
    <w:p w14:paraId="11B0916D" w14:textId="31A86741" w:rsidR="00295552" w:rsidRPr="00295552" w:rsidRDefault="00295552" w:rsidP="00295552">
      <w:pPr>
        <w:tabs>
          <w:tab w:val="left" w:pos="0"/>
        </w:tabs>
        <w:spacing w:after="0" w:line="260" w:lineRule="exact"/>
        <w:jc w:val="both"/>
        <w:rPr>
          <w:rFonts w:eastAsia="Times New Roman"/>
          <w:szCs w:val="24"/>
        </w:rPr>
      </w:pPr>
      <w:r w:rsidRPr="00295552">
        <w:rPr>
          <w:rFonts w:eastAsia="Times New Roman"/>
          <w:szCs w:val="24"/>
        </w:rPr>
        <w:t>Predmet investicije bo izgradnja objekta z zunanjo parkovno ureditvijo. Predvidene so tri etaže – delna klet, pritličje in nadstropje. V vsaki etaži so predvidene vertikalne komunikacije (stopnišča in dvigala). V kleti so predvidena še skladišča, sanitarije, garderobe, priročna delavnica in prostor za termo tehniko. V pritličju bodo vhod z vetrolovom, recepcija, sanitarije, prostor za čistila, garderobe za uporabnike, delavnice, dnevni prostor s čajno kuhinjo in jedilnico, prostor za sprejem hrane in oddajo posode ter hodnik. V nadstropju bodo pisarne za zaposlene, večnamenska sejna soba, čajna kuhinja, delavnica, sanitarije za zaposlene in uporabnike, soba za počitek in nego ter terasa.</w:t>
      </w:r>
      <w:r w:rsidR="000056D6">
        <w:rPr>
          <w:rFonts w:eastAsia="Times New Roman"/>
          <w:szCs w:val="24"/>
        </w:rPr>
        <w:t xml:space="preserve"> </w:t>
      </w:r>
      <w:r w:rsidR="000056D6" w:rsidRPr="000056D6">
        <w:rPr>
          <w:rFonts w:eastAsia="Times New Roman"/>
          <w:szCs w:val="24"/>
        </w:rPr>
        <w:t>Zagotovljeni bodo notranji prostori skupne neto površine 729,52 m2 in terasa neto površine 91,95 m2. Nov objekt bo ustrezal potrebam za 35 obstoječih uporabnikov ter za vsaj 8 novih.</w:t>
      </w:r>
    </w:p>
    <w:p w14:paraId="3DC7B806" w14:textId="77777777" w:rsidR="00295552" w:rsidRPr="00295552" w:rsidRDefault="00295552" w:rsidP="00295552">
      <w:pPr>
        <w:tabs>
          <w:tab w:val="left" w:pos="0"/>
        </w:tabs>
        <w:spacing w:after="0" w:line="260" w:lineRule="exact"/>
        <w:jc w:val="both"/>
        <w:rPr>
          <w:rFonts w:eastAsia="Times New Roman"/>
          <w:szCs w:val="24"/>
        </w:rPr>
      </w:pPr>
    </w:p>
    <w:p w14:paraId="31EB8537" w14:textId="77777777" w:rsidR="00295552" w:rsidRPr="00295552" w:rsidRDefault="00295552" w:rsidP="00295552">
      <w:pPr>
        <w:tabs>
          <w:tab w:val="left" w:pos="0"/>
        </w:tabs>
        <w:spacing w:after="0" w:line="260" w:lineRule="exact"/>
        <w:jc w:val="both"/>
        <w:rPr>
          <w:rFonts w:eastAsia="Times New Roman"/>
          <w:szCs w:val="24"/>
        </w:rPr>
      </w:pPr>
      <w:r w:rsidRPr="00295552">
        <w:rPr>
          <w:rFonts w:eastAsia="Times New Roman"/>
          <w:szCs w:val="24"/>
        </w:rPr>
        <w:t xml:space="preserve">Z investicijo se bo pridobil nov objekt, ki bo zadostil področnim predpisom in bo prijazen do uporabnikov, omogočil pa se bo tudi sprejem novih uporabnikov. </w:t>
      </w:r>
      <w:bookmarkStart w:id="4" w:name="_Hlk193440543"/>
      <w:r w:rsidRPr="00295552">
        <w:rPr>
          <w:rFonts w:eastAsia="Times New Roman"/>
          <w:szCs w:val="24"/>
        </w:rPr>
        <w:t xml:space="preserve">Z novimi površinami za izvajanje vseh programov na prostem bo omogočeno izvajanje različnih interesnih aktivnosti, s čimer se bo izboljšala kvaliteta storitev in dejavnosti za vse uporabnike. </w:t>
      </w:r>
    </w:p>
    <w:bookmarkEnd w:id="4"/>
    <w:p w14:paraId="3F7BF42D" w14:textId="77777777" w:rsidR="009B4986" w:rsidRPr="009B4986" w:rsidRDefault="009B4986" w:rsidP="009B4986">
      <w:pPr>
        <w:tabs>
          <w:tab w:val="left" w:pos="3402"/>
        </w:tabs>
        <w:spacing w:after="0" w:line="260" w:lineRule="exact"/>
        <w:jc w:val="both"/>
        <w:rPr>
          <w:rFonts w:eastAsia="Times New Roman" w:cs="Arial"/>
          <w:szCs w:val="20"/>
        </w:rPr>
      </w:pPr>
    </w:p>
    <w:bookmarkEnd w:id="3"/>
    <w:p w14:paraId="115336A5" w14:textId="5546DEBB" w:rsidR="009B4986" w:rsidRPr="009B4986" w:rsidRDefault="009B4986" w:rsidP="009B4986">
      <w:pPr>
        <w:tabs>
          <w:tab w:val="left" w:pos="3402"/>
        </w:tabs>
        <w:spacing w:after="0" w:line="260" w:lineRule="exact"/>
        <w:jc w:val="both"/>
        <w:rPr>
          <w:rFonts w:eastAsia="Times New Roman"/>
          <w:iCs/>
          <w:szCs w:val="20"/>
        </w:rPr>
      </w:pPr>
      <w:r w:rsidRPr="009B4986">
        <w:rPr>
          <w:rFonts w:eastAsia="Times New Roman"/>
          <w:iCs/>
          <w:szCs w:val="20"/>
        </w:rPr>
        <w:t xml:space="preserve">Na podlagi Zakona o spremembah in dopolnitvah Zakona o državni upravi (Uradni list RS, št. 18/23) se je z dnem 14. 2. 2023 opravljanje nalog na področju socialnega varstva v delu, ki se nanaša na institucionalno varstvo, </w:t>
      </w:r>
      <w:r w:rsidR="000056D6">
        <w:rPr>
          <w:rFonts w:eastAsia="Times New Roman"/>
          <w:iCs/>
          <w:szCs w:val="20"/>
        </w:rPr>
        <w:t xml:space="preserve">iz Ministrstva za delo, družino in socialne zadeve (v nadaljnjem besedilu: MDDSZ) </w:t>
      </w:r>
      <w:r w:rsidRPr="009B4986">
        <w:rPr>
          <w:rFonts w:eastAsia="Times New Roman"/>
          <w:iCs/>
          <w:szCs w:val="20"/>
        </w:rPr>
        <w:t>preneslo v pristojnost Ministrstva za solidarno prihodnost (v nadaljnjem besedilu: ministrstvo).</w:t>
      </w:r>
    </w:p>
    <w:p w14:paraId="406418AE" w14:textId="77777777" w:rsidR="009B4986" w:rsidRPr="009B4986" w:rsidRDefault="009B4986" w:rsidP="009B4986">
      <w:pPr>
        <w:tabs>
          <w:tab w:val="left" w:pos="3402"/>
        </w:tabs>
        <w:spacing w:after="0" w:line="260" w:lineRule="exact"/>
        <w:jc w:val="both"/>
        <w:rPr>
          <w:rFonts w:eastAsia="Times New Roman" w:cs="Arial"/>
          <w:szCs w:val="20"/>
        </w:rPr>
      </w:pPr>
    </w:p>
    <w:p w14:paraId="1B53B989" w14:textId="332D64E8" w:rsidR="009B4986" w:rsidRDefault="000056D6" w:rsidP="009B4986">
      <w:pPr>
        <w:tabs>
          <w:tab w:val="left" w:pos="3402"/>
        </w:tabs>
        <w:spacing w:after="0" w:line="260" w:lineRule="exact"/>
        <w:jc w:val="both"/>
        <w:rPr>
          <w:rFonts w:eastAsia="Times New Roman" w:cs="Arial"/>
          <w:szCs w:val="20"/>
        </w:rPr>
      </w:pPr>
      <w:r w:rsidRPr="000056D6">
        <w:rPr>
          <w:rFonts w:eastAsia="Times New Roman" w:cs="Arial"/>
          <w:szCs w:val="20"/>
        </w:rPr>
        <w:t>Zaradi neuspešne oddaje javnega naročila - prejete ponudbe so zaradi velikega povišanja cen gradbenih storitev na trgu presegale višino zagotovljenih sredstev, se izvedba investicije ni začela.</w:t>
      </w:r>
    </w:p>
    <w:p w14:paraId="599FC890" w14:textId="77777777" w:rsidR="000056D6" w:rsidRPr="009B4986" w:rsidRDefault="000056D6" w:rsidP="009B4986">
      <w:pPr>
        <w:tabs>
          <w:tab w:val="left" w:pos="3402"/>
        </w:tabs>
        <w:spacing w:after="0" w:line="260" w:lineRule="exact"/>
        <w:jc w:val="both"/>
        <w:rPr>
          <w:rFonts w:eastAsia="Times New Roman" w:cs="Arial"/>
          <w:szCs w:val="20"/>
        </w:rPr>
      </w:pPr>
    </w:p>
    <w:p w14:paraId="76018094" w14:textId="77777777" w:rsidR="009B4986" w:rsidRPr="009B4986" w:rsidRDefault="009B4986" w:rsidP="009B4986">
      <w:pPr>
        <w:tabs>
          <w:tab w:val="left" w:pos="3402"/>
        </w:tabs>
        <w:spacing w:after="0" w:line="260" w:lineRule="exact"/>
        <w:jc w:val="both"/>
        <w:rPr>
          <w:rFonts w:eastAsia="Times New Roman" w:cs="Arial"/>
          <w:szCs w:val="20"/>
        </w:rPr>
      </w:pPr>
      <w:r w:rsidRPr="009B4986">
        <w:rPr>
          <w:rFonts w:eastAsia="Times New Roman" w:cs="Arial"/>
          <w:szCs w:val="20"/>
        </w:rPr>
        <w:t>Zaradi znatnega znižanja obsega proračunskih sredstev z izvedbo investicije v letu 2024 ni bilo možno nadaljevati. Ker ni bilo znano, kdaj in v kakšnem obsegu bodo sredstva lahko zagotovljena ter na kakšen način se bo investicija nadaljevala, se je do zagotovitve sredstev ter sprejetja odločitve, določil status projekta »začasno prekinjen«.</w:t>
      </w:r>
    </w:p>
    <w:p w14:paraId="32AE965E" w14:textId="77777777" w:rsidR="009B4986" w:rsidRPr="009B4986" w:rsidRDefault="009B4986" w:rsidP="009B4986">
      <w:pPr>
        <w:tabs>
          <w:tab w:val="left" w:pos="3402"/>
        </w:tabs>
        <w:spacing w:after="0" w:line="260" w:lineRule="exact"/>
        <w:jc w:val="both"/>
        <w:rPr>
          <w:rFonts w:eastAsia="Times New Roman" w:cs="Arial"/>
          <w:szCs w:val="20"/>
        </w:rPr>
      </w:pPr>
    </w:p>
    <w:p w14:paraId="6ECB5D80" w14:textId="320D71F2" w:rsidR="009B4986" w:rsidRPr="009B4986" w:rsidRDefault="009B4986" w:rsidP="009B4986">
      <w:pPr>
        <w:tabs>
          <w:tab w:val="left" w:pos="3402"/>
        </w:tabs>
        <w:spacing w:after="0" w:line="260" w:lineRule="exact"/>
        <w:jc w:val="both"/>
        <w:rPr>
          <w:rFonts w:eastAsia="Times New Roman" w:cs="Arial"/>
          <w:szCs w:val="20"/>
        </w:rPr>
      </w:pPr>
      <w:r w:rsidRPr="009B4986">
        <w:rPr>
          <w:rFonts w:eastAsia="Times New Roman" w:cs="Arial"/>
          <w:szCs w:val="20"/>
        </w:rPr>
        <w:t>Ker se je pokazala možnost zagotovitve sredstev za izvedbo investicije v let</w:t>
      </w:r>
      <w:r w:rsidR="000056D6">
        <w:rPr>
          <w:rFonts w:eastAsia="Times New Roman" w:cs="Arial"/>
          <w:szCs w:val="20"/>
        </w:rPr>
        <w:t>ih</w:t>
      </w:r>
      <w:r w:rsidRPr="009B4986">
        <w:rPr>
          <w:rFonts w:eastAsia="Times New Roman" w:cs="Arial"/>
          <w:szCs w:val="20"/>
        </w:rPr>
        <w:t xml:space="preserve"> 2025</w:t>
      </w:r>
      <w:r w:rsidR="000056D6">
        <w:rPr>
          <w:rFonts w:eastAsia="Times New Roman" w:cs="Arial"/>
          <w:szCs w:val="20"/>
        </w:rPr>
        <w:t xml:space="preserve"> in 2026</w:t>
      </w:r>
      <w:r w:rsidRPr="009B4986">
        <w:rPr>
          <w:rFonts w:eastAsia="Times New Roman" w:cs="Arial"/>
          <w:szCs w:val="20"/>
        </w:rPr>
        <w:t>, je bila izdelana Novelacija investicijskega pro</w:t>
      </w:r>
      <w:r w:rsidR="000056D6">
        <w:rPr>
          <w:rFonts w:eastAsia="Times New Roman" w:cs="Arial"/>
          <w:szCs w:val="20"/>
        </w:rPr>
        <w:t>grama</w:t>
      </w:r>
      <w:r w:rsidRPr="009B4986">
        <w:rPr>
          <w:rFonts w:eastAsia="Times New Roman" w:cs="Arial"/>
          <w:szCs w:val="20"/>
        </w:rPr>
        <w:t xml:space="preserve"> »</w:t>
      </w:r>
      <w:r w:rsidR="000056D6" w:rsidRPr="00771E8C">
        <w:rPr>
          <w:rFonts w:eastAsia="Times New Roman"/>
          <w:iCs/>
          <w:color w:val="000000"/>
          <w:szCs w:val="20"/>
        </w:rPr>
        <w:t>Izgradnja delavnic - VDC Novo mesto, enota Trebnje</w:t>
      </w:r>
      <w:r w:rsidRPr="009B4986">
        <w:rPr>
          <w:rFonts w:eastAsia="Times New Roman" w:cs="Arial"/>
          <w:szCs w:val="20"/>
        </w:rPr>
        <w:t xml:space="preserve">«, ki je bila dne </w:t>
      </w:r>
      <w:r w:rsidR="00A41416">
        <w:rPr>
          <w:rFonts w:eastAsia="Times New Roman" w:cs="Arial"/>
          <w:szCs w:val="20"/>
        </w:rPr>
        <w:t>20</w:t>
      </w:r>
      <w:r w:rsidRPr="009B4986">
        <w:rPr>
          <w:rFonts w:eastAsia="Times New Roman" w:cs="Arial"/>
          <w:szCs w:val="20"/>
        </w:rPr>
        <w:t xml:space="preserve">. </w:t>
      </w:r>
      <w:r w:rsidR="00A41416">
        <w:rPr>
          <w:rFonts w:eastAsia="Times New Roman" w:cs="Arial"/>
          <w:szCs w:val="20"/>
        </w:rPr>
        <w:t>3</w:t>
      </w:r>
      <w:r w:rsidRPr="009B4986">
        <w:rPr>
          <w:rFonts w:eastAsia="Times New Roman" w:cs="Arial"/>
          <w:szCs w:val="20"/>
        </w:rPr>
        <w:t>. 202</w:t>
      </w:r>
      <w:r w:rsidR="000056D6">
        <w:rPr>
          <w:rFonts w:eastAsia="Times New Roman" w:cs="Arial"/>
          <w:szCs w:val="20"/>
        </w:rPr>
        <w:t>5</w:t>
      </w:r>
      <w:r w:rsidRPr="009B4986">
        <w:rPr>
          <w:rFonts w:eastAsia="Times New Roman" w:cs="Arial"/>
          <w:szCs w:val="20"/>
        </w:rPr>
        <w:t xml:space="preserve"> potrjena s sklepom št. </w:t>
      </w:r>
      <w:r w:rsidR="00A41416">
        <w:rPr>
          <w:rFonts w:eastAsia="Times New Roman" w:cs="Arial"/>
          <w:szCs w:val="20"/>
        </w:rPr>
        <w:t>411-15/2023-2720-13</w:t>
      </w:r>
      <w:r w:rsidRPr="009B4986">
        <w:rPr>
          <w:rFonts w:eastAsia="Times New Roman" w:cs="Arial"/>
          <w:szCs w:val="20"/>
        </w:rPr>
        <w:t>.</w:t>
      </w:r>
    </w:p>
    <w:p w14:paraId="0ACEF10A" w14:textId="77777777" w:rsidR="009B4986" w:rsidRPr="009B4986" w:rsidRDefault="009B4986" w:rsidP="009B4986">
      <w:pPr>
        <w:tabs>
          <w:tab w:val="left" w:pos="3402"/>
        </w:tabs>
        <w:spacing w:after="0" w:line="260" w:lineRule="exact"/>
        <w:jc w:val="both"/>
        <w:rPr>
          <w:rFonts w:eastAsia="Times New Roman" w:cs="Arial"/>
          <w:szCs w:val="20"/>
        </w:rPr>
      </w:pPr>
    </w:p>
    <w:p w14:paraId="4001B1B9" w14:textId="59577F13" w:rsidR="009B4986" w:rsidRPr="009B4986" w:rsidRDefault="009B4986" w:rsidP="009B4986">
      <w:pPr>
        <w:tabs>
          <w:tab w:val="left" w:pos="3402"/>
        </w:tabs>
        <w:spacing w:after="0" w:line="260" w:lineRule="exact"/>
        <w:jc w:val="both"/>
        <w:rPr>
          <w:rFonts w:eastAsia="Times New Roman"/>
          <w:iCs/>
          <w:szCs w:val="20"/>
        </w:rPr>
      </w:pPr>
      <w:r w:rsidRPr="009B4986">
        <w:rPr>
          <w:rFonts w:eastAsia="Times New Roman"/>
          <w:iCs/>
          <w:szCs w:val="20"/>
        </w:rPr>
        <w:t>Ocenjena vrednost investicije po novelaciji investicijskega programa znaša 2.</w:t>
      </w:r>
      <w:r w:rsidR="000056D6">
        <w:rPr>
          <w:rFonts w:eastAsia="Times New Roman"/>
          <w:iCs/>
          <w:szCs w:val="20"/>
        </w:rPr>
        <w:t>170</w:t>
      </w:r>
      <w:r w:rsidRPr="009B4986">
        <w:rPr>
          <w:rFonts w:eastAsia="Times New Roman"/>
          <w:iCs/>
          <w:szCs w:val="20"/>
        </w:rPr>
        <w:t>.</w:t>
      </w:r>
      <w:r w:rsidR="000056D6">
        <w:rPr>
          <w:rFonts w:eastAsia="Times New Roman"/>
          <w:iCs/>
          <w:szCs w:val="20"/>
        </w:rPr>
        <w:t>971,43</w:t>
      </w:r>
      <w:r w:rsidRPr="009B4986">
        <w:rPr>
          <w:rFonts w:eastAsia="Times New Roman"/>
          <w:iCs/>
          <w:szCs w:val="20"/>
        </w:rPr>
        <w:t xml:space="preserve"> EUR z DDV. </w:t>
      </w:r>
    </w:p>
    <w:p w14:paraId="1C0BDCAD" w14:textId="77777777" w:rsidR="009B4986" w:rsidRPr="009B4986" w:rsidRDefault="009B4986" w:rsidP="009B4986">
      <w:pPr>
        <w:tabs>
          <w:tab w:val="left" w:pos="3402"/>
        </w:tabs>
        <w:spacing w:after="0" w:line="260" w:lineRule="exact"/>
        <w:jc w:val="both"/>
        <w:rPr>
          <w:rFonts w:eastAsia="Times New Roman"/>
          <w:iCs/>
          <w:szCs w:val="20"/>
        </w:rPr>
      </w:pPr>
    </w:p>
    <w:p w14:paraId="0E1DA3DB" w14:textId="7FEE1B18" w:rsidR="009B4986" w:rsidRPr="009B4986" w:rsidRDefault="009B4986" w:rsidP="009B4986">
      <w:pPr>
        <w:tabs>
          <w:tab w:val="left" w:pos="3402"/>
        </w:tabs>
        <w:spacing w:after="0" w:line="260" w:lineRule="exact"/>
        <w:jc w:val="both"/>
        <w:rPr>
          <w:rFonts w:eastAsia="Times New Roman"/>
          <w:iCs/>
          <w:szCs w:val="20"/>
        </w:rPr>
      </w:pPr>
      <w:r w:rsidRPr="009B4986">
        <w:rPr>
          <w:rFonts w:eastAsia="Times New Roman"/>
          <w:iCs/>
          <w:szCs w:val="20"/>
        </w:rPr>
        <w:t>Izhodiščna vrednost projekta po investicijskem programu je znašala 1.</w:t>
      </w:r>
      <w:r w:rsidR="000056D6">
        <w:rPr>
          <w:rFonts w:eastAsia="Times New Roman"/>
          <w:iCs/>
          <w:szCs w:val="20"/>
        </w:rPr>
        <w:t>551</w:t>
      </w:r>
      <w:r w:rsidRPr="009B4986">
        <w:rPr>
          <w:rFonts w:eastAsia="Times New Roman"/>
          <w:iCs/>
          <w:szCs w:val="20"/>
        </w:rPr>
        <w:t>.</w:t>
      </w:r>
      <w:r w:rsidR="000056D6">
        <w:rPr>
          <w:rFonts w:eastAsia="Times New Roman"/>
          <w:iCs/>
          <w:szCs w:val="20"/>
        </w:rPr>
        <w:t>837,49</w:t>
      </w:r>
      <w:r w:rsidRPr="009B4986">
        <w:rPr>
          <w:rFonts w:eastAsia="Times New Roman"/>
          <w:iCs/>
          <w:szCs w:val="20"/>
        </w:rPr>
        <w:t xml:space="preserve"> EUR. Z novelacijo investicijskega programa se vrednost projekta</w:t>
      </w:r>
      <w:r w:rsidR="000056D6">
        <w:rPr>
          <w:rFonts w:eastAsia="Times New Roman"/>
          <w:iCs/>
          <w:szCs w:val="20"/>
        </w:rPr>
        <w:t xml:space="preserve">, </w:t>
      </w:r>
      <w:r w:rsidR="000056D6" w:rsidRPr="000056D6">
        <w:rPr>
          <w:rFonts w:eastAsia="Times New Roman"/>
          <w:iCs/>
          <w:szCs w:val="20"/>
        </w:rPr>
        <w:t>zaradi podražitve GOI del ter upoštevane višje (pravilne) davčne stopnje</w:t>
      </w:r>
      <w:r w:rsidR="000056D6">
        <w:rPr>
          <w:rFonts w:eastAsia="Times New Roman"/>
          <w:iCs/>
          <w:szCs w:val="20"/>
        </w:rPr>
        <w:t>,</w:t>
      </w:r>
      <w:r w:rsidRPr="009B4986">
        <w:rPr>
          <w:rFonts w:eastAsia="Times New Roman"/>
          <w:iCs/>
          <w:szCs w:val="20"/>
        </w:rPr>
        <w:t xml:space="preserve"> povečuje za </w:t>
      </w:r>
      <w:r w:rsidR="000056D6">
        <w:rPr>
          <w:rFonts w:eastAsia="Times New Roman"/>
          <w:iCs/>
          <w:szCs w:val="20"/>
        </w:rPr>
        <w:t>619.133,94</w:t>
      </w:r>
      <w:r w:rsidRPr="009B4986">
        <w:rPr>
          <w:rFonts w:eastAsia="Times New Roman"/>
          <w:iCs/>
          <w:szCs w:val="20"/>
        </w:rPr>
        <w:t xml:space="preserve"> EUR oziroma </w:t>
      </w:r>
      <w:r w:rsidR="000056D6">
        <w:rPr>
          <w:rFonts w:eastAsia="Times New Roman"/>
          <w:iCs/>
          <w:szCs w:val="20"/>
        </w:rPr>
        <w:t>39,90</w:t>
      </w:r>
      <w:r w:rsidRPr="009B4986">
        <w:rPr>
          <w:rFonts w:eastAsia="Times New Roman"/>
          <w:iCs/>
          <w:szCs w:val="20"/>
        </w:rPr>
        <w:t xml:space="preserve"> %, nova izhodiščna vrednost projekta pa tako znaša 2.</w:t>
      </w:r>
      <w:r w:rsidR="000056D6">
        <w:rPr>
          <w:rFonts w:eastAsia="Times New Roman"/>
          <w:iCs/>
          <w:szCs w:val="20"/>
        </w:rPr>
        <w:t>170.971,43</w:t>
      </w:r>
      <w:r w:rsidRPr="009B4986">
        <w:rPr>
          <w:rFonts w:eastAsia="Times New Roman"/>
          <w:iCs/>
          <w:szCs w:val="20"/>
        </w:rPr>
        <w:t xml:space="preserve"> EUR. Spreminja se tudi dinamika izvedbe in financiranja projekta, in sicer se iz predvidenega v letu 2023, podaljšuje v let</w:t>
      </w:r>
      <w:r w:rsidR="000056D6">
        <w:rPr>
          <w:rFonts w:eastAsia="Times New Roman"/>
          <w:iCs/>
          <w:szCs w:val="20"/>
        </w:rPr>
        <w:t>i</w:t>
      </w:r>
      <w:r w:rsidRPr="009B4986">
        <w:rPr>
          <w:rFonts w:eastAsia="Times New Roman"/>
          <w:iCs/>
          <w:szCs w:val="20"/>
        </w:rPr>
        <w:t xml:space="preserve"> 2025</w:t>
      </w:r>
      <w:r w:rsidR="000056D6">
        <w:rPr>
          <w:rFonts w:eastAsia="Times New Roman"/>
          <w:iCs/>
          <w:szCs w:val="20"/>
        </w:rPr>
        <w:t xml:space="preserve"> in 2026</w:t>
      </w:r>
      <w:r w:rsidRPr="009B4986">
        <w:rPr>
          <w:rFonts w:eastAsia="Times New Roman"/>
          <w:iCs/>
          <w:szCs w:val="20"/>
        </w:rPr>
        <w:t>.</w:t>
      </w:r>
      <w:r w:rsidR="000056D6">
        <w:rPr>
          <w:rFonts w:eastAsia="Times New Roman"/>
          <w:iCs/>
          <w:szCs w:val="20"/>
        </w:rPr>
        <w:t xml:space="preserve"> Prav tako se spreminjajo </w:t>
      </w:r>
      <w:r w:rsidR="000056D6" w:rsidRPr="000056D6">
        <w:rPr>
          <w:rFonts w:eastAsia="Times New Roman"/>
          <w:iCs/>
          <w:szCs w:val="20"/>
        </w:rPr>
        <w:t>viri financiranja</w:t>
      </w:r>
      <w:r w:rsidR="000056D6">
        <w:rPr>
          <w:rFonts w:eastAsia="Times New Roman"/>
          <w:iCs/>
          <w:szCs w:val="20"/>
        </w:rPr>
        <w:t xml:space="preserve"> (dodatno se vključuje VDC Novo mesto)</w:t>
      </w:r>
      <w:r w:rsidR="000056D6" w:rsidRPr="000056D6">
        <w:rPr>
          <w:rFonts w:eastAsia="Times New Roman"/>
          <w:iCs/>
          <w:szCs w:val="20"/>
        </w:rPr>
        <w:t xml:space="preserve"> in višina njihovega financiranja</w:t>
      </w:r>
      <w:r w:rsidR="000056D6">
        <w:rPr>
          <w:rFonts w:eastAsia="Times New Roman"/>
          <w:iCs/>
          <w:szCs w:val="20"/>
        </w:rPr>
        <w:t>.</w:t>
      </w:r>
    </w:p>
    <w:p w14:paraId="2223B538" w14:textId="77777777" w:rsidR="009B4986" w:rsidRPr="009B4986" w:rsidRDefault="009B4986" w:rsidP="009B4986">
      <w:pPr>
        <w:tabs>
          <w:tab w:val="left" w:pos="3402"/>
        </w:tabs>
        <w:spacing w:after="0" w:line="260" w:lineRule="exact"/>
        <w:jc w:val="both"/>
        <w:rPr>
          <w:rFonts w:eastAsia="Times New Roman"/>
          <w:iCs/>
          <w:szCs w:val="20"/>
        </w:rPr>
      </w:pPr>
    </w:p>
    <w:p w14:paraId="4EEBE2B6" w14:textId="63B303CF" w:rsidR="009B4986" w:rsidRPr="009B4986" w:rsidRDefault="009B4986" w:rsidP="009B4986">
      <w:pPr>
        <w:tabs>
          <w:tab w:val="left" w:pos="709"/>
        </w:tabs>
        <w:spacing w:after="0" w:line="260" w:lineRule="exact"/>
        <w:rPr>
          <w:rFonts w:eastAsia="Times New Roman"/>
          <w:iCs/>
          <w:szCs w:val="20"/>
        </w:rPr>
      </w:pPr>
      <w:r w:rsidRPr="009B4986">
        <w:rPr>
          <w:rFonts w:eastAsia="Times New Roman"/>
          <w:iCs/>
          <w:szCs w:val="20"/>
        </w:rPr>
        <w:t>Sredstva za investicijo bo</w:t>
      </w:r>
      <w:r w:rsidR="000056D6">
        <w:rPr>
          <w:rFonts w:eastAsia="Times New Roman"/>
          <w:iCs/>
          <w:szCs w:val="20"/>
        </w:rPr>
        <w:t>do</w:t>
      </w:r>
      <w:r w:rsidRPr="009B4986">
        <w:rPr>
          <w:rFonts w:eastAsia="Times New Roman"/>
          <w:iCs/>
          <w:szCs w:val="20"/>
        </w:rPr>
        <w:t xml:space="preserve"> zagotovl</w:t>
      </w:r>
      <w:r w:rsidR="000056D6">
        <w:rPr>
          <w:rFonts w:eastAsia="Times New Roman"/>
          <w:iCs/>
          <w:szCs w:val="20"/>
        </w:rPr>
        <w:t>jen</w:t>
      </w:r>
      <w:r w:rsidRPr="009B4986">
        <w:rPr>
          <w:rFonts w:eastAsia="Times New Roman"/>
          <w:iCs/>
          <w:szCs w:val="20"/>
        </w:rPr>
        <w:t>a</w:t>
      </w:r>
      <w:r w:rsidRPr="009B4986">
        <w:rPr>
          <w:rFonts w:eastAsia="Times New Roman"/>
          <w:bCs/>
          <w:iCs/>
          <w:szCs w:val="20"/>
        </w:rPr>
        <w:t xml:space="preserve"> </w:t>
      </w:r>
      <w:r w:rsidRPr="009B4986">
        <w:rPr>
          <w:rFonts w:eastAsia="Times New Roman"/>
          <w:iCs/>
          <w:szCs w:val="20"/>
        </w:rPr>
        <w:t>na naslednji način:</w:t>
      </w:r>
    </w:p>
    <w:p w14:paraId="4A6530E4" w14:textId="77777777" w:rsidR="009B4986" w:rsidRPr="009B4986" w:rsidRDefault="009B4986" w:rsidP="009B4986">
      <w:pPr>
        <w:tabs>
          <w:tab w:val="left" w:pos="709"/>
        </w:tabs>
        <w:spacing w:after="0" w:line="260" w:lineRule="exact"/>
        <w:rPr>
          <w:rFonts w:eastAsia="Times New Roman"/>
          <w:iCs/>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134"/>
        <w:gridCol w:w="1276"/>
        <w:gridCol w:w="1134"/>
        <w:gridCol w:w="1275"/>
        <w:gridCol w:w="1418"/>
        <w:gridCol w:w="1417"/>
      </w:tblGrid>
      <w:tr w:rsidR="009C010A" w:rsidRPr="009B4986" w14:paraId="6E37CDCE" w14:textId="77777777" w:rsidTr="00A41416">
        <w:tc>
          <w:tcPr>
            <w:tcW w:w="1418" w:type="dxa"/>
            <w:shd w:val="clear" w:color="auto" w:fill="auto"/>
            <w:vAlign w:val="center"/>
          </w:tcPr>
          <w:p w14:paraId="27116D53" w14:textId="77777777" w:rsidR="009C010A" w:rsidRPr="009B4986" w:rsidRDefault="009C010A" w:rsidP="009B4986">
            <w:pPr>
              <w:tabs>
                <w:tab w:val="left" w:pos="709"/>
              </w:tabs>
              <w:spacing w:after="0" w:line="260" w:lineRule="exact"/>
              <w:rPr>
                <w:rFonts w:eastAsia="Times New Roman"/>
                <w:b/>
                <w:iCs/>
                <w:szCs w:val="20"/>
              </w:rPr>
            </w:pPr>
            <w:r w:rsidRPr="009B4986">
              <w:rPr>
                <w:rFonts w:eastAsia="Times New Roman"/>
                <w:b/>
                <w:iCs/>
                <w:szCs w:val="20"/>
              </w:rPr>
              <w:t>Vir financiranja</w:t>
            </w:r>
          </w:p>
        </w:tc>
        <w:tc>
          <w:tcPr>
            <w:tcW w:w="1134" w:type="dxa"/>
            <w:shd w:val="clear" w:color="auto" w:fill="auto"/>
            <w:vAlign w:val="center"/>
          </w:tcPr>
          <w:p w14:paraId="629BE277" w14:textId="77777777" w:rsidR="009C010A" w:rsidRPr="009B4986" w:rsidRDefault="009C010A" w:rsidP="009B4986">
            <w:pPr>
              <w:tabs>
                <w:tab w:val="left" w:pos="709"/>
              </w:tabs>
              <w:spacing w:after="0" w:line="260" w:lineRule="exact"/>
              <w:jc w:val="center"/>
              <w:rPr>
                <w:rFonts w:eastAsia="Times New Roman"/>
                <w:b/>
                <w:iCs/>
                <w:szCs w:val="20"/>
              </w:rPr>
            </w:pPr>
            <w:r w:rsidRPr="009B4986">
              <w:rPr>
                <w:rFonts w:eastAsia="Times New Roman"/>
                <w:b/>
                <w:iCs/>
                <w:szCs w:val="20"/>
              </w:rPr>
              <w:t>2022</w:t>
            </w:r>
          </w:p>
        </w:tc>
        <w:tc>
          <w:tcPr>
            <w:tcW w:w="1276" w:type="dxa"/>
            <w:shd w:val="clear" w:color="auto" w:fill="auto"/>
            <w:vAlign w:val="center"/>
          </w:tcPr>
          <w:p w14:paraId="114BDCDB" w14:textId="77777777" w:rsidR="009C010A" w:rsidRPr="009B4986" w:rsidRDefault="009C010A" w:rsidP="009B4986">
            <w:pPr>
              <w:tabs>
                <w:tab w:val="left" w:pos="709"/>
              </w:tabs>
              <w:spacing w:after="0" w:line="260" w:lineRule="exact"/>
              <w:jc w:val="center"/>
              <w:rPr>
                <w:rFonts w:eastAsia="Times New Roman"/>
                <w:b/>
                <w:iCs/>
                <w:szCs w:val="20"/>
              </w:rPr>
            </w:pPr>
            <w:r w:rsidRPr="009B4986">
              <w:rPr>
                <w:rFonts w:eastAsia="Times New Roman"/>
                <w:b/>
                <w:iCs/>
                <w:szCs w:val="20"/>
              </w:rPr>
              <w:t>2023</w:t>
            </w:r>
          </w:p>
        </w:tc>
        <w:tc>
          <w:tcPr>
            <w:tcW w:w="1134" w:type="dxa"/>
            <w:vAlign w:val="center"/>
          </w:tcPr>
          <w:p w14:paraId="26646712" w14:textId="77777777" w:rsidR="009C010A" w:rsidRPr="009B4986" w:rsidRDefault="009C010A" w:rsidP="009B4986">
            <w:pPr>
              <w:tabs>
                <w:tab w:val="left" w:pos="709"/>
              </w:tabs>
              <w:spacing w:after="0" w:line="260" w:lineRule="exact"/>
              <w:jc w:val="center"/>
              <w:rPr>
                <w:rFonts w:eastAsia="Times New Roman"/>
                <w:b/>
                <w:iCs/>
                <w:szCs w:val="20"/>
              </w:rPr>
            </w:pPr>
            <w:r w:rsidRPr="009B4986">
              <w:rPr>
                <w:rFonts w:eastAsia="Times New Roman"/>
                <w:b/>
                <w:iCs/>
                <w:szCs w:val="20"/>
              </w:rPr>
              <w:t>2024</w:t>
            </w:r>
          </w:p>
        </w:tc>
        <w:tc>
          <w:tcPr>
            <w:tcW w:w="1275" w:type="dxa"/>
            <w:vAlign w:val="center"/>
          </w:tcPr>
          <w:p w14:paraId="74D2E924" w14:textId="77777777" w:rsidR="009C010A" w:rsidRPr="009B4986" w:rsidRDefault="009C010A" w:rsidP="00A41416">
            <w:pPr>
              <w:tabs>
                <w:tab w:val="left" w:pos="709"/>
              </w:tabs>
              <w:spacing w:after="0" w:line="260" w:lineRule="exact"/>
              <w:jc w:val="center"/>
              <w:rPr>
                <w:rFonts w:eastAsia="Times New Roman"/>
                <w:b/>
                <w:iCs/>
                <w:szCs w:val="20"/>
              </w:rPr>
            </w:pPr>
            <w:r w:rsidRPr="009B4986">
              <w:rPr>
                <w:rFonts w:eastAsia="Times New Roman"/>
                <w:b/>
                <w:iCs/>
                <w:szCs w:val="20"/>
              </w:rPr>
              <w:t>2025</w:t>
            </w:r>
          </w:p>
        </w:tc>
        <w:tc>
          <w:tcPr>
            <w:tcW w:w="1418" w:type="dxa"/>
            <w:vAlign w:val="center"/>
          </w:tcPr>
          <w:p w14:paraId="7FB0568E" w14:textId="19DC7A04" w:rsidR="009C010A" w:rsidRPr="009B4986" w:rsidRDefault="009C010A" w:rsidP="00A41416">
            <w:pPr>
              <w:tabs>
                <w:tab w:val="left" w:pos="709"/>
              </w:tabs>
              <w:spacing w:after="0" w:line="260" w:lineRule="exact"/>
              <w:jc w:val="center"/>
              <w:rPr>
                <w:rFonts w:eastAsia="Times New Roman"/>
                <w:b/>
                <w:iCs/>
                <w:szCs w:val="20"/>
              </w:rPr>
            </w:pPr>
            <w:r>
              <w:rPr>
                <w:rFonts w:eastAsia="Times New Roman"/>
                <w:b/>
                <w:iCs/>
                <w:szCs w:val="20"/>
              </w:rPr>
              <w:t>2026</w:t>
            </w:r>
          </w:p>
        </w:tc>
        <w:tc>
          <w:tcPr>
            <w:tcW w:w="1417" w:type="dxa"/>
            <w:shd w:val="clear" w:color="auto" w:fill="auto"/>
            <w:vAlign w:val="center"/>
          </w:tcPr>
          <w:p w14:paraId="5A46EE7B" w14:textId="1067298E" w:rsidR="009C010A" w:rsidRPr="009B4986" w:rsidRDefault="00A41416" w:rsidP="009B4986">
            <w:pPr>
              <w:tabs>
                <w:tab w:val="left" w:pos="709"/>
              </w:tabs>
              <w:spacing w:after="0" w:line="260" w:lineRule="exact"/>
              <w:jc w:val="center"/>
              <w:rPr>
                <w:rFonts w:eastAsia="Times New Roman"/>
                <w:b/>
                <w:iCs/>
                <w:szCs w:val="20"/>
              </w:rPr>
            </w:pPr>
            <w:r>
              <w:rPr>
                <w:rFonts w:eastAsia="Times New Roman"/>
                <w:b/>
                <w:iCs/>
                <w:szCs w:val="20"/>
              </w:rPr>
              <w:t>SKUPAJ</w:t>
            </w:r>
          </w:p>
        </w:tc>
      </w:tr>
      <w:tr w:rsidR="009C010A" w:rsidRPr="009B4986" w14:paraId="15C625AE" w14:textId="77777777" w:rsidTr="00A41416">
        <w:trPr>
          <w:trHeight w:val="398"/>
        </w:trPr>
        <w:tc>
          <w:tcPr>
            <w:tcW w:w="1418" w:type="dxa"/>
            <w:shd w:val="clear" w:color="auto" w:fill="auto"/>
            <w:vAlign w:val="center"/>
          </w:tcPr>
          <w:p w14:paraId="6DDF51F7" w14:textId="34CDCC1A" w:rsidR="009C010A" w:rsidRPr="009B4986" w:rsidRDefault="009C010A" w:rsidP="009B4986">
            <w:pPr>
              <w:tabs>
                <w:tab w:val="left" w:pos="709"/>
              </w:tabs>
              <w:spacing w:after="0" w:line="260" w:lineRule="exact"/>
              <w:rPr>
                <w:rFonts w:eastAsia="Times New Roman"/>
                <w:b/>
                <w:iCs/>
                <w:szCs w:val="20"/>
              </w:rPr>
            </w:pPr>
            <w:r>
              <w:rPr>
                <w:rFonts w:eastAsia="Times New Roman"/>
                <w:b/>
                <w:iCs/>
                <w:szCs w:val="20"/>
              </w:rPr>
              <w:t>MDDSZ</w:t>
            </w:r>
          </w:p>
        </w:tc>
        <w:tc>
          <w:tcPr>
            <w:tcW w:w="1134" w:type="dxa"/>
            <w:shd w:val="clear" w:color="auto" w:fill="auto"/>
            <w:vAlign w:val="center"/>
          </w:tcPr>
          <w:p w14:paraId="2B5873EE" w14:textId="4C991872" w:rsidR="009C010A" w:rsidRPr="009B4986" w:rsidRDefault="009C010A" w:rsidP="009C010A">
            <w:pPr>
              <w:tabs>
                <w:tab w:val="left" w:pos="709"/>
              </w:tabs>
              <w:spacing w:after="0" w:line="260" w:lineRule="exact"/>
              <w:jc w:val="right"/>
              <w:rPr>
                <w:rFonts w:eastAsia="Times New Roman"/>
                <w:iCs/>
                <w:szCs w:val="20"/>
              </w:rPr>
            </w:pPr>
            <w:r>
              <w:rPr>
                <w:rFonts w:eastAsia="Times New Roman"/>
                <w:iCs/>
                <w:szCs w:val="20"/>
              </w:rPr>
              <w:t>57.693,80</w:t>
            </w:r>
          </w:p>
        </w:tc>
        <w:tc>
          <w:tcPr>
            <w:tcW w:w="1276" w:type="dxa"/>
            <w:shd w:val="clear" w:color="auto" w:fill="auto"/>
            <w:vAlign w:val="center"/>
          </w:tcPr>
          <w:p w14:paraId="7B644D65" w14:textId="284BA276" w:rsidR="009C010A" w:rsidRPr="009B4986" w:rsidRDefault="009C010A" w:rsidP="009C010A">
            <w:pPr>
              <w:tabs>
                <w:tab w:val="left" w:pos="709"/>
              </w:tabs>
              <w:spacing w:after="0" w:line="260" w:lineRule="exact"/>
              <w:jc w:val="right"/>
              <w:rPr>
                <w:rFonts w:eastAsia="Times New Roman"/>
                <w:iCs/>
                <w:szCs w:val="20"/>
              </w:rPr>
            </w:pPr>
            <w:r>
              <w:rPr>
                <w:rFonts w:eastAsia="Times New Roman"/>
                <w:iCs/>
                <w:szCs w:val="20"/>
              </w:rPr>
              <w:t>/</w:t>
            </w:r>
          </w:p>
        </w:tc>
        <w:tc>
          <w:tcPr>
            <w:tcW w:w="1134" w:type="dxa"/>
            <w:vAlign w:val="center"/>
          </w:tcPr>
          <w:p w14:paraId="51FA1706" w14:textId="78A4428F" w:rsidR="009C010A" w:rsidRPr="009B4986" w:rsidRDefault="009C010A" w:rsidP="009C010A">
            <w:pPr>
              <w:tabs>
                <w:tab w:val="left" w:pos="709"/>
              </w:tabs>
              <w:spacing w:after="0" w:line="260" w:lineRule="exact"/>
              <w:jc w:val="right"/>
              <w:rPr>
                <w:rFonts w:eastAsia="Times New Roman"/>
                <w:bCs/>
                <w:iCs/>
                <w:szCs w:val="20"/>
              </w:rPr>
            </w:pPr>
            <w:r>
              <w:rPr>
                <w:rFonts w:eastAsia="Times New Roman"/>
                <w:bCs/>
                <w:iCs/>
                <w:szCs w:val="20"/>
              </w:rPr>
              <w:t>/</w:t>
            </w:r>
          </w:p>
        </w:tc>
        <w:tc>
          <w:tcPr>
            <w:tcW w:w="1275" w:type="dxa"/>
            <w:vAlign w:val="center"/>
          </w:tcPr>
          <w:p w14:paraId="02521A6C" w14:textId="509A62E8" w:rsidR="009C010A" w:rsidRPr="009B4986" w:rsidRDefault="009C010A" w:rsidP="009C010A">
            <w:pPr>
              <w:tabs>
                <w:tab w:val="left" w:pos="709"/>
              </w:tabs>
              <w:spacing w:after="0" w:line="260" w:lineRule="exact"/>
              <w:jc w:val="right"/>
              <w:rPr>
                <w:rFonts w:eastAsia="Times New Roman"/>
                <w:bCs/>
                <w:iCs/>
                <w:szCs w:val="20"/>
              </w:rPr>
            </w:pPr>
            <w:r>
              <w:rPr>
                <w:rFonts w:eastAsia="Times New Roman"/>
                <w:bCs/>
                <w:iCs/>
                <w:szCs w:val="20"/>
              </w:rPr>
              <w:t>/</w:t>
            </w:r>
          </w:p>
        </w:tc>
        <w:tc>
          <w:tcPr>
            <w:tcW w:w="1418" w:type="dxa"/>
            <w:vAlign w:val="center"/>
          </w:tcPr>
          <w:p w14:paraId="27CFAB7E" w14:textId="4DD13AF8" w:rsidR="009C010A" w:rsidRPr="009B4986" w:rsidRDefault="009C010A" w:rsidP="009C010A">
            <w:pPr>
              <w:tabs>
                <w:tab w:val="left" w:pos="709"/>
              </w:tabs>
              <w:spacing w:after="0" w:line="260" w:lineRule="exact"/>
              <w:jc w:val="right"/>
              <w:rPr>
                <w:rFonts w:eastAsia="Times New Roman"/>
                <w:b/>
                <w:iCs/>
                <w:szCs w:val="20"/>
              </w:rPr>
            </w:pPr>
            <w:r>
              <w:rPr>
                <w:rFonts w:eastAsia="Times New Roman"/>
                <w:b/>
                <w:iCs/>
                <w:szCs w:val="20"/>
              </w:rPr>
              <w:t>/</w:t>
            </w:r>
          </w:p>
        </w:tc>
        <w:tc>
          <w:tcPr>
            <w:tcW w:w="1417" w:type="dxa"/>
            <w:shd w:val="clear" w:color="auto" w:fill="auto"/>
            <w:vAlign w:val="center"/>
          </w:tcPr>
          <w:p w14:paraId="22CC6186" w14:textId="10676C49" w:rsidR="009C010A" w:rsidRPr="009C010A" w:rsidRDefault="009C010A" w:rsidP="009C010A">
            <w:pPr>
              <w:tabs>
                <w:tab w:val="left" w:pos="709"/>
              </w:tabs>
              <w:spacing w:after="0" w:line="260" w:lineRule="exact"/>
              <w:jc w:val="right"/>
              <w:rPr>
                <w:rFonts w:eastAsia="Times New Roman"/>
                <w:b/>
                <w:iCs/>
                <w:szCs w:val="20"/>
              </w:rPr>
            </w:pPr>
            <w:r w:rsidRPr="009C010A">
              <w:rPr>
                <w:rFonts w:eastAsia="Times New Roman"/>
                <w:b/>
                <w:iCs/>
                <w:szCs w:val="20"/>
              </w:rPr>
              <w:t>57.693,80</w:t>
            </w:r>
          </w:p>
        </w:tc>
      </w:tr>
      <w:tr w:rsidR="009C010A" w:rsidRPr="009B4986" w14:paraId="7F0A0C40" w14:textId="77777777" w:rsidTr="00A41416">
        <w:trPr>
          <w:trHeight w:val="371"/>
        </w:trPr>
        <w:tc>
          <w:tcPr>
            <w:tcW w:w="1418" w:type="dxa"/>
            <w:shd w:val="clear" w:color="auto" w:fill="auto"/>
            <w:vAlign w:val="center"/>
          </w:tcPr>
          <w:p w14:paraId="6DA04014" w14:textId="1326C369" w:rsidR="009C010A" w:rsidRPr="009B4986" w:rsidRDefault="009C010A" w:rsidP="009B4986">
            <w:pPr>
              <w:tabs>
                <w:tab w:val="left" w:pos="709"/>
              </w:tabs>
              <w:spacing w:after="0" w:line="260" w:lineRule="exact"/>
              <w:rPr>
                <w:rFonts w:eastAsia="Times New Roman"/>
                <w:b/>
                <w:iCs/>
                <w:szCs w:val="20"/>
              </w:rPr>
            </w:pPr>
            <w:r>
              <w:rPr>
                <w:rFonts w:eastAsia="Times New Roman"/>
                <w:b/>
                <w:iCs/>
                <w:szCs w:val="20"/>
              </w:rPr>
              <w:t>ministrstvo</w:t>
            </w:r>
          </w:p>
        </w:tc>
        <w:tc>
          <w:tcPr>
            <w:tcW w:w="1134" w:type="dxa"/>
            <w:shd w:val="clear" w:color="auto" w:fill="auto"/>
            <w:vAlign w:val="center"/>
          </w:tcPr>
          <w:p w14:paraId="37C71E20" w14:textId="66340F9C" w:rsidR="009C010A" w:rsidRPr="009B4986" w:rsidRDefault="009C010A" w:rsidP="009C010A">
            <w:pPr>
              <w:tabs>
                <w:tab w:val="left" w:pos="709"/>
              </w:tabs>
              <w:spacing w:after="0" w:line="260" w:lineRule="exact"/>
              <w:jc w:val="right"/>
              <w:rPr>
                <w:rFonts w:eastAsia="Times New Roman"/>
                <w:iCs/>
                <w:szCs w:val="20"/>
              </w:rPr>
            </w:pPr>
            <w:r>
              <w:rPr>
                <w:rFonts w:eastAsia="Times New Roman"/>
                <w:iCs/>
                <w:szCs w:val="20"/>
              </w:rPr>
              <w:t>/</w:t>
            </w:r>
          </w:p>
        </w:tc>
        <w:tc>
          <w:tcPr>
            <w:tcW w:w="1276" w:type="dxa"/>
            <w:shd w:val="clear" w:color="auto" w:fill="auto"/>
            <w:vAlign w:val="center"/>
          </w:tcPr>
          <w:p w14:paraId="6CDB89F7" w14:textId="5FC77347" w:rsidR="009C010A" w:rsidRPr="009B4986" w:rsidRDefault="009C010A" w:rsidP="009C010A">
            <w:pPr>
              <w:tabs>
                <w:tab w:val="left" w:pos="709"/>
              </w:tabs>
              <w:spacing w:after="0" w:line="260" w:lineRule="exact"/>
              <w:jc w:val="right"/>
              <w:rPr>
                <w:rFonts w:eastAsia="Times New Roman"/>
                <w:iCs/>
                <w:szCs w:val="20"/>
              </w:rPr>
            </w:pPr>
            <w:r>
              <w:rPr>
                <w:rFonts w:eastAsia="Times New Roman"/>
                <w:iCs/>
                <w:szCs w:val="20"/>
              </w:rPr>
              <w:t>58.227,55</w:t>
            </w:r>
          </w:p>
        </w:tc>
        <w:tc>
          <w:tcPr>
            <w:tcW w:w="1134" w:type="dxa"/>
            <w:vAlign w:val="center"/>
          </w:tcPr>
          <w:p w14:paraId="3D48A87D" w14:textId="019E5A37" w:rsidR="009C010A" w:rsidRPr="009B4986" w:rsidRDefault="009C010A" w:rsidP="009C010A">
            <w:pPr>
              <w:tabs>
                <w:tab w:val="left" w:pos="709"/>
              </w:tabs>
              <w:spacing w:after="0" w:line="260" w:lineRule="exact"/>
              <w:jc w:val="right"/>
              <w:rPr>
                <w:rFonts w:eastAsia="Times New Roman"/>
                <w:bCs/>
                <w:iCs/>
                <w:szCs w:val="20"/>
              </w:rPr>
            </w:pPr>
            <w:r>
              <w:rPr>
                <w:rFonts w:eastAsia="Times New Roman"/>
                <w:bCs/>
                <w:iCs/>
                <w:szCs w:val="20"/>
              </w:rPr>
              <w:t>/</w:t>
            </w:r>
          </w:p>
        </w:tc>
        <w:tc>
          <w:tcPr>
            <w:tcW w:w="1275" w:type="dxa"/>
            <w:vAlign w:val="center"/>
          </w:tcPr>
          <w:p w14:paraId="2774A2A5" w14:textId="3DCA6D98" w:rsidR="009C010A" w:rsidRPr="009B4986" w:rsidRDefault="009C010A" w:rsidP="009C010A">
            <w:pPr>
              <w:tabs>
                <w:tab w:val="left" w:pos="709"/>
              </w:tabs>
              <w:spacing w:after="0" w:line="260" w:lineRule="exact"/>
              <w:jc w:val="right"/>
              <w:rPr>
                <w:rFonts w:eastAsia="Times New Roman"/>
                <w:bCs/>
                <w:iCs/>
                <w:szCs w:val="20"/>
              </w:rPr>
            </w:pPr>
            <w:r>
              <w:rPr>
                <w:rFonts w:eastAsia="Times New Roman"/>
                <w:bCs/>
                <w:iCs/>
                <w:szCs w:val="20"/>
              </w:rPr>
              <w:t>922.933,25</w:t>
            </w:r>
          </w:p>
        </w:tc>
        <w:tc>
          <w:tcPr>
            <w:tcW w:w="1418" w:type="dxa"/>
            <w:vAlign w:val="center"/>
          </w:tcPr>
          <w:p w14:paraId="5382ED2A" w14:textId="5FF21A52" w:rsidR="009C010A" w:rsidRPr="009C010A" w:rsidRDefault="009C010A" w:rsidP="009C010A">
            <w:pPr>
              <w:tabs>
                <w:tab w:val="left" w:pos="709"/>
              </w:tabs>
              <w:spacing w:after="0" w:line="260" w:lineRule="exact"/>
              <w:jc w:val="right"/>
              <w:rPr>
                <w:rFonts w:eastAsia="Times New Roman"/>
                <w:bCs/>
                <w:iCs/>
                <w:szCs w:val="20"/>
              </w:rPr>
            </w:pPr>
            <w:r w:rsidRPr="009C010A">
              <w:rPr>
                <w:rFonts w:eastAsia="Times New Roman"/>
                <w:bCs/>
                <w:iCs/>
                <w:szCs w:val="20"/>
              </w:rPr>
              <w:t>1.014.953,23</w:t>
            </w:r>
          </w:p>
        </w:tc>
        <w:tc>
          <w:tcPr>
            <w:tcW w:w="1417" w:type="dxa"/>
            <w:shd w:val="clear" w:color="auto" w:fill="auto"/>
            <w:vAlign w:val="center"/>
          </w:tcPr>
          <w:p w14:paraId="4090689C" w14:textId="2B20FDFA" w:rsidR="009C010A" w:rsidRPr="009C010A" w:rsidRDefault="009C010A" w:rsidP="009C010A">
            <w:pPr>
              <w:tabs>
                <w:tab w:val="left" w:pos="709"/>
              </w:tabs>
              <w:spacing w:after="0" w:line="260" w:lineRule="exact"/>
              <w:jc w:val="right"/>
              <w:rPr>
                <w:rFonts w:eastAsia="Times New Roman"/>
                <w:b/>
                <w:iCs/>
                <w:szCs w:val="20"/>
              </w:rPr>
            </w:pPr>
            <w:r w:rsidRPr="009C010A">
              <w:rPr>
                <w:rFonts w:eastAsia="Times New Roman"/>
                <w:b/>
                <w:iCs/>
                <w:szCs w:val="20"/>
              </w:rPr>
              <w:t>1.996.114,03</w:t>
            </w:r>
          </w:p>
        </w:tc>
      </w:tr>
      <w:tr w:rsidR="009C010A" w:rsidRPr="009B4986" w14:paraId="62385696" w14:textId="77777777" w:rsidTr="00A41416">
        <w:trPr>
          <w:trHeight w:val="371"/>
        </w:trPr>
        <w:tc>
          <w:tcPr>
            <w:tcW w:w="1418" w:type="dxa"/>
            <w:shd w:val="clear" w:color="auto" w:fill="auto"/>
            <w:vAlign w:val="center"/>
          </w:tcPr>
          <w:p w14:paraId="1764006E" w14:textId="3590A042" w:rsidR="009C010A" w:rsidRPr="009B4986" w:rsidRDefault="009C010A" w:rsidP="009B4986">
            <w:pPr>
              <w:tabs>
                <w:tab w:val="left" w:pos="709"/>
              </w:tabs>
              <w:spacing w:after="0" w:line="260" w:lineRule="exact"/>
              <w:rPr>
                <w:rFonts w:eastAsia="Times New Roman"/>
                <w:b/>
                <w:iCs/>
                <w:szCs w:val="20"/>
              </w:rPr>
            </w:pPr>
            <w:r>
              <w:rPr>
                <w:rFonts w:eastAsia="Times New Roman"/>
                <w:b/>
                <w:iCs/>
                <w:szCs w:val="20"/>
              </w:rPr>
              <w:t>Občina Trebnje</w:t>
            </w:r>
          </w:p>
        </w:tc>
        <w:tc>
          <w:tcPr>
            <w:tcW w:w="1134" w:type="dxa"/>
            <w:shd w:val="clear" w:color="auto" w:fill="auto"/>
            <w:vAlign w:val="center"/>
          </w:tcPr>
          <w:p w14:paraId="7271379A" w14:textId="105AEABC" w:rsidR="009C010A" w:rsidRPr="009B4986" w:rsidRDefault="009C010A" w:rsidP="009C010A">
            <w:pPr>
              <w:tabs>
                <w:tab w:val="left" w:pos="709"/>
              </w:tabs>
              <w:spacing w:after="0" w:line="260" w:lineRule="exact"/>
              <w:jc w:val="right"/>
              <w:rPr>
                <w:rFonts w:eastAsia="Times New Roman"/>
                <w:iCs/>
                <w:szCs w:val="20"/>
              </w:rPr>
            </w:pPr>
            <w:r>
              <w:rPr>
                <w:rFonts w:eastAsia="Times New Roman"/>
                <w:iCs/>
                <w:szCs w:val="20"/>
              </w:rPr>
              <w:t>/</w:t>
            </w:r>
          </w:p>
        </w:tc>
        <w:tc>
          <w:tcPr>
            <w:tcW w:w="1276" w:type="dxa"/>
            <w:shd w:val="clear" w:color="auto" w:fill="auto"/>
            <w:vAlign w:val="center"/>
          </w:tcPr>
          <w:p w14:paraId="7C6EFF42" w14:textId="7AAC1BCB" w:rsidR="009C010A" w:rsidRPr="009B4986" w:rsidRDefault="009C010A" w:rsidP="009C010A">
            <w:pPr>
              <w:tabs>
                <w:tab w:val="left" w:pos="709"/>
              </w:tabs>
              <w:spacing w:after="0" w:line="260" w:lineRule="exact"/>
              <w:jc w:val="right"/>
              <w:rPr>
                <w:rFonts w:eastAsia="Times New Roman"/>
                <w:iCs/>
                <w:szCs w:val="20"/>
              </w:rPr>
            </w:pPr>
            <w:r>
              <w:rPr>
                <w:rFonts w:eastAsia="Times New Roman"/>
                <w:iCs/>
                <w:szCs w:val="20"/>
              </w:rPr>
              <w:t>112.674,00</w:t>
            </w:r>
          </w:p>
        </w:tc>
        <w:tc>
          <w:tcPr>
            <w:tcW w:w="1134" w:type="dxa"/>
            <w:vAlign w:val="center"/>
          </w:tcPr>
          <w:p w14:paraId="494391F8" w14:textId="37B33973" w:rsidR="009C010A" w:rsidRPr="009B4986" w:rsidRDefault="009C010A" w:rsidP="009C010A">
            <w:pPr>
              <w:tabs>
                <w:tab w:val="left" w:pos="709"/>
              </w:tabs>
              <w:spacing w:after="0" w:line="260" w:lineRule="exact"/>
              <w:jc w:val="right"/>
              <w:rPr>
                <w:rFonts w:eastAsia="Times New Roman"/>
                <w:bCs/>
                <w:iCs/>
                <w:szCs w:val="20"/>
              </w:rPr>
            </w:pPr>
            <w:r>
              <w:rPr>
                <w:rFonts w:eastAsia="Times New Roman"/>
                <w:bCs/>
                <w:iCs/>
                <w:szCs w:val="20"/>
              </w:rPr>
              <w:t>/</w:t>
            </w:r>
          </w:p>
        </w:tc>
        <w:tc>
          <w:tcPr>
            <w:tcW w:w="1275" w:type="dxa"/>
            <w:vAlign w:val="center"/>
          </w:tcPr>
          <w:p w14:paraId="4043AED6" w14:textId="71AFD09C" w:rsidR="009C010A" w:rsidRPr="009B4986" w:rsidRDefault="009C010A" w:rsidP="009C010A">
            <w:pPr>
              <w:tabs>
                <w:tab w:val="left" w:pos="709"/>
              </w:tabs>
              <w:spacing w:after="0" w:line="260" w:lineRule="exact"/>
              <w:jc w:val="right"/>
              <w:rPr>
                <w:rFonts w:eastAsia="Times New Roman"/>
                <w:bCs/>
                <w:iCs/>
                <w:szCs w:val="20"/>
              </w:rPr>
            </w:pPr>
            <w:r>
              <w:rPr>
                <w:rFonts w:eastAsia="Times New Roman"/>
                <w:bCs/>
                <w:iCs/>
                <w:szCs w:val="20"/>
              </w:rPr>
              <w:t>/</w:t>
            </w:r>
          </w:p>
        </w:tc>
        <w:tc>
          <w:tcPr>
            <w:tcW w:w="1418" w:type="dxa"/>
            <w:vAlign w:val="center"/>
          </w:tcPr>
          <w:p w14:paraId="567334D0" w14:textId="00E2D6BA" w:rsidR="009C010A" w:rsidRPr="009B4986" w:rsidRDefault="009C010A" w:rsidP="009C010A">
            <w:pPr>
              <w:tabs>
                <w:tab w:val="left" w:pos="709"/>
              </w:tabs>
              <w:spacing w:after="0" w:line="260" w:lineRule="exact"/>
              <w:jc w:val="right"/>
              <w:rPr>
                <w:rFonts w:eastAsia="Times New Roman"/>
                <w:b/>
                <w:iCs/>
                <w:szCs w:val="20"/>
              </w:rPr>
            </w:pPr>
            <w:r>
              <w:rPr>
                <w:rFonts w:eastAsia="Times New Roman"/>
                <w:b/>
                <w:iCs/>
                <w:szCs w:val="20"/>
              </w:rPr>
              <w:t>/</w:t>
            </w:r>
          </w:p>
        </w:tc>
        <w:tc>
          <w:tcPr>
            <w:tcW w:w="1417" w:type="dxa"/>
            <w:shd w:val="clear" w:color="auto" w:fill="auto"/>
            <w:vAlign w:val="center"/>
          </w:tcPr>
          <w:p w14:paraId="7F97161D" w14:textId="213DC471" w:rsidR="009C010A" w:rsidRPr="009C010A" w:rsidRDefault="009C010A" w:rsidP="009C010A">
            <w:pPr>
              <w:tabs>
                <w:tab w:val="left" w:pos="709"/>
              </w:tabs>
              <w:spacing w:after="0" w:line="260" w:lineRule="exact"/>
              <w:jc w:val="right"/>
              <w:rPr>
                <w:rFonts w:eastAsia="Times New Roman"/>
                <w:b/>
                <w:iCs/>
                <w:szCs w:val="20"/>
              </w:rPr>
            </w:pPr>
            <w:r>
              <w:rPr>
                <w:rFonts w:eastAsia="Times New Roman"/>
                <w:b/>
                <w:iCs/>
                <w:szCs w:val="20"/>
              </w:rPr>
              <w:t>112.674,00</w:t>
            </w:r>
          </w:p>
        </w:tc>
      </w:tr>
      <w:tr w:rsidR="009C010A" w:rsidRPr="009B4986" w14:paraId="422C08F7" w14:textId="77777777" w:rsidTr="00A41416">
        <w:trPr>
          <w:trHeight w:val="371"/>
        </w:trPr>
        <w:tc>
          <w:tcPr>
            <w:tcW w:w="1418" w:type="dxa"/>
            <w:shd w:val="clear" w:color="auto" w:fill="auto"/>
            <w:vAlign w:val="center"/>
          </w:tcPr>
          <w:p w14:paraId="53C90438" w14:textId="38FBF91D" w:rsidR="009C010A" w:rsidRPr="009B4986" w:rsidRDefault="009C010A" w:rsidP="009B4986">
            <w:pPr>
              <w:tabs>
                <w:tab w:val="left" w:pos="709"/>
              </w:tabs>
              <w:spacing w:after="0" w:line="260" w:lineRule="exact"/>
              <w:rPr>
                <w:rFonts w:eastAsia="Times New Roman"/>
                <w:b/>
                <w:iCs/>
                <w:szCs w:val="20"/>
              </w:rPr>
            </w:pPr>
            <w:r>
              <w:rPr>
                <w:rFonts w:eastAsia="Times New Roman"/>
                <w:b/>
                <w:iCs/>
                <w:szCs w:val="20"/>
              </w:rPr>
              <w:t>VDC Novo mesto</w:t>
            </w:r>
          </w:p>
        </w:tc>
        <w:tc>
          <w:tcPr>
            <w:tcW w:w="1134" w:type="dxa"/>
            <w:shd w:val="clear" w:color="auto" w:fill="auto"/>
            <w:vAlign w:val="center"/>
          </w:tcPr>
          <w:p w14:paraId="61B3AA9D" w14:textId="59A5F8B1" w:rsidR="009C010A" w:rsidRPr="009B4986" w:rsidRDefault="009C010A" w:rsidP="009C010A">
            <w:pPr>
              <w:tabs>
                <w:tab w:val="left" w:pos="709"/>
              </w:tabs>
              <w:spacing w:after="0" w:line="260" w:lineRule="exact"/>
              <w:jc w:val="right"/>
              <w:rPr>
                <w:rFonts w:eastAsia="Times New Roman"/>
                <w:iCs/>
                <w:szCs w:val="20"/>
              </w:rPr>
            </w:pPr>
            <w:r>
              <w:rPr>
                <w:rFonts w:eastAsia="Times New Roman"/>
                <w:iCs/>
                <w:szCs w:val="20"/>
              </w:rPr>
              <w:t>/</w:t>
            </w:r>
          </w:p>
        </w:tc>
        <w:tc>
          <w:tcPr>
            <w:tcW w:w="1276" w:type="dxa"/>
            <w:shd w:val="clear" w:color="auto" w:fill="auto"/>
            <w:vAlign w:val="center"/>
          </w:tcPr>
          <w:p w14:paraId="44A533CF" w14:textId="0FC0EB24" w:rsidR="009C010A" w:rsidRPr="009B4986" w:rsidRDefault="009C010A" w:rsidP="009C010A">
            <w:pPr>
              <w:tabs>
                <w:tab w:val="left" w:pos="709"/>
              </w:tabs>
              <w:spacing w:after="0" w:line="260" w:lineRule="exact"/>
              <w:jc w:val="right"/>
              <w:rPr>
                <w:rFonts w:eastAsia="Times New Roman"/>
                <w:iCs/>
                <w:szCs w:val="20"/>
              </w:rPr>
            </w:pPr>
            <w:r>
              <w:rPr>
                <w:rFonts w:eastAsia="Times New Roman"/>
                <w:iCs/>
                <w:szCs w:val="20"/>
              </w:rPr>
              <w:t>2.049,60</w:t>
            </w:r>
          </w:p>
        </w:tc>
        <w:tc>
          <w:tcPr>
            <w:tcW w:w="1134" w:type="dxa"/>
            <w:vAlign w:val="center"/>
          </w:tcPr>
          <w:p w14:paraId="10C15FD3" w14:textId="77097574" w:rsidR="009C010A" w:rsidRPr="009B4986" w:rsidRDefault="009C010A" w:rsidP="009C010A">
            <w:pPr>
              <w:tabs>
                <w:tab w:val="left" w:pos="709"/>
              </w:tabs>
              <w:spacing w:after="0" w:line="260" w:lineRule="exact"/>
              <w:jc w:val="right"/>
              <w:rPr>
                <w:rFonts w:eastAsia="Times New Roman"/>
                <w:bCs/>
                <w:iCs/>
                <w:szCs w:val="20"/>
              </w:rPr>
            </w:pPr>
            <w:r>
              <w:rPr>
                <w:rFonts w:eastAsia="Times New Roman"/>
                <w:bCs/>
                <w:iCs/>
                <w:szCs w:val="20"/>
              </w:rPr>
              <w:t>/</w:t>
            </w:r>
          </w:p>
        </w:tc>
        <w:tc>
          <w:tcPr>
            <w:tcW w:w="1275" w:type="dxa"/>
            <w:vAlign w:val="center"/>
          </w:tcPr>
          <w:p w14:paraId="6585CA09" w14:textId="56400291" w:rsidR="009C010A" w:rsidRPr="009B4986" w:rsidRDefault="009C010A" w:rsidP="009C010A">
            <w:pPr>
              <w:tabs>
                <w:tab w:val="left" w:pos="709"/>
              </w:tabs>
              <w:spacing w:after="0" w:line="260" w:lineRule="exact"/>
              <w:jc w:val="right"/>
              <w:rPr>
                <w:rFonts w:eastAsia="Times New Roman"/>
                <w:bCs/>
                <w:iCs/>
                <w:szCs w:val="20"/>
              </w:rPr>
            </w:pPr>
            <w:r>
              <w:rPr>
                <w:rFonts w:eastAsia="Times New Roman"/>
                <w:bCs/>
                <w:iCs/>
                <w:szCs w:val="20"/>
              </w:rPr>
              <w:t>2.440,00</w:t>
            </w:r>
          </w:p>
        </w:tc>
        <w:tc>
          <w:tcPr>
            <w:tcW w:w="1418" w:type="dxa"/>
            <w:vAlign w:val="center"/>
          </w:tcPr>
          <w:p w14:paraId="3EDAAD21" w14:textId="70AF6B6F" w:rsidR="009C010A" w:rsidRPr="009B4986" w:rsidRDefault="009C010A" w:rsidP="009C010A">
            <w:pPr>
              <w:tabs>
                <w:tab w:val="left" w:pos="709"/>
              </w:tabs>
              <w:spacing w:after="0" w:line="260" w:lineRule="exact"/>
              <w:jc w:val="right"/>
              <w:rPr>
                <w:rFonts w:eastAsia="Times New Roman"/>
                <w:b/>
                <w:iCs/>
                <w:szCs w:val="20"/>
              </w:rPr>
            </w:pPr>
            <w:r>
              <w:rPr>
                <w:rFonts w:eastAsia="Times New Roman"/>
                <w:b/>
                <w:iCs/>
                <w:szCs w:val="20"/>
              </w:rPr>
              <w:t>/</w:t>
            </w:r>
          </w:p>
        </w:tc>
        <w:tc>
          <w:tcPr>
            <w:tcW w:w="1417" w:type="dxa"/>
            <w:shd w:val="clear" w:color="auto" w:fill="auto"/>
            <w:vAlign w:val="center"/>
          </w:tcPr>
          <w:p w14:paraId="58A4B7CD" w14:textId="3A83E346" w:rsidR="009C010A" w:rsidRPr="009C010A" w:rsidRDefault="009C010A" w:rsidP="009C010A">
            <w:pPr>
              <w:tabs>
                <w:tab w:val="left" w:pos="709"/>
              </w:tabs>
              <w:spacing w:after="0" w:line="260" w:lineRule="exact"/>
              <w:jc w:val="right"/>
              <w:rPr>
                <w:rFonts w:eastAsia="Times New Roman"/>
                <w:b/>
                <w:iCs/>
                <w:szCs w:val="20"/>
              </w:rPr>
            </w:pPr>
            <w:r>
              <w:rPr>
                <w:rFonts w:eastAsia="Times New Roman"/>
                <w:b/>
                <w:iCs/>
                <w:szCs w:val="20"/>
              </w:rPr>
              <w:t>4.489,60</w:t>
            </w:r>
          </w:p>
        </w:tc>
      </w:tr>
      <w:tr w:rsidR="009C010A" w:rsidRPr="009B4986" w14:paraId="36FE9F28" w14:textId="77777777" w:rsidTr="00A41416">
        <w:trPr>
          <w:trHeight w:val="408"/>
        </w:trPr>
        <w:tc>
          <w:tcPr>
            <w:tcW w:w="1418" w:type="dxa"/>
            <w:shd w:val="clear" w:color="auto" w:fill="auto"/>
            <w:vAlign w:val="center"/>
          </w:tcPr>
          <w:p w14:paraId="3F84DC73" w14:textId="078702CB" w:rsidR="009C010A" w:rsidRPr="009B4986" w:rsidRDefault="009C010A" w:rsidP="009B4986">
            <w:pPr>
              <w:tabs>
                <w:tab w:val="left" w:pos="709"/>
              </w:tabs>
              <w:spacing w:after="0" w:line="260" w:lineRule="exact"/>
              <w:rPr>
                <w:rFonts w:eastAsia="Times New Roman"/>
                <w:b/>
                <w:iCs/>
                <w:szCs w:val="20"/>
              </w:rPr>
            </w:pPr>
            <w:r w:rsidRPr="009B4986">
              <w:rPr>
                <w:rFonts w:eastAsia="Times New Roman"/>
                <w:b/>
                <w:iCs/>
                <w:szCs w:val="20"/>
              </w:rPr>
              <w:t>S</w:t>
            </w:r>
            <w:r w:rsidR="00A41416">
              <w:rPr>
                <w:rFonts w:eastAsia="Times New Roman"/>
                <w:b/>
                <w:iCs/>
                <w:szCs w:val="20"/>
              </w:rPr>
              <w:t>KUPAJ</w:t>
            </w:r>
          </w:p>
        </w:tc>
        <w:tc>
          <w:tcPr>
            <w:tcW w:w="1134" w:type="dxa"/>
            <w:shd w:val="clear" w:color="auto" w:fill="auto"/>
            <w:vAlign w:val="center"/>
          </w:tcPr>
          <w:p w14:paraId="670A0283" w14:textId="5E5BE3F8" w:rsidR="009C010A" w:rsidRPr="009C010A" w:rsidRDefault="009C010A" w:rsidP="009C010A">
            <w:pPr>
              <w:tabs>
                <w:tab w:val="left" w:pos="709"/>
              </w:tabs>
              <w:spacing w:after="0" w:line="260" w:lineRule="exact"/>
              <w:jc w:val="right"/>
              <w:rPr>
                <w:rFonts w:eastAsia="Times New Roman"/>
                <w:b/>
                <w:iCs/>
                <w:szCs w:val="20"/>
              </w:rPr>
            </w:pPr>
            <w:r w:rsidRPr="009C010A">
              <w:rPr>
                <w:rFonts w:eastAsia="Times New Roman"/>
                <w:b/>
                <w:iCs/>
                <w:szCs w:val="20"/>
              </w:rPr>
              <w:t>57.693,80</w:t>
            </w:r>
          </w:p>
        </w:tc>
        <w:tc>
          <w:tcPr>
            <w:tcW w:w="1276" w:type="dxa"/>
            <w:shd w:val="clear" w:color="auto" w:fill="auto"/>
            <w:vAlign w:val="center"/>
          </w:tcPr>
          <w:p w14:paraId="060F5A86" w14:textId="37A55409" w:rsidR="009C010A" w:rsidRPr="009C010A" w:rsidRDefault="009C010A" w:rsidP="009C010A">
            <w:pPr>
              <w:tabs>
                <w:tab w:val="left" w:pos="709"/>
              </w:tabs>
              <w:spacing w:after="0" w:line="260" w:lineRule="exact"/>
              <w:jc w:val="right"/>
              <w:rPr>
                <w:rFonts w:eastAsia="Times New Roman"/>
                <w:b/>
                <w:iCs/>
                <w:szCs w:val="20"/>
              </w:rPr>
            </w:pPr>
            <w:r w:rsidRPr="009C010A">
              <w:rPr>
                <w:rFonts w:eastAsia="Times New Roman"/>
                <w:b/>
                <w:iCs/>
                <w:szCs w:val="20"/>
              </w:rPr>
              <w:t>172.951,1</w:t>
            </w:r>
            <w:r w:rsidR="008A2A0E">
              <w:rPr>
                <w:rFonts w:eastAsia="Times New Roman"/>
                <w:b/>
                <w:iCs/>
                <w:szCs w:val="20"/>
              </w:rPr>
              <w:t>5</w:t>
            </w:r>
          </w:p>
        </w:tc>
        <w:tc>
          <w:tcPr>
            <w:tcW w:w="1134" w:type="dxa"/>
            <w:vAlign w:val="center"/>
          </w:tcPr>
          <w:p w14:paraId="16106E9F" w14:textId="6B4F6410" w:rsidR="009C010A" w:rsidRPr="009C010A" w:rsidRDefault="009C010A" w:rsidP="009C010A">
            <w:pPr>
              <w:tabs>
                <w:tab w:val="left" w:pos="709"/>
              </w:tabs>
              <w:spacing w:after="0" w:line="260" w:lineRule="exact"/>
              <w:jc w:val="right"/>
              <w:rPr>
                <w:rFonts w:eastAsia="Times New Roman"/>
                <w:b/>
                <w:iCs/>
                <w:szCs w:val="20"/>
              </w:rPr>
            </w:pPr>
            <w:r w:rsidRPr="009C010A">
              <w:rPr>
                <w:rFonts w:eastAsia="Times New Roman"/>
                <w:b/>
                <w:iCs/>
                <w:szCs w:val="20"/>
              </w:rPr>
              <w:t>/</w:t>
            </w:r>
          </w:p>
        </w:tc>
        <w:tc>
          <w:tcPr>
            <w:tcW w:w="1275" w:type="dxa"/>
            <w:vAlign w:val="center"/>
          </w:tcPr>
          <w:p w14:paraId="0F70761F" w14:textId="0501904B" w:rsidR="009C010A" w:rsidRPr="009C010A" w:rsidRDefault="009C010A" w:rsidP="009C010A">
            <w:pPr>
              <w:tabs>
                <w:tab w:val="left" w:pos="709"/>
              </w:tabs>
              <w:spacing w:after="0" w:line="260" w:lineRule="exact"/>
              <w:jc w:val="right"/>
              <w:rPr>
                <w:rFonts w:eastAsia="Times New Roman"/>
                <w:b/>
                <w:iCs/>
                <w:szCs w:val="20"/>
              </w:rPr>
            </w:pPr>
            <w:r>
              <w:rPr>
                <w:rFonts w:eastAsia="Times New Roman"/>
                <w:b/>
                <w:iCs/>
                <w:szCs w:val="20"/>
              </w:rPr>
              <w:t>925.373,25</w:t>
            </w:r>
          </w:p>
        </w:tc>
        <w:tc>
          <w:tcPr>
            <w:tcW w:w="1418" w:type="dxa"/>
            <w:vAlign w:val="center"/>
          </w:tcPr>
          <w:p w14:paraId="74A8B9BE" w14:textId="1AA879AE" w:rsidR="009C010A" w:rsidRPr="009C010A" w:rsidRDefault="009C010A" w:rsidP="009C010A">
            <w:pPr>
              <w:tabs>
                <w:tab w:val="left" w:pos="709"/>
              </w:tabs>
              <w:spacing w:after="0" w:line="260" w:lineRule="exact"/>
              <w:jc w:val="right"/>
              <w:rPr>
                <w:rFonts w:eastAsia="Times New Roman"/>
                <w:b/>
                <w:iCs/>
                <w:szCs w:val="20"/>
              </w:rPr>
            </w:pPr>
            <w:r>
              <w:rPr>
                <w:rFonts w:eastAsia="Times New Roman"/>
                <w:b/>
                <w:iCs/>
                <w:szCs w:val="20"/>
              </w:rPr>
              <w:t>1.014.953,23</w:t>
            </w:r>
          </w:p>
        </w:tc>
        <w:tc>
          <w:tcPr>
            <w:tcW w:w="1417" w:type="dxa"/>
            <w:shd w:val="clear" w:color="auto" w:fill="auto"/>
            <w:vAlign w:val="center"/>
          </w:tcPr>
          <w:p w14:paraId="68704B1E" w14:textId="19E4B115" w:rsidR="009C010A" w:rsidRPr="009C010A" w:rsidRDefault="009C010A" w:rsidP="009C010A">
            <w:pPr>
              <w:tabs>
                <w:tab w:val="left" w:pos="709"/>
              </w:tabs>
              <w:spacing w:after="0" w:line="260" w:lineRule="exact"/>
              <w:jc w:val="right"/>
              <w:rPr>
                <w:rFonts w:eastAsia="Times New Roman"/>
                <w:b/>
                <w:iCs/>
                <w:szCs w:val="20"/>
              </w:rPr>
            </w:pPr>
            <w:r>
              <w:rPr>
                <w:rFonts w:eastAsia="Times New Roman"/>
                <w:b/>
                <w:iCs/>
                <w:szCs w:val="20"/>
              </w:rPr>
              <w:t>2.170.971,43</w:t>
            </w:r>
          </w:p>
        </w:tc>
      </w:tr>
    </w:tbl>
    <w:p w14:paraId="612C9287" w14:textId="77777777" w:rsidR="009B4986" w:rsidRPr="009B4986" w:rsidRDefault="009B4986" w:rsidP="009B4986">
      <w:pPr>
        <w:tabs>
          <w:tab w:val="left" w:pos="709"/>
        </w:tabs>
        <w:spacing w:after="0" w:line="260" w:lineRule="exact"/>
        <w:jc w:val="both"/>
        <w:rPr>
          <w:rFonts w:eastAsia="Times New Roman"/>
          <w:iCs/>
          <w:szCs w:val="20"/>
        </w:rPr>
      </w:pPr>
    </w:p>
    <w:p w14:paraId="05FE2C73" w14:textId="0BE9F324" w:rsidR="009B4986" w:rsidRPr="009B4986" w:rsidRDefault="009B4986" w:rsidP="009B4986">
      <w:pPr>
        <w:spacing w:after="0" w:line="260" w:lineRule="exact"/>
        <w:jc w:val="both"/>
        <w:rPr>
          <w:rFonts w:eastAsia="Times New Roman"/>
          <w:szCs w:val="24"/>
        </w:rPr>
      </w:pPr>
      <w:r w:rsidRPr="009B4986">
        <w:rPr>
          <w:rFonts w:eastAsia="Times New Roman"/>
          <w:iCs/>
          <w:szCs w:val="20"/>
        </w:rPr>
        <w:t>Priprave na investicijo so se začele v letu 2022, sama investicija pa se bo izvajala v let</w:t>
      </w:r>
      <w:r w:rsidR="009C010A">
        <w:rPr>
          <w:rFonts w:eastAsia="Times New Roman"/>
          <w:iCs/>
          <w:szCs w:val="20"/>
        </w:rPr>
        <w:t>ih</w:t>
      </w:r>
      <w:r w:rsidRPr="009B4986">
        <w:rPr>
          <w:rFonts w:eastAsia="Times New Roman"/>
          <w:iCs/>
          <w:szCs w:val="20"/>
        </w:rPr>
        <w:t xml:space="preserve"> 2025</w:t>
      </w:r>
      <w:r w:rsidR="009C010A">
        <w:rPr>
          <w:rFonts w:eastAsia="Times New Roman"/>
          <w:iCs/>
          <w:szCs w:val="20"/>
        </w:rPr>
        <w:t xml:space="preserve"> in 2026</w:t>
      </w:r>
      <w:r w:rsidRPr="009B4986">
        <w:rPr>
          <w:rFonts w:eastAsia="Times New Roman"/>
          <w:iCs/>
          <w:szCs w:val="20"/>
        </w:rPr>
        <w:t>.</w:t>
      </w:r>
    </w:p>
    <w:p w14:paraId="3773024F" w14:textId="77777777" w:rsidR="009B4986" w:rsidRDefault="009B4986" w:rsidP="006E5450">
      <w:pPr>
        <w:tabs>
          <w:tab w:val="left" w:pos="3402"/>
        </w:tabs>
        <w:spacing w:after="0" w:line="260" w:lineRule="exact"/>
        <w:jc w:val="both"/>
        <w:rPr>
          <w:rFonts w:eastAsia="Times New Roman"/>
          <w:b/>
          <w:szCs w:val="20"/>
        </w:rPr>
      </w:pPr>
    </w:p>
    <w:p w14:paraId="09094F76" w14:textId="77777777" w:rsidR="009B4986" w:rsidRDefault="009B4986" w:rsidP="006E5450">
      <w:pPr>
        <w:tabs>
          <w:tab w:val="left" w:pos="3402"/>
        </w:tabs>
        <w:spacing w:after="0" w:line="260" w:lineRule="exact"/>
        <w:jc w:val="both"/>
        <w:rPr>
          <w:rFonts w:eastAsia="Times New Roman"/>
          <w:b/>
          <w:szCs w:val="20"/>
        </w:rPr>
      </w:pPr>
    </w:p>
    <w:p w14:paraId="5FCA88B8" w14:textId="77777777" w:rsidR="009B4986" w:rsidRDefault="009B4986" w:rsidP="006E5450">
      <w:pPr>
        <w:tabs>
          <w:tab w:val="left" w:pos="3402"/>
        </w:tabs>
        <w:spacing w:after="0" w:line="260" w:lineRule="exact"/>
        <w:jc w:val="both"/>
        <w:rPr>
          <w:rFonts w:eastAsia="Times New Roman"/>
          <w:b/>
          <w:szCs w:val="20"/>
        </w:rPr>
      </w:pPr>
    </w:p>
    <w:p w14:paraId="2D81ACCA" w14:textId="77777777" w:rsidR="009B4986" w:rsidRDefault="009B4986" w:rsidP="006E5450">
      <w:pPr>
        <w:tabs>
          <w:tab w:val="left" w:pos="3402"/>
        </w:tabs>
        <w:spacing w:after="0" w:line="260" w:lineRule="exact"/>
        <w:jc w:val="both"/>
        <w:rPr>
          <w:rFonts w:eastAsia="Times New Roman"/>
          <w:b/>
          <w:szCs w:val="20"/>
        </w:rPr>
      </w:pPr>
    </w:p>
    <w:p w14:paraId="2ADAEEBE" w14:textId="77777777" w:rsidR="009B4986" w:rsidRDefault="009B4986" w:rsidP="006E5450">
      <w:pPr>
        <w:tabs>
          <w:tab w:val="left" w:pos="3402"/>
        </w:tabs>
        <w:spacing w:after="0" w:line="260" w:lineRule="exact"/>
        <w:jc w:val="both"/>
        <w:rPr>
          <w:rFonts w:eastAsia="Times New Roman"/>
          <w:b/>
          <w:szCs w:val="20"/>
        </w:rPr>
      </w:pPr>
    </w:p>
    <w:p w14:paraId="73B5A670" w14:textId="77777777" w:rsidR="009B4986" w:rsidRDefault="009B4986" w:rsidP="006E5450">
      <w:pPr>
        <w:tabs>
          <w:tab w:val="left" w:pos="3402"/>
        </w:tabs>
        <w:spacing w:after="0" w:line="260" w:lineRule="exact"/>
        <w:jc w:val="both"/>
        <w:rPr>
          <w:rFonts w:eastAsia="Times New Roman"/>
          <w:b/>
          <w:szCs w:val="20"/>
        </w:rPr>
      </w:pPr>
    </w:p>
    <w:p w14:paraId="2FFAB948" w14:textId="77777777" w:rsidR="009B4986" w:rsidRDefault="009B4986" w:rsidP="006E5450">
      <w:pPr>
        <w:tabs>
          <w:tab w:val="left" w:pos="3402"/>
        </w:tabs>
        <w:spacing w:after="0" w:line="260" w:lineRule="exact"/>
        <w:jc w:val="both"/>
        <w:rPr>
          <w:rFonts w:eastAsia="Times New Roman"/>
          <w:b/>
          <w:szCs w:val="20"/>
        </w:rPr>
      </w:pPr>
    </w:p>
    <w:p w14:paraId="42F859F9" w14:textId="77777777" w:rsidR="009B4986" w:rsidRDefault="009B4986" w:rsidP="006E5450">
      <w:pPr>
        <w:tabs>
          <w:tab w:val="left" w:pos="3402"/>
        </w:tabs>
        <w:spacing w:after="0" w:line="260" w:lineRule="exact"/>
        <w:jc w:val="both"/>
        <w:rPr>
          <w:rFonts w:eastAsia="Times New Roman"/>
          <w:b/>
          <w:szCs w:val="20"/>
        </w:rPr>
      </w:pPr>
    </w:p>
    <w:p w14:paraId="42AB0A84" w14:textId="77777777" w:rsidR="009B4986" w:rsidRDefault="009B4986" w:rsidP="006E5450">
      <w:pPr>
        <w:tabs>
          <w:tab w:val="left" w:pos="3402"/>
        </w:tabs>
        <w:spacing w:after="0" w:line="260" w:lineRule="exact"/>
        <w:jc w:val="both"/>
        <w:rPr>
          <w:rFonts w:eastAsia="Times New Roman"/>
          <w:b/>
          <w:szCs w:val="20"/>
        </w:rPr>
      </w:pPr>
    </w:p>
    <w:p w14:paraId="635EEB7E" w14:textId="77777777" w:rsidR="009B4986" w:rsidRDefault="009B4986" w:rsidP="006E5450">
      <w:pPr>
        <w:tabs>
          <w:tab w:val="left" w:pos="3402"/>
        </w:tabs>
        <w:spacing w:after="0" w:line="260" w:lineRule="exact"/>
        <w:jc w:val="both"/>
        <w:rPr>
          <w:rFonts w:eastAsia="Times New Roman"/>
          <w:b/>
          <w:szCs w:val="20"/>
        </w:rPr>
      </w:pPr>
    </w:p>
    <w:p w14:paraId="1CC2C48F" w14:textId="77777777" w:rsidR="009B4986" w:rsidRDefault="009B4986" w:rsidP="006E5450">
      <w:pPr>
        <w:tabs>
          <w:tab w:val="left" w:pos="3402"/>
        </w:tabs>
        <w:spacing w:after="0" w:line="260" w:lineRule="exact"/>
        <w:jc w:val="both"/>
        <w:rPr>
          <w:rFonts w:eastAsia="Times New Roman"/>
          <w:b/>
          <w:szCs w:val="20"/>
        </w:rPr>
      </w:pPr>
    </w:p>
    <w:p w14:paraId="24C0D47C" w14:textId="77777777" w:rsidR="009B4986" w:rsidRDefault="009B4986" w:rsidP="006E5450">
      <w:pPr>
        <w:tabs>
          <w:tab w:val="left" w:pos="3402"/>
        </w:tabs>
        <w:spacing w:after="0" w:line="260" w:lineRule="exact"/>
        <w:jc w:val="both"/>
        <w:rPr>
          <w:rFonts w:eastAsia="Times New Roman"/>
          <w:b/>
          <w:szCs w:val="20"/>
        </w:rPr>
      </w:pPr>
    </w:p>
    <w:p w14:paraId="0148DDA1" w14:textId="77777777" w:rsidR="009B4986" w:rsidRDefault="009B4986" w:rsidP="006E5450">
      <w:pPr>
        <w:tabs>
          <w:tab w:val="left" w:pos="3402"/>
        </w:tabs>
        <w:spacing w:after="0" w:line="260" w:lineRule="exact"/>
        <w:jc w:val="both"/>
        <w:rPr>
          <w:rFonts w:eastAsia="Times New Roman"/>
          <w:b/>
          <w:szCs w:val="20"/>
        </w:rPr>
      </w:pPr>
    </w:p>
    <w:p w14:paraId="1C4663CF" w14:textId="77777777" w:rsidR="009B4986" w:rsidRDefault="009B4986" w:rsidP="006E5450">
      <w:pPr>
        <w:tabs>
          <w:tab w:val="left" w:pos="3402"/>
        </w:tabs>
        <w:spacing w:after="0" w:line="260" w:lineRule="exact"/>
        <w:jc w:val="both"/>
        <w:rPr>
          <w:rFonts w:eastAsia="Times New Roman"/>
          <w:b/>
          <w:szCs w:val="20"/>
        </w:rPr>
      </w:pPr>
    </w:p>
    <w:p w14:paraId="7DE73AB3" w14:textId="77777777" w:rsidR="009B4986" w:rsidRDefault="009B4986" w:rsidP="006E5450">
      <w:pPr>
        <w:tabs>
          <w:tab w:val="left" w:pos="3402"/>
        </w:tabs>
        <w:spacing w:after="0" w:line="260" w:lineRule="exact"/>
        <w:jc w:val="both"/>
        <w:rPr>
          <w:rFonts w:eastAsia="Times New Roman"/>
          <w:b/>
          <w:szCs w:val="20"/>
        </w:rPr>
      </w:pPr>
    </w:p>
    <w:p w14:paraId="360793BC" w14:textId="77777777" w:rsidR="009B4986" w:rsidRDefault="009B4986" w:rsidP="006E5450">
      <w:pPr>
        <w:tabs>
          <w:tab w:val="left" w:pos="3402"/>
        </w:tabs>
        <w:spacing w:after="0" w:line="260" w:lineRule="exact"/>
        <w:jc w:val="both"/>
        <w:rPr>
          <w:rFonts w:eastAsia="Times New Roman"/>
          <w:b/>
          <w:szCs w:val="20"/>
        </w:rPr>
      </w:pPr>
    </w:p>
    <w:p w14:paraId="3D8AE997" w14:textId="77777777" w:rsidR="009B4986" w:rsidRDefault="009B4986" w:rsidP="006E5450">
      <w:pPr>
        <w:tabs>
          <w:tab w:val="left" w:pos="3402"/>
        </w:tabs>
        <w:spacing w:after="0" w:line="260" w:lineRule="exact"/>
        <w:jc w:val="both"/>
        <w:rPr>
          <w:rFonts w:eastAsia="Times New Roman"/>
          <w:b/>
          <w:szCs w:val="20"/>
        </w:rPr>
      </w:pPr>
    </w:p>
    <w:p w14:paraId="70B8B2CB" w14:textId="77777777" w:rsidR="009B4986" w:rsidRDefault="009B4986" w:rsidP="006E5450">
      <w:pPr>
        <w:tabs>
          <w:tab w:val="left" w:pos="3402"/>
        </w:tabs>
        <w:spacing w:after="0" w:line="260" w:lineRule="exact"/>
        <w:jc w:val="both"/>
        <w:rPr>
          <w:rFonts w:eastAsia="Times New Roman"/>
          <w:b/>
          <w:szCs w:val="20"/>
        </w:rPr>
      </w:pPr>
    </w:p>
    <w:p w14:paraId="13589EDB" w14:textId="77777777" w:rsidR="009B4986" w:rsidRDefault="009B4986" w:rsidP="006E5450">
      <w:pPr>
        <w:tabs>
          <w:tab w:val="left" w:pos="3402"/>
        </w:tabs>
        <w:spacing w:after="0" w:line="260" w:lineRule="exact"/>
        <w:jc w:val="both"/>
        <w:rPr>
          <w:rFonts w:eastAsia="Times New Roman"/>
          <w:b/>
          <w:szCs w:val="20"/>
        </w:rPr>
      </w:pPr>
    </w:p>
    <w:p w14:paraId="0457BC35" w14:textId="5BBF44B2" w:rsidR="006E5450" w:rsidRPr="006E5450" w:rsidRDefault="006E5450" w:rsidP="006E5450">
      <w:pPr>
        <w:tabs>
          <w:tab w:val="left" w:pos="3402"/>
        </w:tabs>
        <w:spacing w:after="0" w:line="260" w:lineRule="exact"/>
        <w:jc w:val="both"/>
        <w:rPr>
          <w:rFonts w:eastAsia="Times New Roman"/>
          <w:b/>
          <w:szCs w:val="20"/>
        </w:rPr>
      </w:pPr>
      <w:r w:rsidRPr="006E5450">
        <w:rPr>
          <w:rFonts w:eastAsia="Times New Roman"/>
          <w:b/>
          <w:szCs w:val="20"/>
        </w:rPr>
        <w:t>PREDLOG SKLEPA VLADE</w:t>
      </w:r>
    </w:p>
    <w:p w14:paraId="34DBDFF2" w14:textId="77777777" w:rsidR="006E5450" w:rsidRPr="006E5450" w:rsidRDefault="006E5450" w:rsidP="006E5450">
      <w:pPr>
        <w:tabs>
          <w:tab w:val="left" w:pos="3402"/>
        </w:tabs>
        <w:spacing w:after="0" w:line="260" w:lineRule="exact"/>
        <w:jc w:val="both"/>
        <w:rPr>
          <w:rFonts w:eastAsia="Times New Roman"/>
          <w:b/>
          <w:szCs w:val="20"/>
        </w:rPr>
      </w:pPr>
    </w:p>
    <w:p w14:paraId="722B2492" w14:textId="77777777" w:rsidR="006E5450" w:rsidRPr="006E5450" w:rsidRDefault="006E5450" w:rsidP="006E5450">
      <w:pPr>
        <w:tabs>
          <w:tab w:val="left" w:pos="3402"/>
        </w:tabs>
        <w:spacing w:after="0" w:line="260" w:lineRule="exact"/>
        <w:jc w:val="both"/>
        <w:rPr>
          <w:rFonts w:eastAsia="Times New Roman"/>
          <w:b/>
          <w:szCs w:val="20"/>
        </w:rPr>
      </w:pPr>
    </w:p>
    <w:p w14:paraId="7C26F730"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Številka:</w:t>
      </w:r>
    </w:p>
    <w:p w14:paraId="7DE5D9E7" w14:textId="77777777" w:rsidR="006E5450" w:rsidRPr="006E5450" w:rsidRDefault="006E5450" w:rsidP="006E5450">
      <w:pPr>
        <w:tabs>
          <w:tab w:val="left" w:pos="3402"/>
        </w:tabs>
        <w:spacing w:after="0" w:line="260" w:lineRule="exact"/>
        <w:jc w:val="both"/>
        <w:rPr>
          <w:rFonts w:eastAsia="Times New Roman"/>
          <w:szCs w:val="20"/>
        </w:rPr>
      </w:pPr>
    </w:p>
    <w:p w14:paraId="75E581A7" w14:textId="77777777" w:rsidR="006E5450" w:rsidRPr="006E5450" w:rsidRDefault="006E5450" w:rsidP="006E5450">
      <w:pPr>
        <w:tabs>
          <w:tab w:val="left" w:pos="3402"/>
        </w:tabs>
        <w:spacing w:after="0" w:line="260" w:lineRule="exact"/>
        <w:jc w:val="both"/>
        <w:rPr>
          <w:rFonts w:eastAsia="Times New Roman"/>
          <w:szCs w:val="20"/>
        </w:rPr>
      </w:pPr>
    </w:p>
    <w:p w14:paraId="00ABE4EC" w14:textId="77777777" w:rsidR="006E5450" w:rsidRPr="006E5450" w:rsidRDefault="006E5450" w:rsidP="006E5450">
      <w:pPr>
        <w:tabs>
          <w:tab w:val="left" w:pos="3402"/>
        </w:tabs>
        <w:spacing w:after="0" w:line="260" w:lineRule="exact"/>
        <w:jc w:val="both"/>
        <w:rPr>
          <w:rFonts w:eastAsia="Times New Roman"/>
          <w:szCs w:val="20"/>
        </w:rPr>
      </w:pPr>
      <w:r w:rsidRPr="006E5450">
        <w:rPr>
          <w:rFonts w:eastAsia="Times New Roman"/>
          <w:szCs w:val="20"/>
        </w:rPr>
        <w:t>Ljubljana, dne</w:t>
      </w:r>
    </w:p>
    <w:p w14:paraId="5D79F1F2" w14:textId="77777777" w:rsidR="006E5450" w:rsidRPr="006E5450" w:rsidRDefault="006E5450" w:rsidP="006E5450">
      <w:pPr>
        <w:tabs>
          <w:tab w:val="left" w:pos="3402"/>
        </w:tabs>
        <w:spacing w:after="0" w:line="260" w:lineRule="exact"/>
        <w:jc w:val="both"/>
        <w:rPr>
          <w:rFonts w:eastAsia="Times New Roman"/>
          <w:szCs w:val="20"/>
        </w:rPr>
      </w:pPr>
    </w:p>
    <w:p w14:paraId="2A43C44E" w14:textId="77777777" w:rsidR="006E5450" w:rsidRPr="006E5450" w:rsidRDefault="006E5450" w:rsidP="006E5450">
      <w:pPr>
        <w:tabs>
          <w:tab w:val="left" w:pos="3402"/>
        </w:tabs>
        <w:spacing w:after="0" w:line="260" w:lineRule="exact"/>
        <w:jc w:val="both"/>
        <w:rPr>
          <w:rFonts w:eastAsia="Times New Roman"/>
          <w:szCs w:val="20"/>
        </w:rPr>
      </w:pPr>
    </w:p>
    <w:p w14:paraId="04CEBF2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CCC0155" w14:textId="77777777" w:rsidR="00295552" w:rsidRPr="009B4986" w:rsidRDefault="00295552" w:rsidP="00295552">
      <w:pPr>
        <w:overflowPunct w:val="0"/>
        <w:autoSpaceDE w:val="0"/>
        <w:autoSpaceDN w:val="0"/>
        <w:adjustRightInd w:val="0"/>
        <w:spacing w:after="0" w:line="240" w:lineRule="auto"/>
        <w:jc w:val="both"/>
        <w:textAlignment w:val="baseline"/>
        <w:rPr>
          <w:rFonts w:eastAsia="Times New Roman" w:cs="Arial"/>
          <w:iCs/>
          <w:szCs w:val="20"/>
          <w:lang w:eastAsia="sl-SI"/>
        </w:rPr>
      </w:pPr>
      <w:r w:rsidRPr="009B4986">
        <w:rPr>
          <w:rFonts w:eastAsia="Times New Roman" w:cs="Arial"/>
          <w:iCs/>
          <w:szCs w:val="20"/>
          <w:lang w:eastAsia="sl-SI"/>
        </w:rPr>
        <w:t xml:space="preserve">Na podlagi petega odstavka 31. člena Zakona o izvrševanju proračunov Republike Slovenije za leti 2025 in 2026 (Uradni list RS, št. 104/24) je Vlada Republike Slovenije na seji dne………………sprejela naslednji </w:t>
      </w:r>
    </w:p>
    <w:p w14:paraId="295BEBB4" w14:textId="77777777" w:rsidR="00295552" w:rsidRDefault="00295552" w:rsidP="00295552">
      <w:pPr>
        <w:overflowPunct w:val="0"/>
        <w:autoSpaceDE w:val="0"/>
        <w:autoSpaceDN w:val="0"/>
        <w:adjustRightInd w:val="0"/>
        <w:spacing w:after="0" w:line="240" w:lineRule="auto"/>
        <w:jc w:val="both"/>
        <w:textAlignment w:val="baseline"/>
        <w:rPr>
          <w:rFonts w:eastAsia="Times New Roman" w:cs="Arial"/>
          <w:iCs/>
          <w:szCs w:val="20"/>
          <w:lang w:eastAsia="sl-SI"/>
        </w:rPr>
      </w:pPr>
    </w:p>
    <w:p w14:paraId="2CB897D5" w14:textId="77777777" w:rsidR="00295552" w:rsidRPr="009B4986" w:rsidRDefault="00295552" w:rsidP="00295552">
      <w:pPr>
        <w:overflowPunct w:val="0"/>
        <w:autoSpaceDE w:val="0"/>
        <w:autoSpaceDN w:val="0"/>
        <w:adjustRightInd w:val="0"/>
        <w:spacing w:after="0" w:line="240" w:lineRule="auto"/>
        <w:jc w:val="both"/>
        <w:textAlignment w:val="baseline"/>
        <w:rPr>
          <w:rFonts w:eastAsia="Times New Roman" w:cs="Arial"/>
          <w:iCs/>
          <w:szCs w:val="20"/>
          <w:lang w:eastAsia="sl-SI"/>
        </w:rPr>
      </w:pPr>
    </w:p>
    <w:p w14:paraId="466E195A" w14:textId="77777777" w:rsidR="00295552" w:rsidRDefault="00295552" w:rsidP="00295552">
      <w:pPr>
        <w:overflowPunct w:val="0"/>
        <w:autoSpaceDE w:val="0"/>
        <w:autoSpaceDN w:val="0"/>
        <w:adjustRightInd w:val="0"/>
        <w:spacing w:after="0" w:line="240" w:lineRule="auto"/>
        <w:jc w:val="center"/>
        <w:textAlignment w:val="baseline"/>
        <w:rPr>
          <w:rFonts w:eastAsia="Times New Roman" w:cs="Arial"/>
          <w:iCs/>
          <w:szCs w:val="20"/>
          <w:lang w:eastAsia="sl-SI"/>
        </w:rPr>
      </w:pPr>
      <w:r w:rsidRPr="009B4986">
        <w:rPr>
          <w:rFonts w:eastAsia="Times New Roman" w:cs="Arial"/>
          <w:iCs/>
          <w:szCs w:val="20"/>
          <w:lang w:eastAsia="sl-SI"/>
        </w:rPr>
        <w:t>SKLEP:</w:t>
      </w:r>
    </w:p>
    <w:p w14:paraId="2A8AD257" w14:textId="77777777" w:rsidR="00295552" w:rsidRPr="009B4986" w:rsidRDefault="00295552" w:rsidP="00295552">
      <w:pPr>
        <w:overflowPunct w:val="0"/>
        <w:autoSpaceDE w:val="0"/>
        <w:autoSpaceDN w:val="0"/>
        <w:adjustRightInd w:val="0"/>
        <w:spacing w:after="0" w:line="240" w:lineRule="auto"/>
        <w:jc w:val="center"/>
        <w:textAlignment w:val="baseline"/>
        <w:rPr>
          <w:rFonts w:eastAsia="Times New Roman" w:cs="Arial"/>
          <w:iCs/>
          <w:szCs w:val="20"/>
          <w:lang w:eastAsia="sl-SI"/>
        </w:rPr>
      </w:pPr>
    </w:p>
    <w:p w14:paraId="08CF7E0C" w14:textId="77777777" w:rsidR="00295552" w:rsidRPr="009B4986" w:rsidRDefault="00295552" w:rsidP="00295552">
      <w:pPr>
        <w:overflowPunct w:val="0"/>
        <w:autoSpaceDE w:val="0"/>
        <w:autoSpaceDN w:val="0"/>
        <w:adjustRightInd w:val="0"/>
        <w:spacing w:after="0" w:line="240" w:lineRule="auto"/>
        <w:jc w:val="center"/>
        <w:textAlignment w:val="baseline"/>
        <w:rPr>
          <w:rFonts w:eastAsia="Times New Roman" w:cs="Arial"/>
          <w:iCs/>
          <w:szCs w:val="20"/>
          <w:lang w:eastAsia="sl-SI"/>
        </w:rPr>
      </w:pPr>
    </w:p>
    <w:p w14:paraId="1B233880" w14:textId="77777777" w:rsidR="00295552" w:rsidRPr="00771E8C" w:rsidRDefault="00295552" w:rsidP="00295552">
      <w:pPr>
        <w:jc w:val="both"/>
        <w:rPr>
          <w:rFonts w:eastAsia="Times New Roman"/>
          <w:szCs w:val="24"/>
        </w:rPr>
      </w:pPr>
      <w:r w:rsidRPr="009B4986">
        <w:rPr>
          <w:rFonts w:eastAsia="Times New Roman"/>
          <w:iCs/>
          <w:szCs w:val="20"/>
        </w:rPr>
        <w:t>V veljavnem Načrtu razvojnih programov 2025–202</w:t>
      </w:r>
      <w:r>
        <w:rPr>
          <w:rFonts w:eastAsia="Times New Roman"/>
          <w:iCs/>
          <w:szCs w:val="20"/>
        </w:rPr>
        <w:t>8</w:t>
      </w:r>
      <w:r w:rsidRPr="009B4986">
        <w:rPr>
          <w:rFonts w:eastAsia="Times New Roman"/>
          <w:iCs/>
          <w:szCs w:val="20"/>
        </w:rPr>
        <w:t xml:space="preserve"> se, v skladu s podatki iz priložene tabele, poveča izhodiščna vrednost ter podaljša in ponovno uvrsti projekt, ki izhaja iz evidenčnega projekta </w:t>
      </w:r>
      <w:r w:rsidRPr="00771E8C">
        <w:rPr>
          <w:rFonts w:eastAsia="Times New Roman"/>
          <w:iCs/>
          <w:color w:val="000000"/>
          <w:szCs w:val="20"/>
        </w:rPr>
        <w:t>2611-13-0001 – n</w:t>
      </w:r>
      <w:r w:rsidRPr="00771E8C">
        <w:rPr>
          <w:rFonts w:eastAsia="Times New Roman"/>
          <w:iCs/>
          <w:szCs w:val="20"/>
        </w:rPr>
        <w:t>ovogradnje, adaptacije, rekonstrukcije, oprema za SV zavode, in sicer</w:t>
      </w:r>
      <w:r w:rsidRPr="00771E8C">
        <w:rPr>
          <w:rFonts w:eastAsia="Times New Roman"/>
          <w:iCs/>
          <w:color w:val="000000"/>
          <w:szCs w:val="20"/>
        </w:rPr>
        <w:t>: 2611-22-0905– Izgradnja delavnic - VDC Novo mesto, enota Trebnje</w:t>
      </w:r>
      <w:r w:rsidRPr="00771E8C">
        <w:rPr>
          <w:rFonts w:eastAsia="Times New Roman"/>
          <w:b/>
          <w:iCs/>
          <w:color w:val="000000"/>
          <w:szCs w:val="20"/>
        </w:rPr>
        <w:t xml:space="preserve">, </w:t>
      </w:r>
      <w:r w:rsidRPr="00771E8C">
        <w:rPr>
          <w:rFonts w:eastAsia="Times New Roman"/>
          <w:iCs/>
          <w:color w:val="000000"/>
          <w:szCs w:val="20"/>
        </w:rPr>
        <w:t xml:space="preserve">ki sodi v skupino projektov, 2611-13-S001 – </w:t>
      </w:r>
      <w:r w:rsidRPr="00771E8C">
        <w:rPr>
          <w:rFonts w:eastAsia="Times New Roman" w:cs="Arial"/>
          <w:szCs w:val="20"/>
        </w:rPr>
        <w:t>Poslovni prostori in oprema CSD, VDC, ZU in vozila</w:t>
      </w:r>
      <w:r w:rsidRPr="00771E8C">
        <w:rPr>
          <w:rFonts w:eastAsia="Times New Roman"/>
          <w:iCs/>
          <w:color w:val="000000"/>
          <w:szCs w:val="20"/>
        </w:rPr>
        <w:t>.</w:t>
      </w:r>
    </w:p>
    <w:p w14:paraId="31E30D99" w14:textId="77777777" w:rsidR="006E5450" w:rsidRPr="006E5450" w:rsidRDefault="006E5450" w:rsidP="006E5450">
      <w:pPr>
        <w:overflowPunct w:val="0"/>
        <w:autoSpaceDE w:val="0"/>
        <w:autoSpaceDN w:val="0"/>
        <w:adjustRightInd w:val="0"/>
        <w:spacing w:before="60" w:after="60" w:line="200" w:lineRule="exact"/>
        <w:ind w:left="720"/>
        <w:jc w:val="both"/>
        <w:rPr>
          <w:rFonts w:eastAsia="Times New Roman" w:cs="Arial"/>
          <w:iCs/>
          <w:color w:val="000000"/>
          <w:szCs w:val="20"/>
          <w:lang w:eastAsia="sl-SI"/>
        </w:rPr>
      </w:pPr>
    </w:p>
    <w:p w14:paraId="6E8D86F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680059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38634F24"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54DFF763"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highlight w:val="yellow"/>
          <w:lang w:eastAsia="sl-SI"/>
        </w:rPr>
      </w:pPr>
      <w:r w:rsidRPr="006E5450">
        <w:rPr>
          <w:rFonts w:eastAsia="Times New Roman" w:cs="Arial"/>
          <w:iCs/>
          <w:szCs w:val="20"/>
          <w:lang w:eastAsia="sl-SI"/>
        </w:rPr>
        <w:t xml:space="preserve">                                                                                       Barbara Kolenko Helbl</w:t>
      </w:r>
    </w:p>
    <w:p w14:paraId="2F226C9A"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r w:rsidRPr="006E5450">
        <w:rPr>
          <w:rFonts w:eastAsia="Times New Roman" w:cs="Arial"/>
          <w:iCs/>
          <w:szCs w:val="20"/>
          <w:lang w:eastAsia="sl-SI"/>
        </w:rPr>
        <w:t xml:space="preserve">                                                                                       generalna sekretarka</w:t>
      </w:r>
    </w:p>
    <w:p w14:paraId="56AD2F6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D006BF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BC67E"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43A93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76426378"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BEEDA11"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27D5B592"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4CA37463" w14:textId="77777777" w:rsidR="006E5450" w:rsidRPr="006E5450" w:rsidRDefault="006E5450" w:rsidP="006E5450">
      <w:pPr>
        <w:keepLines/>
        <w:spacing w:after="0" w:line="260" w:lineRule="exact"/>
        <w:jc w:val="both"/>
        <w:rPr>
          <w:rFonts w:eastAsia="Times New Roman" w:cs="Arial"/>
          <w:bCs/>
          <w:szCs w:val="20"/>
        </w:rPr>
      </w:pPr>
      <w:r w:rsidRPr="006E5450">
        <w:rPr>
          <w:rFonts w:eastAsia="Times New Roman" w:cs="Arial"/>
          <w:bCs/>
          <w:szCs w:val="20"/>
        </w:rPr>
        <w:t>Prejmeta:</w:t>
      </w:r>
    </w:p>
    <w:p w14:paraId="35B4C558" w14:textId="5B4F1506" w:rsidR="006E5450" w:rsidRPr="006E5450"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 xml:space="preserve">Ministrstvo za </w:t>
      </w:r>
      <w:r w:rsidR="000858AC">
        <w:rPr>
          <w:rFonts w:eastAsia="Times New Roman" w:cs="Arial"/>
          <w:bCs/>
          <w:szCs w:val="20"/>
          <w:lang w:eastAsia="sl-SI"/>
        </w:rPr>
        <w:t>solidarno prihodnost</w:t>
      </w:r>
      <w:r w:rsidRPr="006E5450">
        <w:rPr>
          <w:rFonts w:eastAsia="Times New Roman" w:cs="Arial"/>
          <w:bCs/>
          <w:szCs w:val="20"/>
          <w:lang w:eastAsia="sl-SI"/>
        </w:rPr>
        <w:t>,</w:t>
      </w:r>
    </w:p>
    <w:p w14:paraId="73039077" w14:textId="77777777" w:rsidR="006E5450" w:rsidRPr="006E5450" w:rsidRDefault="006E5450" w:rsidP="006E5450">
      <w:pPr>
        <w:keepLines/>
        <w:numPr>
          <w:ilvl w:val="0"/>
          <w:numId w:val="10"/>
        </w:numPr>
        <w:spacing w:after="0" w:line="260" w:lineRule="exact"/>
        <w:ind w:left="851"/>
        <w:contextualSpacing/>
        <w:jc w:val="both"/>
        <w:rPr>
          <w:rFonts w:eastAsia="Times New Roman" w:cs="Arial"/>
          <w:bCs/>
          <w:szCs w:val="20"/>
          <w:lang w:eastAsia="sl-SI"/>
        </w:rPr>
      </w:pPr>
      <w:r w:rsidRPr="006E5450">
        <w:rPr>
          <w:rFonts w:eastAsia="Times New Roman" w:cs="Arial"/>
          <w:bCs/>
          <w:szCs w:val="20"/>
          <w:lang w:eastAsia="sl-SI"/>
        </w:rPr>
        <w:t>Ministrstvo za finance.</w:t>
      </w:r>
    </w:p>
    <w:p w14:paraId="6ACA1AB7"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iCs/>
          <w:szCs w:val="20"/>
          <w:lang w:eastAsia="sl-SI"/>
        </w:rPr>
      </w:pPr>
    </w:p>
    <w:p w14:paraId="666FD77D"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bCs/>
          <w:szCs w:val="20"/>
          <w:lang w:eastAsia="sl-SI"/>
        </w:rPr>
      </w:pPr>
      <w:r w:rsidRPr="006E5450">
        <w:rPr>
          <w:rFonts w:eastAsia="Times New Roman" w:cs="Arial"/>
          <w:iCs/>
          <w:szCs w:val="20"/>
          <w:lang w:eastAsia="sl-SI"/>
        </w:rPr>
        <w:t xml:space="preserve">                                                                                       </w:t>
      </w:r>
    </w:p>
    <w:p w14:paraId="6BAABDBC" w14:textId="77777777" w:rsidR="006E5450" w:rsidRPr="006E5450" w:rsidRDefault="006E5450" w:rsidP="006E5450">
      <w:pPr>
        <w:overflowPunct w:val="0"/>
        <w:autoSpaceDE w:val="0"/>
        <w:autoSpaceDN w:val="0"/>
        <w:adjustRightInd w:val="0"/>
        <w:spacing w:before="60" w:after="60" w:line="200" w:lineRule="exact"/>
        <w:jc w:val="both"/>
        <w:textAlignment w:val="baseline"/>
        <w:rPr>
          <w:rFonts w:eastAsia="Times New Roman" w:cs="Arial"/>
          <w:sz w:val="22"/>
          <w:lang w:eastAsia="sl-SI"/>
        </w:rPr>
      </w:pPr>
    </w:p>
    <w:p w14:paraId="24ED6A97" w14:textId="431EEC83" w:rsidR="006E5450" w:rsidRDefault="006E5450"/>
    <w:sectPr w:rsidR="006E5450" w:rsidSect="006943C1">
      <w:headerReference w:type="first" r:id="rId9"/>
      <w:pgSz w:w="11906" w:h="16838"/>
      <w:pgMar w:top="185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F5AE" w14:textId="77777777" w:rsidR="0031567A" w:rsidRDefault="0031567A" w:rsidP="00BD6A1D">
      <w:pPr>
        <w:spacing w:after="0" w:line="240" w:lineRule="auto"/>
      </w:pPr>
      <w:r>
        <w:separator/>
      </w:r>
    </w:p>
  </w:endnote>
  <w:endnote w:type="continuationSeparator" w:id="0">
    <w:p w14:paraId="3B40EFCA" w14:textId="77777777" w:rsidR="0031567A" w:rsidRDefault="0031567A"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80F5" w14:textId="77777777" w:rsidR="0031567A" w:rsidRDefault="0031567A" w:rsidP="00BD6A1D">
      <w:pPr>
        <w:spacing w:after="0" w:line="240" w:lineRule="auto"/>
      </w:pPr>
      <w:r>
        <w:separator/>
      </w:r>
    </w:p>
  </w:footnote>
  <w:footnote w:type="continuationSeparator" w:id="0">
    <w:p w14:paraId="679467D3" w14:textId="77777777" w:rsidR="0031567A" w:rsidRDefault="0031567A"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629B" w14:textId="77777777" w:rsidR="009F5FFF" w:rsidRPr="00BD6A1D" w:rsidRDefault="00683232" w:rsidP="00BD6A1D">
    <w:pPr>
      <w:pStyle w:val="Glava"/>
      <w:tabs>
        <w:tab w:val="left" w:pos="5112"/>
      </w:tabs>
      <w:spacing w:line="240" w:lineRule="exact"/>
      <w:ind w:left="5103"/>
      <w:rPr>
        <w:rFonts w:cs="Arial"/>
        <w:sz w:val="16"/>
        <w:szCs w:val="16"/>
      </w:rPr>
    </w:pPr>
    <w:r>
      <w:rPr>
        <w:rFonts w:cs="Arial"/>
        <w:noProof/>
        <w:sz w:val="16"/>
        <w:szCs w:val="16"/>
      </w:rPr>
      <w:drawing>
        <wp:anchor distT="0" distB="0" distL="114300" distR="114300" simplePos="0" relativeHeight="251658240" behindDoc="0" locked="0" layoutInCell="1" allowOverlap="1" wp14:anchorId="7E037FAF" wp14:editId="67465FC6">
          <wp:simplePos x="0" y="0"/>
          <wp:positionH relativeFrom="page">
            <wp:align>left</wp:align>
          </wp:positionH>
          <wp:positionV relativeFrom="page">
            <wp:align>top</wp:align>
          </wp:positionV>
          <wp:extent cx="3535200" cy="1083600"/>
          <wp:effectExtent l="0" t="0" r="8255" b="2540"/>
          <wp:wrapSquare wrapText="bothSides"/>
          <wp:docPr id="11" name="Slika 1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3535200" cy="1083600"/>
                  </a:xfrm>
                  <a:prstGeom prst="rect">
                    <a:avLst/>
                  </a:prstGeom>
                </pic:spPr>
              </pic:pic>
            </a:graphicData>
          </a:graphic>
          <wp14:sizeRelH relativeFrom="margin">
            <wp14:pctWidth>0</wp14:pctWidth>
          </wp14:sizeRelH>
          <wp14:sizeRelV relativeFrom="margin">
            <wp14:pctHeight>0</wp14:pctHeight>
          </wp14:sizeRelV>
        </wp:anchor>
      </w:drawing>
    </w:r>
  </w:p>
  <w:p w14:paraId="4C60A741"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407EF2"/>
    <w:multiLevelType w:val="hybridMultilevel"/>
    <w:tmpl w:val="E244DBF6"/>
    <w:lvl w:ilvl="0" w:tplc="AF2CE064">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6132D38"/>
    <w:multiLevelType w:val="hybridMultilevel"/>
    <w:tmpl w:val="0BD2E17C"/>
    <w:lvl w:ilvl="0" w:tplc="AF2CE06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D14E2E"/>
    <w:multiLevelType w:val="hybridMultilevel"/>
    <w:tmpl w:val="E048EC0A"/>
    <w:lvl w:ilvl="0" w:tplc="04240001">
      <w:start w:val="1"/>
      <w:numFmt w:val="bullet"/>
      <w:lvlText w:val=""/>
      <w:lvlJc w:val="left"/>
      <w:pPr>
        <w:ind w:left="720" w:hanging="360"/>
      </w:pPr>
      <w:rPr>
        <w:rFonts w:ascii="Symbol" w:hAnsi="Symbol" w:hint="default"/>
      </w:rPr>
    </w:lvl>
    <w:lvl w:ilvl="1" w:tplc="AF2CE06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5476B0"/>
    <w:multiLevelType w:val="hybridMultilevel"/>
    <w:tmpl w:val="C1348A86"/>
    <w:lvl w:ilvl="0" w:tplc="AC4430B4">
      <w:start w:val="2"/>
      <w:numFmt w:val="bullet"/>
      <w:lvlText w:val="-"/>
      <w:lvlJc w:val="left"/>
      <w:pPr>
        <w:ind w:left="1429" w:hanging="360"/>
      </w:p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76364B20"/>
    <w:multiLevelType w:val="hybridMultilevel"/>
    <w:tmpl w:val="B74EB1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7391705">
    <w:abstractNumId w:val="0"/>
  </w:num>
  <w:num w:numId="2" w16cid:durableId="2131391868">
    <w:abstractNumId w:val="9"/>
  </w:num>
  <w:num w:numId="3" w16cid:durableId="485437145">
    <w:abstractNumId w:val="8"/>
  </w:num>
  <w:num w:numId="4" w16cid:durableId="1145198727">
    <w:abstractNumId w:val="10"/>
  </w:num>
  <w:num w:numId="5" w16cid:durableId="1578511121">
    <w:abstractNumId w:val="13"/>
  </w:num>
  <w:num w:numId="6" w16cid:durableId="883103004">
    <w:abstractNumId w:val="5"/>
  </w:num>
  <w:num w:numId="7" w16cid:durableId="1513908896">
    <w:abstractNumId w:val="2"/>
  </w:num>
  <w:num w:numId="8" w16cid:durableId="875242798">
    <w:abstractNumId w:val="6"/>
  </w:num>
  <w:num w:numId="9" w16cid:durableId="358628783">
    <w:abstractNumId w:val="3"/>
  </w:num>
  <w:num w:numId="10" w16cid:durableId="3073662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8427383">
    <w:abstractNumId w:val="12"/>
  </w:num>
  <w:num w:numId="12" w16cid:durableId="129370712">
    <w:abstractNumId w:val="4"/>
  </w:num>
  <w:num w:numId="13" w16cid:durableId="662860030">
    <w:abstractNumId w:val="1"/>
  </w:num>
  <w:num w:numId="14" w16cid:durableId="89623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01"/>
    <w:rsid w:val="000056D6"/>
    <w:rsid w:val="00005D4B"/>
    <w:rsid w:val="00006A51"/>
    <w:rsid w:val="00016653"/>
    <w:rsid w:val="00023EFD"/>
    <w:rsid w:val="000256FA"/>
    <w:rsid w:val="000260D8"/>
    <w:rsid w:val="00031D62"/>
    <w:rsid w:val="00033B69"/>
    <w:rsid w:val="00033D11"/>
    <w:rsid w:val="0003694D"/>
    <w:rsid w:val="000370A4"/>
    <w:rsid w:val="00037137"/>
    <w:rsid w:val="00037530"/>
    <w:rsid w:val="00041646"/>
    <w:rsid w:val="00043EE2"/>
    <w:rsid w:val="000469EA"/>
    <w:rsid w:val="00047F8B"/>
    <w:rsid w:val="00053AD0"/>
    <w:rsid w:val="0005791C"/>
    <w:rsid w:val="00063047"/>
    <w:rsid w:val="00064C6A"/>
    <w:rsid w:val="00070EF5"/>
    <w:rsid w:val="00072E58"/>
    <w:rsid w:val="0008543D"/>
    <w:rsid w:val="000858AC"/>
    <w:rsid w:val="00085BDA"/>
    <w:rsid w:val="00086470"/>
    <w:rsid w:val="000904E3"/>
    <w:rsid w:val="00092441"/>
    <w:rsid w:val="00094804"/>
    <w:rsid w:val="000A200B"/>
    <w:rsid w:val="000A355D"/>
    <w:rsid w:val="000A6D92"/>
    <w:rsid w:val="000A79F9"/>
    <w:rsid w:val="000B0226"/>
    <w:rsid w:val="000B1D20"/>
    <w:rsid w:val="000B4182"/>
    <w:rsid w:val="000B7566"/>
    <w:rsid w:val="000C327A"/>
    <w:rsid w:val="000C35AB"/>
    <w:rsid w:val="000D0A51"/>
    <w:rsid w:val="000D0F4D"/>
    <w:rsid w:val="000D4B53"/>
    <w:rsid w:val="000D5D7F"/>
    <w:rsid w:val="000D6646"/>
    <w:rsid w:val="000D7761"/>
    <w:rsid w:val="000E0AB5"/>
    <w:rsid w:val="000E1DE5"/>
    <w:rsid w:val="000F2CE1"/>
    <w:rsid w:val="00103C03"/>
    <w:rsid w:val="00105499"/>
    <w:rsid w:val="001106BB"/>
    <w:rsid w:val="00111994"/>
    <w:rsid w:val="00113D22"/>
    <w:rsid w:val="00123A17"/>
    <w:rsid w:val="00133E4A"/>
    <w:rsid w:val="00134190"/>
    <w:rsid w:val="001362D8"/>
    <w:rsid w:val="001405D7"/>
    <w:rsid w:val="00140EA7"/>
    <w:rsid w:val="00144C7E"/>
    <w:rsid w:val="00152D3A"/>
    <w:rsid w:val="001536A5"/>
    <w:rsid w:val="00165319"/>
    <w:rsid w:val="00171198"/>
    <w:rsid w:val="00171378"/>
    <w:rsid w:val="00173A3F"/>
    <w:rsid w:val="00175CAC"/>
    <w:rsid w:val="00177722"/>
    <w:rsid w:val="001872B1"/>
    <w:rsid w:val="00190281"/>
    <w:rsid w:val="00190E0A"/>
    <w:rsid w:val="00191468"/>
    <w:rsid w:val="001930E5"/>
    <w:rsid w:val="00193301"/>
    <w:rsid w:val="00195F0E"/>
    <w:rsid w:val="001973E4"/>
    <w:rsid w:val="001A161B"/>
    <w:rsid w:val="001A18FF"/>
    <w:rsid w:val="001A1F7D"/>
    <w:rsid w:val="001A7B01"/>
    <w:rsid w:val="001B5D01"/>
    <w:rsid w:val="001C6E7D"/>
    <w:rsid w:val="001C7F58"/>
    <w:rsid w:val="001D3B84"/>
    <w:rsid w:val="001D4243"/>
    <w:rsid w:val="001D526B"/>
    <w:rsid w:val="001E5463"/>
    <w:rsid w:val="001E772B"/>
    <w:rsid w:val="001F0B7E"/>
    <w:rsid w:val="001F134D"/>
    <w:rsid w:val="001F18D7"/>
    <w:rsid w:val="001F1AD7"/>
    <w:rsid w:val="001F3A9B"/>
    <w:rsid w:val="001F3E1E"/>
    <w:rsid w:val="001F5801"/>
    <w:rsid w:val="00201360"/>
    <w:rsid w:val="00203834"/>
    <w:rsid w:val="00205037"/>
    <w:rsid w:val="002050C4"/>
    <w:rsid w:val="0021132C"/>
    <w:rsid w:val="002139CD"/>
    <w:rsid w:val="002314B4"/>
    <w:rsid w:val="00231AE9"/>
    <w:rsid w:val="0023299A"/>
    <w:rsid w:val="00243BA1"/>
    <w:rsid w:val="0024622B"/>
    <w:rsid w:val="00252CBD"/>
    <w:rsid w:val="00260B0D"/>
    <w:rsid w:val="00263A02"/>
    <w:rsid w:val="002741EC"/>
    <w:rsid w:val="002808C0"/>
    <w:rsid w:val="00280D65"/>
    <w:rsid w:val="00281FD3"/>
    <w:rsid w:val="00282EDF"/>
    <w:rsid w:val="00283E8B"/>
    <w:rsid w:val="00285701"/>
    <w:rsid w:val="00295552"/>
    <w:rsid w:val="00295634"/>
    <w:rsid w:val="00296A2A"/>
    <w:rsid w:val="002975CC"/>
    <w:rsid w:val="00297B7C"/>
    <w:rsid w:val="002A0D94"/>
    <w:rsid w:val="002B0452"/>
    <w:rsid w:val="002B2BA1"/>
    <w:rsid w:val="002B4B7D"/>
    <w:rsid w:val="002C0ECF"/>
    <w:rsid w:val="002C32B9"/>
    <w:rsid w:val="002C4185"/>
    <w:rsid w:val="002C4311"/>
    <w:rsid w:val="002C4776"/>
    <w:rsid w:val="002D0E49"/>
    <w:rsid w:val="002E32ED"/>
    <w:rsid w:val="002E3A7B"/>
    <w:rsid w:val="002E579F"/>
    <w:rsid w:val="002F4BDE"/>
    <w:rsid w:val="002F7626"/>
    <w:rsid w:val="003000D7"/>
    <w:rsid w:val="003006B7"/>
    <w:rsid w:val="0030223A"/>
    <w:rsid w:val="003045F4"/>
    <w:rsid w:val="0030553A"/>
    <w:rsid w:val="00306464"/>
    <w:rsid w:val="00306956"/>
    <w:rsid w:val="003113EF"/>
    <w:rsid w:val="00311E23"/>
    <w:rsid w:val="00313172"/>
    <w:rsid w:val="00313DD0"/>
    <w:rsid w:val="0031567A"/>
    <w:rsid w:val="00317B62"/>
    <w:rsid w:val="00321A64"/>
    <w:rsid w:val="0032406F"/>
    <w:rsid w:val="00334783"/>
    <w:rsid w:val="00335B51"/>
    <w:rsid w:val="00341ED5"/>
    <w:rsid w:val="0034328E"/>
    <w:rsid w:val="00343E82"/>
    <w:rsid w:val="00344D41"/>
    <w:rsid w:val="00352B66"/>
    <w:rsid w:val="00353A01"/>
    <w:rsid w:val="003553D3"/>
    <w:rsid w:val="00363341"/>
    <w:rsid w:val="003666A5"/>
    <w:rsid w:val="00374331"/>
    <w:rsid w:val="00374BE0"/>
    <w:rsid w:val="00377E70"/>
    <w:rsid w:val="003812A7"/>
    <w:rsid w:val="00387CA1"/>
    <w:rsid w:val="00392F8A"/>
    <w:rsid w:val="00394038"/>
    <w:rsid w:val="003B2DA8"/>
    <w:rsid w:val="003B47ED"/>
    <w:rsid w:val="003C03A2"/>
    <w:rsid w:val="003C0EB9"/>
    <w:rsid w:val="003C474A"/>
    <w:rsid w:val="003C5297"/>
    <w:rsid w:val="003C55F1"/>
    <w:rsid w:val="003D14F8"/>
    <w:rsid w:val="003D69DD"/>
    <w:rsid w:val="003E39CB"/>
    <w:rsid w:val="004001ED"/>
    <w:rsid w:val="00400A84"/>
    <w:rsid w:val="004010F5"/>
    <w:rsid w:val="004039AD"/>
    <w:rsid w:val="00404136"/>
    <w:rsid w:val="00405D58"/>
    <w:rsid w:val="004106B9"/>
    <w:rsid w:val="00424243"/>
    <w:rsid w:val="00430892"/>
    <w:rsid w:val="0043352E"/>
    <w:rsid w:val="00436151"/>
    <w:rsid w:val="00437B22"/>
    <w:rsid w:val="00441CE5"/>
    <w:rsid w:val="00441E82"/>
    <w:rsid w:val="00442482"/>
    <w:rsid w:val="00443FAC"/>
    <w:rsid w:val="00450BA6"/>
    <w:rsid w:val="004526CF"/>
    <w:rsid w:val="00455560"/>
    <w:rsid w:val="00457F52"/>
    <w:rsid w:val="00464FD0"/>
    <w:rsid w:val="00465007"/>
    <w:rsid w:val="00465339"/>
    <w:rsid w:val="0046655C"/>
    <w:rsid w:val="0047112A"/>
    <w:rsid w:val="00471985"/>
    <w:rsid w:val="004818F7"/>
    <w:rsid w:val="00487446"/>
    <w:rsid w:val="004875BD"/>
    <w:rsid w:val="0049580C"/>
    <w:rsid w:val="00495E33"/>
    <w:rsid w:val="004A12FC"/>
    <w:rsid w:val="004A508F"/>
    <w:rsid w:val="004A642E"/>
    <w:rsid w:val="004B34EA"/>
    <w:rsid w:val="004B4898"/>
    <w:rsid w:val="004D2A86"/>
    <w:rsid w:val="004D2EE1"/>
    <w:rsid w:val="004D5B5F"/>
    <w:rsid w:val="004E1309"/>
    <w:rsid w:val="004E1F41"/>
    <w:rsid w:val="004E419B"/>
    <w:rsid w:val="004E5809"/>
    <w:rsid w:val="004F1894"/>
    <w:rsid w:val="004F3EAF"/>
    <w:rsid w:val="00501B78"/>
    <w:rsid w:val="00502070"/>
    <w:rsid w:val="00503E36"/>
    <w:rsid w:val="005047DD"/>
    <w:rsid w:val="0050606B"/>
    <w:rsid w:val="005103E9"/>
    <w:rsid w:val="005113DC"/>
    <w:rsid w:val="005143E3"/>
    <w:rsid w:val="00514EBF"/>
    <w:rsid w:val="00516080"/>
    <w:rsid w:val="00517027"/>
    <w:rsid w:val="00517F7D"/>
    <w:rsid w:val="005304D1"/>
    <w:rsid w:val="00530740"/>
    <w:rsid w:val="00530D9D"/>
    <w:rsid w:val="0053551E"/>
    <w:rsid w:val="00536BDE"/>
    <w:rsid w:val="005404B4"/>
    <w:rsid w:val="00541200"/>
    <w:rsid w:val="00542A26"/>
    <w:rsid w:val="00542F8F"/>
    <w:rsid w:val="00546279"/>
    <w:rsid w:val="00550775"/>
    <w:rsid w:val="005543A1"/>
    <w:rsid w:val="00554E6F"/>
    <w:rsid w:val="0055795E"/>
    <w:rsid w:val="0056065B"/>
    <w:rsid w:val="0056092E"/>
    <w:rsid w:val="005626B4"/>
    <w:rsid w:val="005628CE"/>
    <w:rsid w:val="005631BF"/>
    <w:rsid w:val="00566CBA"/>
    <w:rsid w:val="00566E0B"/>
    <w:rsid w:val="00577616"/>
    <w:rsid w:val="005806CA"/>
    <w:rsid w:val="00584568"/>
    <w:rsid w:val="0059412F"/>
    <w:rsid w:val="00594BAB"/>
    <w:rsid w:val="005950D8"/>
    <w:rsid w:val="0059582E"/>
    <w:rsid w:val="00595BDD"/>
    <w:rsid w:val="00596C43"/>
    <w:rsid w:val="00597972"/>
    <w:rsid w:val="00597BDE"/>
    <w:rsid w:val="005A0491"/>
    <w:rsid w:val="005A593D"/>
    <w:rsid w:val="005B0728"/>
    <w:rsid w:val="005C0301"/>
    <w:rsid w:val="005C3D84"/>
    <w:rsid w:val="005C4967"/>
    <w:rsid w:val="005C5929"/>
    <w:rsid w:val="005D0B8D"/>
    <w:rsid w:val="005D3949"/>
    <w:rsid w:val="005D6299"/>
    <w:rsid w:val="005E050F"/>
    <w:rsid w:val="005E481A"/>
    <w:rsid w:val="005F0AB5"/>
    <w:rsid w:val="005F2D29"/>
    <w:rsid w:val="005F6B31"/>
    <w:rsid w:val="006006CD"/>
    <w:rsid w:val="00611C9F"/>
    <w:rsid w:val="006144D6"/>
    <w:rsid w:val="00637336"/>
    <w:rsid w:val="006472A3"/>
    <w:rsid w:val="00650B1D"/>
    <w:rsid w:val="00652C9D"/>
    <w:rsid w:val="0065458B"/>
    <w:rsid w:val="00660293"/>
    <w:rsid w:val="006644BE"/>
    <w:rsid w:val="00666542"/>
    <w:rsid w:val="006679CB"/>
    <w:rsid w:val="00672DE9"/>
    <w:rsid w:val="00680A10"/>
    <w:rsid w:val="00681489"/>
    <w:rsid w:val="00683232"/>
    <w:rsid w:val="00683295"/>
    <w:rsid w:val="006834B0"/>
    <w:rsid w:val="006869E1"/>
    <w:rsid w:val="006901A0"/>
    <w:rsid w:val="00692BA6"/>
    <w:rsid w:val="006943C1"/>
    <w:rsid w:val="00694D20"/>
    <w:rsid w:val="00695EC3"/>
    <w:rsid w:val="00697AC1"/>
    <w:rsid w:val="006A0B81"/>
    <w:rsid w:val="006A369E"/>
    <w:rsid w:val="006A3A96"/>
    <w:rsid w:val="006A7EA4"/>
    <w:rsid w:val="006B026B"/>
    <w:rsid w:val="006C04F0"/>
    <w:rsid w:val="006C2E8B"/>
    <w:rsid w:val="006C4DDD"/>
    <w:rsid w:val="006D2817"/>
    <w:rsid w:val="006D5DBD"/>
    <w:rsid w:val="006E1AAF"/>
    <w:rsid w:val="006E5450"/>
    <w:rsid w:val="006F1DE8"/>
    <w:rsid w:val="006F4050"/>
    <w:rsid w:val="006F4B5D"/>
    <w:rsid w:val="006F6E40"/>
    <w:rsid w:val="00700B6E"/>
    <w:rsid w:val="0070516C"/>
    <w:rsid w:val="007102F1"/>
    <w:rsid w:val="00710FD5"/>
    <w:rsid w:val="00712EE1"/>
    <w:rsid w:val="007208EE"/>
    <w:rsid w:val="00722283"/>
    <w:rsid w:val="0072392C"/>
    <w:rsid w:val="00724171"/>
    <w:rsid w:val="00736FA9"/>
    <w:rsid w:val="007472FB"/>
    <w:rsid w:val="00747D51"/>
    <w:rsid w:val="007517FA"/>
    <w:rsid w:val="00752A4E"/>
    <w:rsid w:val="00753C89"/>
    <w:rsid w:val="00765F81"/>
    <w:rsid w:val="00766FC4"/>
    <w:rsid w:val="00771E8C"/>
    <w:rsid w:val="00772B96"/>
    <w:rsid w:val="007825EA"/>
    <w:rsid w:val="00785613"/>
    <w:rsid w:val="00785D2A"/>
    <w:rsid w:val="00791772"/>
    <w:rsid w:val="007917F7"/>
    <w:rsid w:val="0079182D"/>
    <w:rsid w:val="00791E76"/>
    <w:rsid w:val="00792F9D"/>
    <w:rsid w:val="00794550"/>
    <w:rsid w:val="00796FA8"/>
    <w:rsid w:val="007A1D86"/>
    <w:rsid w:val="007A3E6F"/>
    <w:rsid w:val="007B3CE7"/>
    <w:rsid w:val="007B5944"/>
    <w:rsid w:val="007C2FFC"/>
    <w:rsid w:val="007C7E12"/>
    <w:rsid w:val="007D0F3A"/>
    <w:rsid w:val="007D1FFC"/>
    <w:rsid w:val="007D2FDE"/>
    <w:rsid w:val="007D329E"/>
    <w:rsid w:val="007D4C46"/>
    <w:rsid w:val="007D628C"/>
    <w:rsid w:val="007D6E2D"/>
    <w:rsid w:val="007E7A89"/>
    <w:rsid w:val="007F1424"/>
    <w:rsid w:val="007F2270"/>
    <w:rsid w:val="007F3D31"/>
    <w:rsid w:val="007F50D0"/>
    <w:rsid w:val="007F5210"/>
    <w:rsid w:val="008059E5"/>
    <w:rsid w:val="00815794"/>
    <w:rsid w:val="0082208C"/>
    <w:rsid w:val="00823A09"/>
    <w:rsid w:val="008257EB"/>
    <w:rsid w:val="00827D7B"/>
    <w:rsid w:val="008320E6"/>
    <w:rsid w:val="008359B5"/>
    <w:rsid w:val="008404F5"/>
    <w:rsid w:val="00840F12"/>
    <w:rsid w:val="00841CE8"/>
    <w:rsid w:val="00850D20"/>
    <w:rsid w:val="00853F6F"/>
    <w:rsid w:val="00855965"/>
    <w:rsid w:val="00857188"/>
    <w:rsid w:val="008704F1"/>
    <w:rsid w:val="00871A9E"/>
    <w:rsid w:val="00872EE3"/>
    <w:rsid w:val="00873DEB"/>
    <w:rsid w:val="00874372"/>
    <w:rsid w:val="008758B5"/>
    <w:rsid w:val="008771F3"/>
    <w:rsid w:val="008803B1"/>
    <w:rsid w:val="00881F5D"/>
    <w:rsid w:val="00882C3C"/>
    <w:rsid w:val="0088671C"/>
    <w:rsid w:val="0089600B"/>
    <w:rsid w:val="008A01D8"/>
    <w:rsid w:val="008A0A69"/>
    <w:rsid w:val="008A25A5"/>
    <w:rsid w:val="008A2A0E"/>
    <w:rsid w:val="008A73B1"/>
    <w:rsid w:val="008B0C91"/>
    <w:rsid w:val="008B1171"/>
    <w:rsid w:val="008C78D1"/>
    <w:rsid w:val="008D1F49"/>
    <w:rsid w:val="008D2923"/>
    <w:rsid w:val="008D7003"/>
    <w:rsid w:val="008E13F6"/>
    <w:rsid w:val="008E2F44"/>
    <w:rsid w:val="008E3607"/>
    <w:rsid w:val="008E3F2C"/>
    <w:rsid w:val="008E66DE"/>
    <w:rsid w:val="008E74A7"/>
    <w:rsid w:val="008E7598"/>
    <w:rsid w:val="008E7D5F"/>
    <w:rsid w:val="008F1603"/>
    <w:rsid w:val="008F210F"/>
    <w:rsid w:val="008F6CF1"/>
    <w:rsid w:val="008F7206"/>
    <w:rsid w:val="009002EC"/>
    <w:rsid w:val="00900E14"/>
    <w:rsid w:val="0090196F"/>
    <w:rsid w:val="00913EAB"/>
    <w:rsid w:val="009152F5"/>
    <w:rsid w:val="009208B4"/>
    <w:rsid w:val="0092732F"/>
    <w:rsid w:val="00927A46"/>
    <w:rsid w:val="00930048"/>
    <w:rsid w:val="00932ECD"/>
    <w:rsid w:val="00933C2B"/>
    <w:rsid w:val="00935C84"/>
    <w:rsid w:val="009466E1"/>
    <w:rsid w:val="00950CEF"/>
    <w:rsid w:val="00955EF1"/>
    <w:rsid w:val="00956375"/>
    <w:rsid w:val="00957BF2"/>
    <w:rsid w:val="00960D7B"/>
    <w:rsid w:val="00962ED5"/>
    <w:rsid w:val="00963186"/>
    <w:rsid w:val="009640B6"/>
    <w:rsid w:val="00964E3D"/>
    <w:rsid w:val="009679D0"/>
    <w:rsid w:val="0097108F"/>
    <w:rsid w:val="009750C9"/>
    <w:rsid w:val="0098067D"/>
    <w:rsid w:val="009806BD"/>
    <w:rsid w:val="0098604B"/>
    <w:rsid w:val="00990888"/>
    <w:rsid w:val="00994792"/>
    <w:rsid w:val="00996CD5"/>
    <w:rsid w:val="009A0932"/>
    <w:rsid w:val="009A1574"/>
    <w:rsid w:val="009A2836"/>
    <w:rsid w:val="009A307B"/>
    <w:rsid w:val="009B2063"/>
    <w:rsid w:val="009B36F6"/>
    <w:rsid w:val="009B4986"/>
    <w:rsid w:val="009B6F19"/>
    <w:rsid w:val="009C010A"/>
    <w:rsid w:val="009C0E87"/>
    <w:rsid w:val="009C1CE5"/>
    <w:rsid w:val="009C37B9"/>
    <w:rsid w:val="009C7D22"/>
    <w:rsid w:val="009D1CD9"/>
    <w:rsid w:val="009D63BF"/>
    <w:rsid w:val="009E2E85"/>
    <w:rsid w:val="009E35E9"/>
    <w:rsid w:val="009E3CA8"/>
    <w:rsid w:val="009E5A53"/>
    <w:rsid w:val="009F4030"/>
    <w:rsid w:val="009F4B7A"/>
    <w:rsid w:val="009F5FFF"/>
    <w:rsid w:val="00A06F18"/>
    <w:rsid w:val="00A11D54"/>
    <w:rsid w:val="00A13746"/>
    <w:rsid w:val="00A1687A"/>
    <w:rsid w:val="00A17AD1"/>
    <w:rsid w:val="00A17F54"/>
    <w:rsid w:val="00A26FE2"/>
    <w:rsid w:val="00A27F1A"/>
    <w:rsid w:val="00A330BC"/>
    <w:rsid w:val="00A34595"/>
    <w:rsid w:val="00A36BD5"/>
    <w:rsid w:val="00A41416"/>
    <w:rsid w:val="00A45429"/>
    <w:rsid w:val="00A5059B"/>
    <w:rsid w:val="00A51134"/>
    <w:rsid w:val="00A5215A"/>
    <w:rsid w:val="00A54D86"/>
    <w:rsid w:val="00A65A46"/>
    <w:rsid w:val="00A711FA"/>
    <w:rsid w:val="00A742F5"/>
    <w:rsid w:val="00A75EB1"/>
    <w:rsid w:val="00A76C72"/>
    <w:rsid w:val="00A83104"/>
    <w:rsid w:val="00A9050A"/>
    <w:rsid w:val="00A97302"/>
    <w:rsid w:val="00AA1EE9"/>
    <w:rsid w:val="00AA4B42"/>
    <w:rsid w:val="00AA7734"/>
    <w:rsid w:val="00AA7CFE"/>
    <w:rsid w:val="00AB23BA"/>
    <w:rsid w:val="00AB2A4F"/>
    <w:rsid w:val="00AC3FF4"/>
    <w:rsid w:val="00AC4C8A"/>
    <w:rsid w:val="00AC594C"/>
    <w:rsid w:val="00AD0810"/>
    <w:rsid w:val="00AD2F63"/>
    <w:rsid w:val="00AD4BAA"/>
    <w:rsid w:val="00AD5E8B"/>
    <w:rsid w:val="00AD7FC0"/>
    <w:rsid w:val="00AE0F38"/>
    <w:rsid w:val="00AE1656"/>
    <w:rsid w:val="00AE1F83"/>
    <w:rsid w:val="00B012E0"/>
    <w:rsid w:val="00B05775"/>
    <w:rsid w:val="00B0740C"/>
    <w:rsid w:val="00B1099B"/>
    <w:rsid w:val="00B133E5"/>
    <w:rsid w:val="00B17F52"/>
    <w:rsid w:val="00B24F3B"/>
    <w:rsid w:val="00B30846"/>
    <w:rsid w:val="00B30CCB"/>
    <w:rsid w:val="00B33D20"/>
    <w:rsid w:val="00B35482"/>
    <w:rsid w:val="00B379A0"/>
    <w:rsid w:val="00B43160"/>
    <w:rsid w:val="00B45E38"/>
    <w:rsid w:val="00B47579"/>
    <w:rsid w:val="00B47848"/>
    <w:rsid w:val="00B47C21"/>
    <w:rsid w:val="00B51A08"/>
    <w:rsid w:val="00B53490"/>
    <w:rsid w:val="00B74247"/>
    <w:rsid w:val="00B75324"/>
    <w:rsid w:val="00B80348"/>
    <w:rsid w:val="00B80402"/>
    <w:rsid w:val="00B835A6"/>
    <w:rsid w:val="00B83CDA"/>
    <w:rsid w:val="00B84B5A"/>
    <w:rsid w:val="00B84E65"/>
    <w:rsid w:val="00B93CC2"/>
    <w:rsid w:val="00B97869"/>
    <w:rsid w:val="00BA22EC"/>
    <w:rsid w:val="00BA2BF5"/>
    <w:rsid w:val="00BA4D38"/>
    <w:rsid w:val="00BC1355"/>
    <w:rsid w:val="00BD0AE7"/>
    <w:rsid w:val="00BD5D3B"/>
    <w:rsid w:val="00BD6A1D"/>
    <w:rsid w:val="00BF1740"/>
    <w:rsid w:val="00C06CE2"/>
    <w:rsid w:val="00C11FA5"/>
    <w:rsid w:val="00C12103"/>
    <w:rsid w:val="00C12AA2"/>
    <w:rsid w:val="00C170D8"/>
    <w:rsid w:val="00C17D1A"/>
    <w:rsid w:val="00C24825"/>
    <w:rsid w:val="00C24B2C"/>
    <w:rsid w:val="00C25AEE"/>
    <w:rsid w:val="00C34CA0"/>
    <w:rsid w:val="00C35846"/>
    <w:rsid w:val="00C35CED"/>
    <w:rsid w:val="00C37180"/>
    <w:rsid w:val="00C44C5F"/>
    <w:rsid w:val="00C463C7"/>
    <w:rsid w:val="00C4759F"/>
    <w:rsid w:val="00C55F16"/>
    <w:rsid w:val="00C56723"/>
    <w:rsid w:val="00C65144"/>
    <w:rsid w:val="00C672A1"/>
    <w:rsid w:val="00C67AD0"/>
    <w:rsid w:val="00C70C2C"/>
    <w:rsid w:val="00C81CA6"/>
    <w:rsid w:val="00C90ABB"/>
    <w:rsid w:val="00C91345"/>
    <w:rsid w:val="00C9741B"/>
    <w:rsid w:val="00CA52A8"/>
    <w:rsid w:val="00CA79C7"/>
    <w:rsid w:val="00CB1F91"/>
    <w:rsid w:val="00CB49B6"/>
    <w:rsid w:val="00CB4A60"/>
    <w:rsid w:val="00CC1DF2"/>
    <w:rsid w:val="00CC5598"/>
    <w:rsid w:val="00CD02DE"/>
    <w:rsid w:val="00CD13A9"/>
    <w:rsid w:val="00CD1942"/>
    <w:rsid w:val="00CD4E17"/>
    <w:rsid w:val="00CD612F"/>
    <w:rsid w:val="00CE675B"/>
    <w:rsid w:val="00CF0377"/>
    <w:rsid w:val="00CF6512"/>
    <w:rsid w:val="00D04881"/>
    <w:rsid w:val="00D05E13"/>
    <w:rsid w:val="00D05F7C"/>
    <w:rsid w:val="00D06888"/>
    <w:rsid w:val="00D124E7"/>
    <w:rsid w:val="00D1358D"/>
    <w:rsid w:val="00D25CE5"/>
    <w:rsid w:val="00D25FC9"/>
    <w:rsid w:val="00D26142"/>
    <w:rsid w:val="00D3221C"/>
    <w:rsid w:val="00D343DA"/>
    <w:rsid w:val="00D41D6F"/>
    <w:rsid w:val="00D42B9C"/>
    <w:rsid w:val="00D46C21"/>
    <w:rsid w:val="00D508D8"/>
    <w:rsid w:val="00D51502"/>
    <w:rsid w:val="00D51885"/>
    <w:rsid w:val="00D575A9"/>
    <w:rsid w:val="00D66439"/>
    <w:rsid w:val="00D7180C"/>
    <w:rsid w:val="00D73D11"/>
    <w:rsid w:val="00D74241"/>
    <w:rsid w:val="00D74917"/>
    <w:rsid w:val="00D91990"/>
    <w:rsid w:val="00DA2021"/>
    <w:rsid w:val="00DA2CE0"/>
    <w:rsid w:val="00DA3DFA"/>
    <w:rsid w:val="00DA7DF3"/>
    <w:rsid w:val="00DB092C"/>
    <w:rsid w:val="00DB1DD4"/>
    <w:rsid w:val="00DB2A2B"/>
    <w:rsid w:val="00DB5094"/>
    <w:rsid w:val="00DB661D"/>
    <w:rsid w:val="00DB6F6A"/>
    <w:rsid w:val="00DC1FEB"/>
    <w:rsid w:val="00DC36AB"/>
    <w:rsid w:val="00DC6D4A"/>
    <w:rsid w:val="00DD71C5"/>
    <w:rsid w:val="00DE392A"/>
    <w:rsid w:val="00DE3DBC"/>
    <w:rsid w:val="00DE4687"/>
    <w:rsid w:val="00DE6225"/>
    <w:rsid w:val="00DF162E"/>
    <w:rsid w:val="00DF4290"/>
    <w:rsid w:val="00E00063"/>
    <w:rsid w:val="00E04DF6"/>
    <w:rsid w:val="00E06B44"/>
    <w:rsid w:val="00E1620A"/>
    <w:rsid w:val="00E23726"/>
    <w:rsid w:val="00E24658"/>
    <w:rsid w:val="00E261E6"/>
    <w:rsid w:val="00E31D86"/>
    <w:rsid w:val="00E34570"/>
    <w:rsid w:val="00E35143"/>
    <w:rsid w:val="00E3754A"/>
    <w:rsid w:val="00E51D56"/>
    <w:rsid w:val="00E54664"/>
    <w:rsid w:val="00E55816"/>
    <w:rsid w:val="00E646BD"/>
    <w:rsid w:val="00E73D20"/>
    <w:rsid w:val="00E778E9"/>
    <w:rsid w:val="00E8007B"/>
    <w:rsid w:val="00E84360"/>
    <w:rsid w:val="00E878BF"/>
    <w:rsid w:val="00E917FD"/>
    <w:rsid w:val="00E9240F"/>
    <w:rsid w:val="00E95A2A"/>
    <w:rsid w:val="00E97665"/>
    <w:rsid w:val="00E97FB7"/>
    <w:rsid w:val="00EA12FD"/>
    <w:rsid w:val="00EB2B19"/>
    <w:rsid w:val="00EC0ADC"/>
    <w:rsid w:val="00EC16BA"/>
    <w:rsid w:val="00EC1D01"/>
    <w:rsid w:val="00ED001F"/>
    <w:rsid w:val="00ED1A2A"/>
    <w:rsid w:val="00ED371F"/>
    <w:rsid w:val="00ED6299"/>
    <w:rsid w:val="00ED7841"/>
    <w:rsid w:val="00EE3928"/>
    <w:rsid w:val="00EE49A6"/>
    <w:rsid w:val="00EE6F0D"/>
    <w:rsid w:val="00EE70CA"/>
    <w:rsid w:val="00EF168C"/>
    <w:rsid w:val="00EF4012"/>
    <w:rsid w:val="00EF4A9E"/>
    <w:rsid w:val="00EF4E1D"/>
    <w:rsid w:val="00EF5943"/>
    <w:rsid w:val="00EF6986"/>
    <w:rsid w:val="00EF7CC0"/>
    <w:rsid w:val="00F02EA5"/>
    <w:rsid w:val="00F11DAC"/>
    <w:rsid w:val="00F1555E"/>
    <w:rsid w:val="00F16961"/>
    <w:rsid w:val="00F21295"/>
    <w:rsid w:val="00F22550"/>
    <w:rsid w:val="00F270F8"/>
    <w:rsid w:val="00F42075"/>
    <w:rsid w:val="00F420EF"/>
    <w:rsid w:val="00F51C57"/>
    <w:rsid w:val="00F51CC2"/>
    <w:rsid w:val="00F569A3"/>
    <w:rsid w:val="00F62328"/>
    <w:rsid w:val="00F62994"/>
    <w:rsid w:val="00F82DE5"/>
    <w:rsid w:val="00F97901"/>
    <w:rsid w:val="00FA46CA"/>
    <w:rsid w:val="00FA4707"/>
    <w:rsid w:val="00FB397B"/>
    <w:rsid w:val="00FB3E3E"/>
    <w:rsid w:val="00FB439C"/>
    <w:rsid w:val="00FB43B0"/>
    <w:rsid w:val="00FB4D1B"/>
    <w:rsid w:val="00FB6FF0"/>
    <w:rsid w:val="00FC4F6D"/>
    <w:rsid w:val="00FC7849"/>
    <w:rsid w:val="00FD38CF"/>
    <w:rsid w:val="00FD63B4"/>
    <w:rsid w:val="00FE3A3A"/>
    <w:rsid w:val="00FE5B06"/>
    <w:rsid w:val="00FF0233"/>
    <w:rsid w:val="00FF054C"/>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EBB9E"/>
  <w15:docId w15:val="{77430641-F24F-45B5-8263-F146C9B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95552"/>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styleId="Nerazreenaomemba">
    <w:name w:val="Unresolved Mention"/>
    <w:basedOn w:val="Privzetapisavaodstavka"/>
    <w:uiPriority w:val="99"/>
    <w:semiHidden/>
    <w:unhideWhenUsed/>
    <w:rsid w:val="00683232"/>
    <w:rPr>
      <w:color w:val="605E5C"/>
      <w:shd w:val="clear" w:color="auto" w:fill="E1DFDD"/>
    </w:rPr>
  </w:style>
  <w:style w:type="paragraph" w:customStyle="1" w:styleId="Neotevilenodstavek">
    <w:name w:val="Neoštevilčen odstavek"/>
    <w:basedOn w:val="Navaden"/>
    <w:link w:val="NeotevilenodstavekZnak"/>
    <w:uiPriority w:val="99"/>
    <w:qFormat/>
    <w:rsid w:val="00193301"/>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uiPriority w:val="99"/>
    <w:rsid w:val="00193301"/>
    <w:rPr>
      <w:rFonts w:ascii="Arial" w:eastAsia="Times New Roman" w:hAnsi="Arial" w:cs="Arial"/>
      <w:lang w:eastAsia="sl-SI"/>
    </w:rPr>
  </w:style>
  <w:style w:type="paragraph" w:styleId="Odstavekseznama">
    <w:name w:val="List Paragraph"/>
    <w:basedOn w:val="Navaden"/>
    <w:uiPriority w:val="34"/>
    <w:qFormat/>
    <w:rsid w:val="00193301"/>
    <w:pPr>
      <w:spacing w:after="0" w:line="240" w:lineRule="auto"/>
      <w:ind w:left="708"/>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212124">
      <w:bodyDiv w:val="1"/>
      <w:marLeft w:val="0"/>
      <w:marRight w:val="0"/>
      <w:marTop w:val="0"/>
      <w:marBottom w:val="0"/>
      <w:divBdr>
        <w:top w:val="none" w:sz="0" w:space="0" w:color="auto"/>
        <w:left w:val="none" w:sz="0" w:space="0" w:color="auto"/>
        <w:bottom w:val="none" w:sz="0" w:space="0" w:color="auto"/>
        <w:right w:val="none" w:sz="0" w:space="0" w:color="auto"/>
      </w:divBdr>
    </w:div>
    <w:div w:id="1555893604">
      <w:bodyDiv w:val="1"/>
      <w:marLeft w:val="0"/>
      <w:marRight w:val="0"/>
      <w:marTop w:val="0"/>
      <w:marBottom w:val="0"/>
      <w:divBdr>
        <w:top w:val="none" w:sz="0" w:space="0" w:color="auto"/>
        <w:left w:val="none" w:sz="0" w:space="0" w:color="auto"/>
        <w:bottom w:val="none" w:sz="0" w:space="0" w:color="auto"/>
        <w:right w:val="none" w:sz="0" w:space="0" w:color="auto"/>
      </w:divBdr>
    </w:div>
    <w:div w:id="17763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hyperlink" Target="http://www.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SP\Predloge\Vladno%20gradivo%20-%20priloga%20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Vladno gradivo - priloga 1</Template>
  <TotalTime>4</TotalTime>
  <Pages>8</Pages>
  <Words>2462</Words>
  <Characters>14037</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Mally Dovč</dc:creator>
  <cp:keywords/>
  <dc:description/>
  <cp:lastModifiedBy>Maja Mally Dovč</cp:lastModifiedBy>
  <cp:revision>4</cp:revision>
  <cp:lastPrinted>2024-04-08T07:56:00Z</cp:lastPrinted>
  <dcterms:created xsi:type="dcterms:W3CDTF">2025-03-28T08:30:00Z</dcterms:created>
  <dcterms:modified xsi:type="dcterms:W3CDTF">2025-04-02T05:01:00Z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