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D7" w:rsidRPr="00AA4D99" w:rsidRDefault="00AC01D7" w:rsidP="00AC1505">
      <w:pPr>
        <w:tabs>
          <w:tab w:val="left" w:pos="1290"/>
        </w:tabs>
        <w:spacing w:before="20" w:after="20"/>
        <w:rPr>
          <w:rFonts w:cs="Arial"/>
          <w:b/>
          <w:szCs w:val="20"/>
          <w:lang w:val="sl-SI"/>
        </w:rPr>
      </w:pPr>
      <w:r w:rsidRPr="00AA4D99">
        <w:rPr>
          <w:rFonts w:cs="Arial"/>
          <w:b/>
          <w:szCs w:val="20"/>
          <w:lang w:val="sl-SI"/>
        </w:rPr>
        <w:t xml:space="preserve">Številka:  </w:t>
      </w:r>
      <w:r w:rsidRPr="00AA4D99">
        <w:rPr>
          <w:rFonts w:cs="Arial"/>
          <w:b/>
          <w:i/>
          <w:szCs w:val="20"/>
          <w:lang w:val="sl-SI"/>
        </w:rPr>
        <w:t>545641-44/2023 / 1</w:t>
      </w:r>
    </w:p>
    <w:p w:rsidR="00AC01D7" w:rsidRPr="00AA4D99" w:rsidRDefault="00AC01D7" w:rsidP="00AC1505">
      <w:pPr>
        <w:spacing w:before="20" w:after="20"/>
        <w:rPr>
          <w:rFonts w:cs="Arial"/>
          <w:b/>
          <w:szCs w:val="20"/>
          <w:lang w:val="sl-SI"/>
        </w:rPr>
      </w:pPr>
      <w:r w:rsidRPr="00AA4D99">
        <w:rPr>
          <w:rFonts w:cs="Arial"/>
          <w:b/>
          <w:szCs w:val="20"/>
          <w:lang w:val="sl-SI"/>
        </w:rPr>
        <w:t xml:space="preserve">Ljubljana, dne </w:t>
      </w:r>
      <w:r w:rsidRPr="00AA4D99">
        <w:rPr>
          <w:rFonts w:cs="Arial"/>
          <w:b/>
          <w:i/>
          <w:color w:val="000000"/>
          <w:szCs w:val="20"/>
          <w:lang w:val="sl-SI"/>
        </w:rPr>
        <w:t>20. 09. 2023</w:t>
      </w:r>
    </w:p>
    <w:p w:rsidR="00AC01D7" w:rsidRPr="00AA4D99" w:rsidRDefault="00AC01D7" w:rsidP="00AC1505">
      <w:pPr>
        <w:spacing w:before="20" w:after="20"/>
        <w:rPr>
          <w:rFonts w:cs="Arial"/>
          <w:b/>
          <w:i/>
          <w:szCs w:val="20"/>
          <w:lang w:val="sl-SI"/>
        </w:rPr>
      </w:pPr>
    </w:p>
    <w:p w:rsidR="00AC01D7" w:rsidRPr="00AA4D99" w:rsidRDefault="00AC01D7" w:rsidP="00AC1505">
      <w:pPr>
        <w:spacing w:before="20" w:after="20"/>
        <w:rPr>
          <w:rFonts w:cs="Arial"/>
          <w:i/>
          <w:szCs w:val="20"/>
          <w:lang w:val="sl-SI"/>
        </w:rPr>
      </w:pPr>
    </w:p>
    <w:p w:rsidR="00AC01D7" w:rsidRPr="00AA4D99" w:rsidRDefault="00AC01D7" w:rsidP="00AC1505">
      <w:pPr>
        <w:spacing w:before="20" w:after="20"/>
        <w:rPr>
          <w:rFonts w:cs="Arial"/>
          <w:b/>
          <w:szCs w:val="20"/>
          <w:lang w:val="sl-SI"/>
        </w:rPr>
      </w:pPr>
      <w:r w:rsidRPr="00AA4D99">
        <w:rPr>
          <w:rFonts w:cs="Arial"/>
          <w:b/>
          <w:szCs w:val="20"/>
          <w:lang w:val="sl-SI"/>
        </w:rPr>
        <w:t>GENERALNI SEKRETARIAT VLADE REPUBLIKE SLOVENIJE</w:t>
      </w:r>
    </w:p>
    <w:p w:rsidR="00AC01D7" w:rsidRPr="00AA4D99" w:rsidRDefault="00AC01D7" w:rsidP="00AC1505">
      <w:pPr>
        <w:spacing w:before="20" w:after="20"/>
        <w:rPr>
          <w:rFonts w:cs="Arial"/>
          <w:i/>
          <w:szCs w:val="20"/>
          <w:lang w:val="sl-SI"/>
        </w:rPr>
      </w:pPr>
      <w:r w:rsidRPr="00AA4D99">
        <w:rPr>
          <w:rFonts w:cs="Arial"/>
          <w:szCs w:val="20"/>
          <w:lang w:val="sl-SI"/>
        </w:rPr>
        <w:t>gp.gs@gov.si</w:t>
      </w:r>
    </w:p>
    <w:p w:rsidR="00AC01D7" w:rsidRPr="00AA4D99" w:rsidRDefault="00AC01D7" w:rsidP="00AC1505">
      <w:pPr>
        <w:spacing w:before="20" w:after="20"/>
        <w:rPr>
          <w:rFonts w:cs="Arial"/>
          <w:b/>
          <w:i/>
          <w:szCs w:val="20"/>
          <w:lang w:val="sl-SI"/>
        </w:rPr>
      </w:pPr>
    </w:p>
    <w:p w:rsidR="00AC01D7" w:rsidRPr="00AA4D99" w:rsidRDefault="00AC01D7" w:rsidP="00AC1505">
      <w:pPr>
        <w:spacing w:before="20" w:after="20"/>
        <w:rPr>
          <w:rFonts w:cs="Arial"/>
          <w:szCs w:val="20"/>
          <w:lang w:val="sl-SI"/>
        </w:rPr>
      </w:pPr>
      <w:r w:rsidRPr="00AA4D99">
        <w:rPr>
          <w:rFonts w:cs="Arial"/>
          <w:szCs w:val="20"/>
          <w:lang w:val="sl-SI"/>
        </w:rPr>
        <w:t>V vednost:</w:t>
      </w:r>
    </w:p>
    <w:p w:rsidR="00AC01D7" w:rsidRPr="00AA4D99" w:rsidRDefault="00AC01D7" w:rsidP="00AC1505">
      <w:pPr>
        <w:spacing w:before="20" w:after="20"/>
        <w:rPr>
          <w:rFonts w:cs="Arial"/>
          <w:szCs w:val="20"/>
          <w:lang w:val="sl-SI"/>
        </w:rPr>
      </w:pPr>
      <w:r w:rsidRPr="00AA4D99">
        <w:rPr>
          <w:rFonts w:cs="Arial"/>
          <w:b/>
          <w:szCs w:val="20"/>
          <w:lang w:val="sl-SI"/>
        </w:rPr>
        <w:t>MINISTRSTVO ZA ZUNANJE IN EVROPSKE ZADEVE</w:t>
      </w:r>
    </w:p>
    <w:p w:rsidR="00AC01D7" w:rsidRPr="00AA4D99" w:rsidRDefault="00AC01D7" w:rsidP="00AC1505">
      <w:pPr>
        <w:spacing w:before="20" w:after="20"/>
        <w:rPr>
          <w:rFonts w:cs="Arial"/>
          <w:szCs w:val="20"/>
          <w:lang w:val="sl-SI"/>
        </w:rPr>
      </w:pPr>
      <w:r w:rsidRPr="00AA4D99">
        <w:rPr>
          <w:rFonts w:cs="Arial"/>
          <w:szCs w:val="20"/>
          <w:lang w:val="sl-SI"/>
        </w:rPr>
        <w:t>EU-portal@gov.si</w:t>
      </w:r>
    </w:p>
    <w:p w:rsidR="00AC01D7" w:rsidRPr="00AA4D99" w:rsidRDefault="00AC01D7" w:rsidP="00AC1505">
      <w:pPr>
        <w:spacing w:before="20" w:after="20"/>
        <w:rPr>
          <w:rFonts w:cs="Arial"/>
          <w:szCs w:val="20"/>
          <w:lang w:val="sl-SI"/>
        </w:rPr>
      </w:pPr>
    </w:p>
    <w:p w:rsidR="00AC01D7" w:rsidRPr="00AA4D99" w:rsidRDefault="00AC01D7" w:rsidP="00AC1505">
      <w:pPr>
        <w:spacing w:before="20" w:after="20"/>
        <w:rPr>
          <w:rFonts w:cs="Arial"/>
          <w:i/>
          <w:szCs w:val="20"/>
          <w:lang w:val="sl-SI"/>
        </w:rPr>
      </w:pPr>
    </w:p>
    <w:p w:rsidR="00AC01D7" w:rsidRPr="00AA4D99" w:rsidRDefault="00AC01D7" w:rsidP="00AC1505">
      <w:pPr>
        <w:spacing w:before="20" w:after="20"/>
        <w:jc w:val="center"/>
        <w:rPr>
          <w:rFonts w:cs="Arial"/>
          <w:b/>
          <w:bCs/>
          <w:szCs w:val="20"/>
          <w:lang w:val="sl-SI"/>
        </w:rPr>
      </w:pPr>
      <w:r w:rsidRPr="00AA4D99">
        <w:rPr>
          <w:rFonts w:cs="Arial"/>
          <w:b/>
          <w:bCs/>
          <w:szCs w:val="20"/>
          <w:lang w:val="sl-SI"/>
        </w:rPr>
        <w:t>ODLOČITVE REPUBLIKE SLOVENIJE</w:t>
      </w:r>
    </w:p>
    <w:p w:rsidR="00AC01D7" w:rsidRPr="00AA4D99" w:rsidRDefault="00AC01D7" w:rsidP="00AC1505">
      <w:pPr>
        <w:spacing w:before="20" w:after="20"/>
        <w:jc w:val="center"/>
        <w:rPr>
          <w:rFonts w:cs="Arial"/>
          <w:b/>
          <w:bCs/>
          <w:szCs w:val="20"/>
          <w:lang w:val="sl-SI"/>
        </w:rPr>
      </w:pPr>
      <w:r w:rsidRPr="00AA4D99">
        <w:rPr>
          <w:rFonts w:cs="Arial"/>
          <w:b/>
          <w:bCs/>
          <w:szCs w:val="20"/>
          <w:lang w:val="sl-SI"/>
        </w:rPr>
        <w:t>V ZVEZI Z ZADEVAMI EVROPSKE UNIJE</w:t>
      </w:r>
    </w:p>
    <w:p w:rsidR="00AC01D7" w:rsidRPr="00AA4D99" w:rsidRDefault="00AC01D7" w:rsidP="00AC1505">
      <w:pPr>
        <w:spacing w:before="20" w:after="20"/>
        <w:jc w:val="center"/>
        <w:rPr>
          <w:rFonts w:cs="Arial"/>
          <w:b/>
          <w:bCs/>
          <w:szCs w:val="20"/>
          <w:lang w:val="sl-SI"/>
        </w:rPr>
      </w:pPr>
      <w:r w:rsidRPr="00AA4D99">
        <w:rPr>
          <w:rFonts w:cs="Arial"/>
          <w:b/>
          <w:bCs/>
          <w:szCs w:val="20"/>
          <w:lang w:val="sl-SI"/>
        </w:rPr>
        <w:t>PREDLOG ZA OBRAVNAVO</w:t>
      </w:r>
    </w:p>
    <w:p w:rsidR="00AC01D7" w:rsidRPr="00AA4D99" w:rsidRDefault="00AC01D7" w:rsidP="00AC1505">
      <w:pPr>
        <w:spacing w:before="20" w:after="20"/>
        <w:jc w:val="center"/>
        <w:rPr>
          <w:rFonts w:cs="Arial"/>
          <w:bCs/>
          <w:szCs w:val="20"/>
          <w:lang w:val="sl-SI"/>
        </w:rPr>
      </w:pPr>
    </w:p>
    <w:p w:rsidR="00AC01D7" w:rsidRPr="00AA4D99" w:rsidRDefault="00AC01D7" w:rsidP="00AC1505">
      <w:pPr>
        <w:spacing w:before="20" w:after="20"/>
        <w:jc w:val="center"/>
        <w:rPr>
          <w:rFonts w:cs="Arial"/>
          <w:bCs/>
          <w:szCs w:val="20"/>
          <w:lang w:val="sl-SI"/>
        </w:rPr>
      </w:pPr>
      <w:r w:rsidRPr="00AA4D99">
        <w:rPr>
          <w:rFonts w:cs="Arial"/>
          <w:bCs/>
          <w:szCs w:val="20"/>
          <w:lang w:val="sl-SI"/>
        </w:rPr>
        <w:t>I.</w:t>
      </w:r>
    </w:p>
    <w:p w:rsidR="00AC01D7" w:rsidRPr="00AA4D99" w:rsidRDefault="00AC01D7" w:rsidP="00AC1505">
      <w:pPr>
        <w:spacing w:before="20" w:after="20"/>
        <w:jc w:val="both"/>
        <w:rPr>
          <w:rFonts w:cs="Arial"/>
          <w:bCs/>
          <w:szCs w:val="20"/>
          <w:lang w:val="sl-SI"/>
        </w:rPr>
      </w:pPr>
      <w:r w:rsidRPr="00AA4D99">
        <w:rPr>
          <w:rFonts w:cs="Arial"/>
          <w:b/>
          <w:bCs/>
          <w:szCs w:val="20"/>
          <w:lang w:val="sl-SI"/>
        </w:rPr>
        <w:t>1. Zadeva EU</w:t>
      </w:r>
      <w:r w:rsidRPr="00AA4D99">
        <w:rPr>
          <w:rFonts w:cs="Arial"/>
          <w:bCs/>
          <w:szCs w:val="20"/>
          <w:lang w:val="sl-SI"/>
        </w:rPr>
        <w:t xml:space="preserve">: </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bCs/>
          <w:color w:val="0070C0"/>
          <w:szCs w:val="20"/>
          <w:lang w:val="sl-SI"/>
        </w:rPr>
      </w:pPr>
      <w:r w:rsidRPr="00AA4D99">
        <w:rPr>
          <w:rFonts w:cs="Arial"/>
          <w:bCs/>
          <w:szCs w:val="20"/>
          <w:lang w:val="sl-SI"/>
        </w:rPr>
        <w:t xml:space="preserve">Naslov dokumenta v slovenskem jeziku: </w:t>
      </w:r>
      <w:r w:rsidRPr="00AA4D99">
        <w:rPr>
          <w:rFonts w:cs="Arial"/>
          <w:bCs/>
          <w:i/>
          <w:szCs w:val="20"/>
          <w:lang w:val="sl-SI"/>
        </w:rPr>
        <w:t>Predlog uredbe Sveta o določitvi ribolovnih možnosti za leto 2024 za nekatere staleže rib in skupine staležev rib, ki se uporabljajo v Baltskem morju, ter o spremembi Uredbe (EU) 2023/194 glede nekaterih ribolovnih možnosti v drugih vodah</w:t>
      </w:r>
    </w:p>
    <w:p w:rsidR="00AC01D7" w:rsidRPr="00AA4D99" w:rsidRDefault="00AC01D7" w:rsidP="00AC1505">
      <w:pPr>
        <w:spacing w:before="20" w:after="20"/>
        <w:jc w:val="both"/>
        <w:rPr>
          <w:rFonts w:cs="Arial"/>
          <w:bCs/>
          <w:i/>
          <w:szCs w:val="20"/>
          <w:lang w:val="sl-SI"/>
        </w:rPr>
      </w:pPr>
      <w:r w:rsidRPr="00AA4D99">
        <w:rPr>
          <w:rFonts w:cs="Arial"/>
          <w:bCs/>
          <w:szCs w:val="20"/>
          <w:lang w:val="sl-SI"/>
        </w:rPr>
        <w:t xml:space="preserve">Naslov dokumenta v delovnem jeziku EU: </w:t>
      </w:r>
      <w:r w:rsidRPr="00AA4D99">
        <w:rPr>
          <w:rFonts w:cs="Arial"/>
          <w:bCs/>
          <w:i/>
          <w:szCs w:val="20"/>
          <w:lang w:val="sl-SI"/>
        </w:rPr>
        <w:t xml:space="preserve">Proposal for a Council Regulation </w:t>
      </w:r>
      <w:proofErr w:type="spellStart"/>
      <w:r w:rsidRPr="00AA4D99">
        <w:rPr>
          <w:rFonts w:cs="Arial"/>
          <w:bCs/>
          <w:i/>
          <w:szCs w:val="20"/>
          <w:lang w:val="sl-SI"/>
        </w:rPr>
        <w:t>fixing</w:t>
      </w:r>
      <w:proofErr w:type="spellEnd"/>
      <w:r w:rsidRPr="00AA4D99">
        <w:rPr>
          <w:rFonts w:cs="Arial"/>
          <w:bCs/>
          <w:i/>
          <w:szCs w:val="20"/>
          <w:lang w:val="sl-SI"/>
        </w:rPr>
        <w:t xml:space="preserve"> the </w:t>
      </w:r>
      <w:proofErr w:type="spellStart"/>
      <w:r w:rsidRPr="00AA4D99">
        <w:rPr>
          <w:rFonts w:cs="Arial"/>
          <w:bCs/>
          <w:i/>
          <w:szCs w:val="20"/>
          <w:lang w:val="sl-SI"/>
        </w:rPr>
        <w:t>fishing</w:t>
      </w:r>
      <w:proofErr w:type="spellEnd"/>
      <w:r w:rsidRPr="00AA4D99">
        <w:rPr>
          <w:rFonts w:cs="Arial"/>
          <w:bCs/>
          <w:i/>
          <w:szCs w:val="20"/>
          <w:lang w:val="sl-SI"/>
        </w:rPr>
        <w:t xml:space="preserve"> </w:t>
      </w:r>
      <w:proofErr w:type="spellStart"/>
      <w:r w:rsidRPr="00AA4D99">
        <w:rPr>
          <w:rFonts w:cs="Arial"/>
          <w:bCs/>
          <w:i/>
          <w:szCs w:val="20"/>
          <w:lang w:val="sl-SI"/>
        </w:rPr>
        <w:t>opportunities</w:t>
      </w:r>
      <w:proofErr w:type="spellEnd"/>
      <w:r w:rsidRPr="00AA4D99">
        <w:rPr>
          <w:rFonts w:cs="Arial"/>
          <w:bCs/>
          <w:i/>
          <w:szCs w:val="20"/>
          <w:lang w:val="sl-SI"/>
        </w:rPr>
        <w:t xml:space="preserve"> for certain </w:t>
      </w:r>
      <w:proofErr w:type="spellStart"/>
      <w:r w:rsidRPr="00AA4D99">
        <w:rPr>
          <w:rFonts w:cs="Arial"/>
          <w:bCs/>
          <w:i/>
          <w:szCs w:val="20"/>
          <w:lang w:val="sl-SI"/>
        </w:rPr>
        <w:t>fish</w:t>
      </w:r>
      <w:proofErr w:type="spellEnd"/>
      <w:r w:rsidRPr="00AA4D99">
        <w:rPr>
          <w:rFonts w:cs="Arial"/>
          <w:bCs/>
          <w:i/>
          <w:szCs w:val="20"/>
          <w:lang w:val="sl-SI"/>
        </w:rPr>
        <w:t xml:space="preserve"> </w:t>
      </w:r>
      <w:proofErr w:type="spellStart"/>
      <w:r w:rsidRPr="00AA4D99">
        <w:rPr>
          <w:rFonts w:cs="Arial"/>
          <w:bCs/>
          <w:i/>
          <w:szCs w:val="20"/>
          <w:lang w:val="sl-SI"/>
        </w:rPr>
        <w:t>stocks</w:t>
      </w:r>
      <w:proofErr w:type="spellEnd"/>
      <w:r w:rsidRPr="00AA4D99">
        <w:rPr>
          <w:rFonts w:cs="Arial"/>
          <w:bCs/>
          <w:i/>
          <w:szCs w:val="20"/>
          <w:lang w:val="sl-SI"/>
        </w:rPr>
        <w:t xml:space="preserve"> and </w:t>
      </w:r>
      <w:proofErr w:type="spellStart"/>
      <w:r w:rsidRPr="00AA4D99">
        <w:rPr>
          <w:rFonts w:cs="Arial"/>
          <w:bCs/>
          <w:i/>
          <w:szCs w:val="20"/>
          <w:lang w:val="sl-SI"/>
        </w:rPr>
        <w:t>groups</w:t>
      </w:r>
      <w:proofErr w:type="spellEnd"/>
      <w:r w:rsidRPr="00AA4D99">
        <w:rPr>
          <w:rFonts w:cs="Arial"/>
          <w:bCs/>
          <w:i/>
          <w:szCs w:val="20"/>
          <w:lang w:val="sl-SI"/>
        </w:rPr>
        <w:t xml:space="preserve"> of </w:t>
      </w:r>
      <w:proofErr w:type="spellStart"/>
      <w:r w:rsidRPr="00AA4D99">
        <w:rPr>
          <w:rFonts w:cs="Arial"/>
          <w:bCs/>
          <w:i/>
          <w:szCs w:val="20"/>
          <w:lang w:val="sl-SI"/>
        </w:rPr>
        <w:t>fish</w:t>
      </w:r>
      <w:proofErr w:type="spellEnd"/>
      <w:r w:rsidRPr="00AA4D99">
        <w:rPr>
          <w:rFonts w:cs="Arial"/>
          <w:bCs/>
          <w:i/>
          <w:szCs w:val="20"/>
          <w:lang w:val="sl-SI"/>
        </w:rPr>
        <w:t xml:space="preserve"> </w:t>
      </w:r>
      <w:proofErr w:type="spellStart"/>
      <w:r w:rsidRPr="00AA4D99">
        <w:rPr>
          <w:rFonts w:cs="Arial"/>
          <w:bCs/>
          <w:i/>
          <w:szCs w:val="20"/>
          <w:lang w:val="sl-SI"/>
        </w:rPr>
        <w:t>stocks</w:t>
      </w:r>
      <w:proofErr w:type="spellEnd"/>
      <w:r w:rsidRPr="00AA4D99">
        <w:rPr>
          <w:rFonts w:cs="Arial"/>
          <w:bCs/>
          <w:i/>
          <w:szCs w:val="20"/>
          <w:lang w:val="sl-SI"/>
        </w:rPr>
        <w:t xml:space="preserve"> </w:t>
      </w:r>
      <w:proofErr w:type="spellStart"/>
      <w:r w:rsidRPr="00AA4D99">
        <w:rPr>
          <w:rFonts w:cs="Arial"/>
          <w:bCs/>
          <w:i/>
          <w:szCs w:val="20"/>
          <w:lang w:val="sl-SI"/>
        </w:rPr>
        <w:t>applicable</w:t>
      </w:r>
      <w:proofErr w:type="spellEnd"/>
      <w:r w:rsidRPr="00AA4D99">
        <w:rPr>
          <w:rFonts w:cs="Arial"/>
          <w:bCs/>
          <w:i/>
          <w:szCs w:val="20"/>
          <w:lang w:val="sl-SI"/>
        </w:rPr>
        <w:t xml:space="preserve"> in the </w:t>
      </w:r>
      <w:proofErr w:type="spellStart"/>
      <w:r w:rsidRPr="00AA4D99">
        <w:rPr>
          <w:rFonts w:cs="Arial"/>
          <w:bCs/>
          <w:i/>
          <w:szCs w:val="20"/>
          <w:lang w:val="sl-SI"/>
        </w:rPr>
        <w:t>Baltic</w:t>
      </w:r>
      <w:proofErr w:type="spellEnd"/>
      <w:r w:rsidRPr="00AA4D99">
        <w:rPr>
          <w:rFonts w:cs="Arial"/>
          <w:bCs/>
          <w:i/>
          <w:szCs w:val="20"/>
          <w:lang w:val="sl-SI"/>
        </w:rPr>
        <w:t xml:space="preserve"> </w:t>
      </w:r>
      <w:proofErr w:type="spellStart"/>
      <w:r w:rsidRPr="00AA4D99">
        <w:rPr>
          <w:rFonts w:cs="Arial"/>
          <w:bCs/>
          <w:i/>
          <w:szCs w:val="20"/>
          <w:lang w:val="sl-SI"/>
        </w:rPr>
        <w:t>Sea</w:t>
      </w:r>
      <w:proofErr w:type="spellEnd"/>
      <w:r w:rsidRPr="00AA4D99">
        <w:rPr>
          <w:rFonts w:cs="Arial"/>
          <w:bCs/>
          <w:i/>
          <w:szCs w:val="20"/>
          <w:lang w:val="sl-SI"/>
        </w:rPr>
        <w:t xml:space="preserve"> for 2024 and amending Regulation (EU) 2023/194 as </w:t>
      </w:r>
      <w:proofErr w:type="spellStart"/>
      <w:r w:rsidRPr="00AA4D99">
        <w:rPr>
          <w:rFonts w:cs="Arial"/>
          <w:bCs/>
          <w:i/>
          <w:szCs w:val="20"/>
          <w:lang w:val="sl-SI"/>
        </w:rPr>
        <w:t>regards</w:t>
      </w:r>
      <w:proofErr w:type="spellEnd"/>
      <w:r w:rsidRPr="00AA4D99">
        <w:rPr>
          <w:rFonts w:cs="Arial"/>
          <w:bCs/>
          <w:i/>
          <w:szCs w:val="20"/>
          <w:lang w:val="sl-SI"/>
        </w:rPr>
        <w:t xml:space="preserve"> certain </w:t>
      </w:r>
      <w:proofErr w:type="spellStart"/>
      <w:r w:rsidRPr="00AA4D99">
        <w:rPr>
          <w:rFonts w:cs="Arial"/>
          <w:bCs/>
          <w:i/>
          <w:szCs w:val="20"/>
          <w:lang w:val="sl-SI"/>
        </w:rPr>
        <w:t>fishing</w:t>
      </w:r>
      <w:proofErr w:type="spellEnd"/>
      <w:r w:rsidRPr="00AA4D99">
        <w:rPr>
          <w:rFonts w:cs="Arial"/>
          <w:bCs/>
          <w:i/>
          <w:szCs w:val="20"/>
          <w:lang w:val="sl-SI"/>
        </w:rPr>
        <w:t xml:space="preserve"> </w:t>
      </w:r>
      <w:proofErr w:type="spellStart"/>
      <w:r w:rsidRPr="00AA4D99">
        <w:rPr>
          <w:rFonts w:cs="Arial"/>
          <w:bCs/>
          <w:i/>
          <w:szCs w:val="20"/>
          <w:lang w:val="sl-SI"/>
        </w:rPr>
        <w:t>opportunities</w:t>
      </w:r>
      <w:proofErr w:type="spellEnd"/>
      <w:r w:rsidRPr="00AA4D99">
        <w:rPr>
          <w:rFonts w:cs="Arial"/>
          <w:bCs/>
          <w:i/>
          <w:szCs w:val="20"/>
          <w:lang w:val="sl-SI"/>
        </w:rPr>
        <w:t xml:space="preserve"> in </w:t>
      </w:r>
      <w:proofErr w:type="spellStart"/>
      <w:r w:rsidRPr="00AA4D99">
        <w:rPr>
          <w:rFonts w:cs="Arial"/>
          <w:bCs/>
          <w:i/>
          <w:szCs w:val="20"/>
          <w:lang w:val="sl-SI"/>
        </w:rPr>
        <w:t>other</w:t>
      </w:r>
      <w:proofErr w:type="spellEnd"/>
      <w:r w:rsidRPr="00AA4D99">
        <w:rPr>
          <w:rFonts w:cs="Arial"/>
          <w:bCs/>
          <w:i/>
          <w:szCs w:val="20"/>
          <w:lang w:val="sl-SI"/>
        </w:rPr>
        <w:t xml:space="preserve"> </w:t>
      </w:r>
      <w:proofErr w:type="spellStart"/>
      <w:r w:rsidRPr="00AA4D99">
        <w:rPr>
          <w:rFonts w:cs="Arial"/>
          <w:bCs/>
          <w:i/>
          <w:szCs w:val="20"/>
          <w:lang w:val="sl-SI"/>
        </w:rPr>
        <w:t>waters</w:t>
      </w:r>
      <w:proofErr w:type="spellEnd"/>
    </w:p>
    <w:p w:rsidR="00AC01D7" w:rsidRPr="00AA4D99" w:rsidRDefault="00AC01D7" w:rsidP="00AC1505">
      <w:pPr>
        <w:spacing w:before="20" w:after="20"/>
        <w:jc w:val="both"/>
        <w:rPr>
          <w:rFonts w:cs="Arial"/>
          <w:bCs/>
          <w:i/>
          <w:szCs w:val="20"/>
          <w:lang w:val="sl-SI"/>
        </w:rPr>
      </w:pP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 xml:space="preserve">Datum dokumenta: </w:t>
      </w:r>
      <w:r w:rsidRPr="00AA4D99">
        <w:rPr>
          <w:rFonts w:cs="Arial"/>
          <w:i/>
          <w:szCs w:val="20"/>
          <w:lang w:val="sl-SI"/>
        </w:rPr>
        <w:t>28. 08. 2023</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Številka dokumenta: </w:t>
      </w:r>
      <w:r w:rsidRPr="00AA4D99">
        <w:rPr>
          <w:rFonts w:cs="Arial"/>
          <w:i/>
          <w:szCs w:val="20"/>
          <w:lang w:val="sl-SI"/>
        </w:rPr>
        <w:t xml:space="preserve">12451/23 </w:t>
      </w:r>
    </w:p>
    <w:p w:rsidR="00AC01D7" w:rsidRPr="00AA4D99" w:rsidRDefault="00AC01D7" w:rsidP="00AC1505">
      <w:pPr>
        <w:spacing w:before="20" w:after="20"/>
        <w:jc w:val="both"/>
        <w:rPr>
          <w:rFonts w:cs="Arial"/>
          <w:i/>
          <w:szCs w:val="20"/>
          <w:lang w:val="sl-SI"/>
        </w:rPr>
      </w:pPr>
      <w:r w:rsidRPr="00AA4D99">
        <w:rPr>
          <w:rFonts w:cs="Arial"/>
          <w:szCs w:val="20"/>
          <w:lang w:val="sl-SI"/>
        </w:rPr>
        <w:t xml:space="preserve">Medinstitucionalna oznaka: </w:t>
      </w:r>
      <w:r w:rsidRPr="00AA4D99">
        <w:rPr>
          <w:rFonts w:cs="Arial"/>
          <w:i/>
          <w:szCs w:val="20"/>
          <w:lang w:val="sl-SI"/>
        </w:rPr>
        <w:t>2023/0301(NLE)</w:t>
      </w:r>
    </w:p>
    <w:p w:rsidR="00AC01D7" w:rsidRPr="00AA4D99" w:rsidRDefault="00AC01D7" w:rsidP="00AC1505">
      <w:pPr>
        <w:spacing w:before="20" w:after="20"/>
        <w:jc w:val="both"/>
        <w:rPr>
          <w:rFonts w:cs="Arial"/>
          <w:bCs/>
          <w:szCs w:val="20"/>
          <w:lang w:val="sl-SI"/>
        </w:rPr>
      </w:pPr>
      <w:r w:rsidRPr="00AA4D99">
        <w:rPr>
          <w:rFonts w:cs="Arial"/>
          <w:bCs/>
          <w:szCs w:val="20"/>
          <w:lang w:val="sl-SI"/>
        </w:rPr>
        <w:t xml:space="preserve">Pri izdelavi predloga stališča so upoštevane še različice in priloge dokumenta EU: </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szCs w:val="20"/>
          <w:lang w:val="sl-SI"/>
        </w:rPr>
      </w:pPr>
      <w:r w:rsidRPr="00AA4D99">
        <w:rPr>
          <w:rFonts w:cs="Arial"/>
          <w:b/>
          <w:szCs w:val="20"/>
          <w:lang w:val="sl-SI"/>
        </w:rPr>
        <w:t>2. Vrsta odločitve RS</w:t>
      </w:r>
      <w:r w:rsidRPr="00AA4D99">
        <w:rPr>
          <w:rFonts w:cs="Arial"/>
          <w:szCs w:val="20"/>
          <w:lang w:val="sl-SI"/>
        </w:rPr>
        <w:t>:</w:t>
      </w:r>
      <w:r w:rsidRPr="00AA4D99">
        <w:rPr>
          <w:rFonts w:cs="Arial"/>
          <w:b/>
          <w:bCs/>
          <w:i/>
          <w:color w:val="0070C0"/>
          <w:szCs w:val="20"/>
          <w:lang w:val="sl-SI"/>
        </w:rPr>
        <w:t xml:space="preserve"> </w:t>
      </w:r>
      <w:r w:rsidRPr="00AA4D99">
        <w:rPr>
          <w:rFonts w:cs="Arial"/>
          <w:i/>
          <w:szCs w:val="20"/>
          <w:lang w:val="sl-SI"/>
        </w:rPr>
        <w:t>Stališče Republike Slovenije</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bCs/>
          <w:szCs w:val="20"/>
          <w:lang w:val="sl-SI"/>
        </w:rPr>
      </w:pPr>
      <w:r w:rsidRPr="00AA4D99">
        <w:rPr>
          <w:rFonts w:cs="Arial"/>
          <w:b/>
          <w:bCs/>
          <w:szCs w:val="20"/>
          <w:lang w:val="sl-SI"/>
        </w:rPr>
        <w:t>3. Postopek sprejemanja zadeve EU v institucijah EU</w:t>
      </w:r>
      <w:r w:rsidRPr="00AA4D99">
        <w:rPr>
          <w:rFonts w:cs="Arial"/>
          <w:bCs/>
          <w:szCs w:val="20"/>
          <w:lang w:val="sl-SI"/>
        </w:rPr>
        <w:t>:</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szCs w:val="20"/>
          <w:lang w:val="sl-SI"/>
        </w:rPr>
      </w:pPr>
      <w:r w:rsidRPr="00AA4D99">
        <w:rPr>
          <w:rFonts w:cs="Arial"/>
          <w:bCs/>
          <w:szCs w:val="20"/>
          <w:lang w:val="sl-SI"/>
        </w:rPr>
        <w:t>Postopek</w:t>
      </w:r>
      <w:r w:rsidRPr="00AA4D99">
        <w:rPr>
          <w:rFonts w:cs="Arial"/>
          <w:szCs w:val="20"/>
          <w:lang w:val="sl-SI"/>
        </w:rPr>
        <w:t xml:space="preserve">: </w:t>
      </w:r>
      <w:r w:rsidRPr="00AA4D99">
        <w:rPr>
          <w:rFonts w:cs="Arial"/>
          <w:i/>
          <w:szCs w:val="20"/>
          <w:lang w:val="sl-SI"/>
        </w:rPr>
        <w:t xml:space="preserve">Posebni zakonodajni postopek </w:t>
      </w:r>
    </w:p>
    <w:p w:rsidR="00AC01D7" w:rsidRPr="00AA4D99" w:rsidRDefault="00AC01D7" w:rsidP="00AC1505">
      <w:pPr>
        <w:spacing w:before="20" w:after="20"/>
        <w:jc w:val="both"/>
        <w:rPr>
          <w:rFonts w:cs="Arial"/>
          <w:bCs/>
          <w:szCs w:val="20"/>
          <w:lang w:val="sl-SI"/>
        </w:rPr>
      </w:pPr>
      <w:r w:rsidRPr="00AA4D99">
        <w:rPr>
          <w:rFonts w:cs="Arial"/>
          <w:bCs/>
          <w:szCs w:val="20"/>
          <w:lang w:val="sl-SI"/>
        </w:rPr>
        <w:t xml:space="preserve">Faza sprejemanja: </w:t>
      </w:r>
      <w:r w:rsidRPr="00AA4D99">
        <w:rPr>
          <w:rFonts w:cs="Arial"/>
          <w:bCs/>
          <w:i/>
          <w:szCs w:val="20"/>
          <w:lang w:val="sl-SI"/>
        </w:rPr>
        <w:t xml:space="preserve">1. obravnava </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b/>
          <w:bCs/>
          <w:szCs w:val="20"/>
          <w:lang w:val="sl-SI"/>
        </w:rPr>
      </w:pPr>
      <w:r w:rsidRPr="00AA4D99">
        <w:rPr>
          <w:rFonts w:cs="Arial"/>
          <w:b/>
          <w:bCs/>
          <w:szCs w:val="20"/>
          <w:lang w:val="sl-SI"/>
        </w:rPr>
        <w:t>4. Pristojni organ EU</w:t>
      </w:r>
      <w:r w:rsidRPr="00AA4D99">
        <w:rPr>
          <w:rFonts w:cs="Arial"/>
          <w:bCs/>
          <w:szCs w:val="20"/>
          <w:lang w:val="sl-SI"/>
        </w:rPr>
        <w:t>:</w:t>
      </w:r>
      <w:r w:rsidRPr="00AA4D99">
        <w:rPr>
          <w:rFonts w:cs="Arial"/>
          <w:b/>
          <w:bCs/>
          <w:szCs w:val="20"/>
          <w:lang w:val="sl-SI"/>
        </w:rPr>
        <w:t xml:space="preserve"> </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bCs/>
          <w:szCs w:val="20"/>
          <w:lang w:val="sl-SI"/>
        </w:rPr>
      </w:pPr>
      <w:r w:rsidRPr="00AA4D99">
        <w:rPr>
          <w:rFonts w:cs="Arial"/>
          <w:bCs/>
          <w:szCs w:val="20"/>
          <w:lang w:val="sl-SI"/>
        </w:rPr>
        <w:t xml:space="preserve">Svet  EU v sestavi: </w:t>
      </w:r>
      <w:r w:rsidRPr="00AA4D99">
        <w:rPr>
          <w:rFonts w:cs="Arial"/>
          <w:bCs/>
          <w:i/>
          <w:szCs w:val="20"/>
          <w:lang w:val="sl-SI"/>
        </w:rPr>
        <w:t>AGRI - Svet EU za kmetijstvo in ribištvo</w:t>
      </w:r>
      <w:r w:rsidRPr="00AA4D99">
        <w:rPr>
          <w:rFonts w:cs="Arial"/>
          <w:bCs/>
          <w:szCs w:val="20"/>
          <w:lang w:val="sl-SI"/>
        </w:rPr>
        <w:t xml:space="preserve"> </w:t>
      </w:r>
    </w:p>
    <w:p w:rsidR="00AC01D7" w:rsidRPr="00AA4D99" w:rsidRDefault="00AC01D7" w:rsidP="00AC1505">
      <w:pPr>
        <w:spacing w:before="20" w:after="20"/>
        <w:jc w:val="both"/>
        <w:rPr>
          <w:rFonts w:cs="Arial"/>
          <w:bCs/>
          <w:i/>
          <w:szCs w:val="20"/>
          <w:lang w:val="sl-SI"/>
        </w:rPr>
      </w:pPr>
      <w:r w:rsidRPr="00AA4D99">
        <w:rPr>
          <w:rFonts w:cs="Arial"/>
          <w:bCs/>
          <w:szCs w:val="20"/>
          <w:lang w:val="sl-SI"/>
        </w:rPr>
        <w:t xml:space="preserve">Delovno telo Sveta EU: </w:t>
      </w:r>
      <w:r w:rsidRPr="00AA4D99">
        <w:rPr>
          <w:rFonts w:cs="Arial"/>
          <w:bCs/>
          <w:i/>
          <w:szCs w:val="20"/>
          <w:lang w:val="sl-SI"/>
        </w:rPr>
        <w:t>F.25 - Delovna skupina za ribiško politiko</w:t>
      </w:r>
    </w:p>
    <w:p w:rsidR="00AC01D7" w:rsidRPr="00AA4D99" w:rsidRDefault="00AC01D7" w:rsidP="00AC1505">
      <w:pPr>
        <w:spacing w:before="20" w:after="20"/>
        <w:jc w:val="both"/>
        <w:rPr>
          <w:rFonts w:cs="Arial"/>
          <w:b/>
          <w:bCs/>
          <w:i/>
          <w:szCs w:val="20"/>
          <w:lang w:val="sl-SI"/>
        </w:rPr>
      </w:pPr>
    </w:p>
    <w:p w:rsidR="00AC01D7" w:rsidRPr="00AA4D99" w:rsidRDefault="00AC01D7" w:rsidP="00AC1505">
      <w:pPr>
        <w:spacing w:before="20" w:after="20"/>
        <w:jc w:val="both"/>
        <w:rPr>
          <w:rFonts w:cs="Arial"/>
          <w:szCs w:val="20"/>
          <w:lang w:val="sl-SI"/>
        </w:rPr>
      </w:pPr>
      <w:r w:rsidRPr="00AA4D99">
        <w:rPr>
          <w:rFonts w:cs="Arial"/>
          <w:b/>
          <w:szCs w:val="20"/>
          <w:lang w:val="sl-SI"/>
        </w:rPr>
        <w:t>5. Organ, pristojen za dokončen sprejem stališča RS</w:t>
      </w:r>
      <w:r w:rsidRPr="00AA4D99">
        <w:rPr>
          <w:rFonts w:cs="Arial"/>
          <w:szCs w:val="20"/>
          <w:lang w:val="sl-SI"/>
        </w:rPr>
        <w:t>:</w:t>
      </w:r>
    </w:p>
    <w:p w:rsidR="00AC01D7" w:rsidRPr="00AA4D99" w:rsidRDefault="00AC01D7" w:rsidP="00AC1505">
      <w:pPr>
        <w:spacing w:before="20" w:after="20"/>
        <w:jc w:val="both"/>
        <w:rPr>
          <w:rFonts w:cs="Arial"/>
          <w:i/>
          <w:iCs/>
          <w:szCs w:val="20"/>
          <w:lang w:val="sl-SI"/>
        </w:rPr>
      </w:pPr>
      <w:r w:rsidRPr="00AA4D99">
        <w:rPr>
          <w:rFonts w:cs="Arial"/>
          <w:i/>
          <w:szCs w:val="20"/>
          <w:lang w:val="sl-SI"/>
        </w:rPr>
        <w:t>Vlada</w:t>
      </w:r>
    </w:p>
    <w:p w:rsidR="00AC01D7" w:rsidRPr="00AA4D99" w:rsidRDefault="00AC01D7" w:rsidP="00AC1505">
      <w:pPr>
        <w:spacing w:before="20" w:after="20"/>
        <w:jc w:val="both"/>
        <w:rPr>
          <w:rFonts w:cs="Arial"/>
          <w:iCs/>
          <w:szCs w:val="20"/>
          <w:lang w:val="sl-SI"/>
        </w:rPr>
      </w:pPr>
    </w:p>
    <w:p w:rsidR="00AC01D7" w:rsidRPr="00AA4D99" w:rsidRDefault="00AC01D7" w:rsidP="00AC1505">
      <w:pPr>
        <w:spacing w:before="20" w:after="20"/>
        <w:jc w:val="both"/>
        <w:rPr>
          <w:rFonts w:cs="Arial"/>
          <w:i/>
          <w:iCs/>
          <w:szCs w:val="20"/>
          <w:lang w:val="sl-SI"/>
        </w:rPr>
      </w:pPr>
      <w:r w:rsidRPr="00AA4D99">
        <w:rPr>
          <w:rFonts w:cs="Arial"/>
          <w:b/>
          <w:iCs/>
          <w:szCs w:val="20"/>
          <w:lang w:val="sl-SI"/>
        </w:rPr>
        <w:t>6. Pravna podlaga za obravnavo v Državnem zboru</w:t>
      </w:r>
      <w:r w:rsidRPr="00AA4D99">
        <w:rPr>
          <w:rFonts w:cs="Arial"/>
          <w:iCs/>
          <w:szCs w:val="20"/>
          <w:lang w:val="sl-SI"/>
        </w:rPr>
        <w:t xml:space="preserve">: </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Vlada Republike Slovenije s stališčem Republike Slovenije seznani Državni zbor Republike Slovenije v skladu z 8. členom Zakona o sodelovanju med državnim zborom in vlado v zadevah Evropske unije.</w:t>
      </w:r>
      <w:r w:rsidRPr="00AA4D99">
        <w:rPr>
          <w:rFonts w:cs="Arial"/>
          <w:b/>
          <w:bCs/>
          <w:i/>
          <w:color w:val="0070C0"/>
          <w:szCs w:val="20"/>
          <w:lang w:val="sl-SI"/>
        </w:rPr>
        <w:t xml:space="preserve"> </w:t>
      </w:r>
    </w:p>
    <w:p w:rsidR="00AC01D7" w:rsidRPr="00AA4D99" w:rsidRDefault="00AC01D7" w:rsidP="00AC1505">
      <w:pPr>
        <w:spacing w:before="20" w:after="20"/>
        <w:jc w:val="both"/>
        <w:rPr>
          <w:rFonts w:cs="Arial"/>
          <w:iCs/>
          <w:szCs w:val="20"/>
          <w:lang w:val="sl-SI"/>
        </w:rPr>
      </w:pPr>
    </w:p>
    <w:p w:rsidR="00AC01D7" w:rsidRPr="00AA4D99" w:rsidRDefault="00AC01D7" w:rsidP="00AC1505">
      <w:pPr>
        <w:spacing w:before="20" w:after="20"/>
        <w:jc w:val="both"/>
        <w:rPr>
          <w:rFonts w:cs="Arial"/>
          <w:iCs/>
          <w:szCs w:val="20"/>
          <w:lang w:val="sl-SI"/>
        </w:rPr>
      </w:pPr>
      <w:r w:rsidRPr="00AA4D99">
        <w:rPr>
          <w:rFonts w:cs="Arial"/>
          <w:iCs/>
          <w:szCs w:val="20"/>
          <w:lang w:val="sl-SI"/>
        </w:rPr>
        <w:t xml:space="preserve">Pri delu v Državnem zboru bodo sodelovali:  </w:t>
      </w:r>
      <w:r w:rsidRPr="00AA4D99">
        <w:rPr>
          <w:rFonts w:cs="Arial"/>
          <w:i/>
          <w:iCs/>
          <w:szCs w:val="20"/>
          <w:lang w:val="sl-SI"/>
        </w:rPr>
        <w:t>Irena Šinko, ministrica; dr. Darij Krajčič, državni sekretar; Tatjana Buzeti, državna sekretarka</w:t>
      </w:r>
    </w:p>
    <w:p w:rsidR="00AC01D7" w:rsidRPr="00AA4D99" w:rsidRDefault="00AC01D7" w:rsidP="00AC1505">
      <w:pPr>
        <w:spacing w:before="20" w:after="20"/>
        <w:jc w:val="both"/>
        <w:rPr>
          <w:rFonts w:cs="Arial"/>
          <w:b/>
          <w:szCs w:val="20"/>
          <w:lang w:val="sl-SI"/>
        </w:rPr>
      </w:pPr>
      <w:r w:rsidRPr="00AA4D99">
        <w:rPr>
          <w:rFonts w:cs="Arial"/>
          <w:i/>
          <w:iCs/>
          <w:szCs w:val="20"/>
          <w:lang w:val="sl-SI"/>
        </w:rPr>
        <w:tab/>
      </w:r>
    </w:p>
    <w:p w:rsidR="00AC01D7" w:rsidRPr="00AA4D99" w:rsidRDefault="00AC01D7" w:rsidP="00AC1505">
      <w:pPr>
        <w:spacing w:before="20" w:after="20"/>
        <w:jc w:val="both"/>
        <w:rPr>
          <w:rFonts w:cs="Arial"/>
          <w:szCs w:val="20"/>
          <w:lang w:val="sl-SI"/>
        </w:rPr>
      </w:pPr>
      <w:r w:rsidRPr="00AA4D99">
        <w:rPr>
          <w:rFonts w:cs="Arial"/>
          <w:b/>
          <w:szCs w:val="20"/>
          <w:lang w:val="sl-SI"/>
        </w:rPr>
        <w:t>7. Roki</w:t>
      </w:r>
      <w:r w:rsidRPr="00AA4D99">
        <w:rPr>
          <w:rFonts w:cs="Arial"/>
          <w:szCs w:val="20"/>
          <w:lang w:val="sl-SI"/>
        </w:rPr>
        <w:t>:</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i/>
          <w:szCs w:val="20"/>
          <w:lang w:val="sl-SI"/>
        </w:rPr>
      </w:pPr>
      <w:r w:rsidRPr="00AA4D99">
        <w:rPr>
          <w:rFonts w:cs="Arial"/>
          <w:szCs w:val="20"/>
          <w:lang w:val="sl-SI"/>
        </w:rPr>
        <w:t xml:space="preserve">Predviden čas pričetka obravnave zadeve EU v institucijah EU: </w:t>
      </w:r>
      <w:r w:rsidRPr="00AA4D99">
        <w:rPr>
          <w:rFonts w:cs="Arial"/>
          <w:i/>
          <w:szCs w:val="20"/>
          <w:lang w:val="sl-SI"/>
        </w:rPr>
        <w:t>jesen 2023</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Predviden čas sprejema zadeve EU v institucijah EU: </w:t>
      </w:r>
      <w:r w:rsidRPr="00AA4D99">
        <w:rPr>
          <w:rFonts w:cs="Arial"/>
          <w:i/>
          <w:szCs w:val="20"/>
          <w:lang w:val="sl-SI"/>
        </w:rPr>
        <w:t>december 2023</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Rok za odziv organa: </w:t>
      </w:r>
      <w:r w:rsidRPr="00AA4D99">
        <w:rPr>
          <w:rFonts w:cs="Arial"/>
          <w:i/>
          <w:szCs w:val="20"/>
          <w:lang w:val="sl-SI"/>
        </w:rPr>
        <w:t>10. 10. 2023</w:t>
      </w:r>
    </w:p>
    <w:p w:rsidR="00AC01D7" w:rsidRPr="00AA4D99" w:rsidRDefault="00AC01D7" w:rsidP="00AC1505">
      <w:pPr>
        <w:spacing w:before="20" w:after="20"/>
        <w:jc w:val="both"/>
        <w:rPr>
          <w:rFonts w:cs="Arial"/>
          <w:i/>
          <w:szCs w:val="20"/>
          <w:lang w:val="sl-SI"/>
        </w:rPr>
      </w:pPr>
      <w:r w:rsidRPr="00AA4D99">
        <w:rPr>
          <w:rFonts w:cs="Arial"/>
          <w:szCs w:val="20"/>
          <w:lang w:val="sl-SI"/>
        </w:rPr>
        <w:t xml:space="preserve">Rok za obravnavo na seji Vlade in njenih odborih: </w:t>
      </w:r>
      <w:r w:rsidRPr="00AA4D99">
        <w:rPr>
          <w:rFonts w:cs="Arial"/>
          <w:i/>
          <w:szCs w:val="20"/>
          <w:lang w:val="sl-SI"/>
        </w:rPr>
        <w:t>5. 10. 2023</w:t>
      </w:r>
    </w:p>
    <w:p w:rsidR="00AC01D7" w:rsidRPr="00AA4D99" w:rsidRDefault="00AC01D7" w:rsidP="00AC1505">
      <w:pPr>
        <w:spacing w:before="20" w:after="20"/>
        <w:jc w:val="both"/>
        <w:rPr>
          <w:rFonts w:cs="Arial"/>
          <w:i/>
          <w:szCs w:val="20"/>
          <w:lang w:val="sl-SI"/>
        </w:rPr>
      </w:pPr>
      <w:r w:rsidRPr="00AA4D99">
        <w:rPr>
          <w:rFonts w:cs="Arial"/>
          <w:szCs w:val="20"/>
          <w:lang w:val="sl-SI"/>
        </w:rPr>
        <w:t xml:space="preserve">Rok za obravnavo predloga stališča RS v DZ: </w:t>
      </w:r>
    </w:p>
    <w:p w:rsidR="00AC01D7" w:rsidRPr="00AA4D99" w:rsidRDefault="00AC01D7" w:rsidP="00AC1505">
      <w:pPr>
        <w:spacing w:before="20" w:after="20"/>
        <w:jc w:val="both"/>
        <w:rPr>
          <w:rFonts w:cs="Arial"/>
          <w:color w:val="00B050"/>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 xml:space="preserve">Predlog z obrazložitvijo za skrajšanje oziroma podaljšanje rokov: </w:t>
      </w:r>
    </w:p>
    <w:p w:rsidR="00AC01D7" w:rsidRPr="00AA4D99" w:rsidRDefault="00AC01D7" w:rsidP="00AC1505">
      <w:pPr>
        <w:spacing w:before="20" w:after="20"/>
        <w:jc w:val="both"/>
        <w:rPr>
          <w:rFonts w:cs="Arial"/>
          <w:color w:val="00B050"/>
          <w:szCs w:val="20"/>
          <w:lang w:val="sl-SI"/>
        </w:rPr>
      </w:pPr>
    </w:p>
    <w:p w:rsidR="00AC01D7" w:rsidRPr="00AA4D99" w:rsidRDefault="00AC01D7" w:rsidP="00AC1505">
      <w:pPr>
        <w:spacing w:before="20" w:after="20"/>
        <w:jc w:val="both"/>
        <w:rPr>
          <w:rFonts w:cs="Arial"/>
          <w:b/>
          <w:szCs w:val="20"/>
          <w:lang w:val="sl-SI"/>
        </w:rPr>
      </w:pPr>
    </w:p>
    <w:p w:rsidR="00AC01D7" w:rsidRPr="00AA4D99" w:rsidRDefault="00AC01D7" w:rsidP="00AC1505">
      <w:pPr>
        <w:spacing w:before="20" w:after="20"/>
        <w:jc w:val="both"/>
        <w:rPr>
          <w:rFonts w:cs="Arial"/>
          <w:szCs w:val="20"/>
          <w:lang w:val="sl-SI"/>
        </w:rPr>
      </w:pPr>
      <w:r w:rsidRPr="00AA4D99">
        <w:rPr>
          <w:rFonts w:cs="Arial"/>
          <w:b/>
          <w:szCs w:val="20"/>
          <w:lang w:val="sl-SI"/>
        </w:rPr>
        <w:t>8. Organ, odgovoren za pripravo predloga stališča RS</w:t>
      </w:r>
      <w:r w:rsidRPr="00AA4D99">
        <w:rPr>
          <w:rFonts w:cs="Arial"/>
          <w:szCs w:val="20"/>
          <w:lang w:val="sl-SI"/>
        </w:rPr>
        <w:t>:</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 xml:space="preserve">Organ: </w:t>
      </w:r>
      <w:r w:rsidRPr="00AA4D99">
        <w:rPr>
          <w:rFonts w:cs="Arial"/>
          <w:i/>
          <w:szCs w:val="20"/>
          <w:lang w:val="sl-SI"/>
        </w:rPr>
        <w:t>Ministrstvo za kmetijstvo, gozdarstvo in prehrano</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Kontaktne osebe organa: </w:t>
      </w:r>
      <w:r w:rsidRPr="00AA4D99">
        <w:rPr>
          <w:rFonts w:cs="Arial"/>
          <w:i/>
          <w:szCs w:val="20"/>
          <w:lang w:val="sl-SI"/>
        </w:rPr>
        <w:t xml:space="preserve">Helena Gašperlin Pertovt, Služba za EU koordinacijo in mednarodne zadeve; dr. Polona </w:t>
      </w:r>
      <w:proofErr w:type="spellStart"/>
      <w:r w:rsidRPr="00AA4D99">
        <w:rPr>
          <w:rFonts w:cs="Arial"/>
          <w:i/>
          <w:szCs w:val="20"/>
          <w:lang w:val="sl-SI"/>
        </w:rPr>
        <w:t>Bunič</w:t>
      </w:r>
      <w:proofErr w:type="spellEnd"/>
      <w:r w:rsidRPr="00AA4D99">
        <w:rPr>
          <w:rFonts w:cs="Arial"/>
          <w:i/>
          <w:szCs w:val="20"/>
          <w:lang w:val="sl-SI"/>
        </w:rPr>
        <w:t>, Sektor za ribištvo</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b/>
          <w:szCs w:val="20"/>
          <w:lang w:val="sl-SI"/>
        </w:rPr>
      </w:pPr>
      <w:r w:rsidRPr="00AA4D99">
        <w:rPr>
          <w:rFonts w:cs="Arial"/>
          <w:b/>
          <w:szCs w:val="20"/>
          <w:lang w:val="sl-SI"/>
        </w:rPr>
        <w:t>9. Delovna skupina Vlade, organizirana za posamezno področje zadev EU</w:t>
      </w:r>
      <w:r w:rsidRPr="00AA4D99">
        <w:rPr>
          <w:rFonts w:cs="Arial"/>
          <w:szCs w:val="20"/>
          <w:lang w:val="sl-SI"/>
        </w:rPr>
        <w:t>:</w:t>
      </w:r>
      <w:r w:rsidRPr="00AA4D99">
        <w:rPr>
          <w:rFonts w:cs="Arial"/>
          <w:b/>
          <w:szCs w:val="20"/>
          <w:lang w:val="sl-SI"/>
        </w:rPr>
        <w:t xml:space="preserve"> </w:t>
      </w:r>
    </w:p>
    <w:p w:rsidR="00AC01D7" w:rsidRPr="00AA4D99" w:rsidRDefault="00AC01D7" w:rsidP="00AC1505">
      <w:pPr>
        <w:spacing w:before="20" w:after="20"/>
        <w:jc w:val="both"/>
        <w:rPr>
          <w:rFonts w:cs="Arial"/>
          <w:b/>
          <w:szCs w:val="20"/>
          <w:lang w:val="sl-SI"/>
        </w:rPr>
      </w:pPr>
      <w:r w:rsidRPr="00AA4D99">
        <w:rPr>
          <w:rFonts w:cs="Arial"/>
          <w:i/>
          <w:szCs w:val="20"/>
          <w:lang w:val="sl-SI"/>
        </w:rPr>
        <w:t>DS27 - Ribištvo</w:t>
      </w:r>
      <w:r w:rsidRPr="00AA4D99">
        <w:rPr>
          <w:rFonts w:cs="Arial"/>
          <w:b/>
          <w:szCs w:val="20"/>
          <w:lang w:val="sl-SI"/>
        </w:rPr>
        <w:t xml:space="preserve"> </w:t>
      </w:r>
    </w:p>
    <w:p w:rsidR="00AC01D7" w:rsidRPr="00AA4D99" w:rsidRDefault="00AC01D7" w:rsidP="00AC1505">
      <w:pPr>
        <w:spacing w:before="20" w:after="20"/>
        <w:jc w:val="both"/>
        <w:rPr>
          <w:rFonts w:cs="Arial"/>
          <w:b/>
          <w:i/>
          <w:color w:val="FF0000"/>
          <w:szCs w:val="20"/>
          <w:lang w:val="sl-SI"/>
        </w:rPr>
      </w:pPr>
    </w:p>
    <w:p w:rsidR="00AC01D7" w:rsidRPr="00AA4D99" w:rsidRDefault="00AC01D7" w:rsidP="00AC1505">
      <w:pPr>
        <w:spacing w:before="20" w:after="20"/>
        <w:jc w:val="both"/>
        <w:rPr>
          <w:rFonts w:cs="Arial"/>
          <w:i/>
          <w:szCs w:val="20"/>
          <w:lang w:val="sl-SI"/>
        </w:rPr>
      </w:pPr>
      <w:r w:rsidRPr="00AA4D99">
        <w:rPr>
          <w:rFonts w:cs="Arial"/>
          <w:szCs w:val="20"/>
          <w:lang w:val="sl-SI"/>
        </w:rPr>
        <w:t xml:space="preserve">vodilni organ: </w:t>
      </w:r>
      <w:r w:rsidRPr="00AA4D99">
        <w:rPr>
          <w:rFonts w:cs="Arial"/>
          <w:i/>
          <w:szCs w:val="20"/>
          <w:lang w:val="sl-SI"/>
        </w:rPr>
        <w:t>MKGP - Ministrstvo za kmetijstvo, gozdarstvo in prehrano</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vodja delovne skupine: </w:t>
      </w:r>
      <w:r w:rsidRPr="00AA4D99">
        <w:rPr>
          <w:rFonts w:cs="Arial"/>
          <w:i/>
          <w:szCs w:val="20"/>
          <w:lang w:val="sl-SI"/>
        </w:rPr>
        <w:t xml:space="preserve">Ana Le </w:t>
      </w:r>
      <w:proofErr w:type="spellStart"/>
      <w:r w:rsidRPr="00AA4D99">
        <w:rPr>
          <w:rFonts w:cs="Arial"/>
          <w:i/>
          <w:szCs w:val="20"/>
          <w:lang w:val="sl-SI"/>
        </w:rPr>
        <w:t>Marechal</w:t>
      </w:r>
      <w:proofErr w:type="spellEnd"/>
      <w:r w:rsidRPr="00AA4D99">
        <w:rPr>
          <w:rFonts w:cs="Arial"/>
          <w:i/>
          <w:szCs w:val="20"/>
          <w:lang w:val="sl-SI"/>
        </w:rPr>
        <w:t>-Kolar</w:t>
      </w:r>
    </w:p>
    <w:p w:rsidR="00AC01D7" w:rsidRPr="00AA4D99" w:rsidRDefault="00AC01D7" w:rsidP="00AC1505">
      <w:pPr>
        <w:spacing w:before="20" w:after="20"/>
        <w:jc w:val="both"/>
        <w:rPr>
          <w:rFonts w:cs="Arial"/>
          <w:b/>
          <w:szCs w:val="20"/>
          <w:lang w:val="sl-SI"/>
        </w:rPr>
      </w:pPr>
    </w:p>
    <w:p w:rsidR="00AC01D7" w:rsidRPr="00AA4D99" w:rsidRDefault="00AC01D7" w:rsidP="00AC1505">
      <w:pPr>
        <w:spacing w:before="20" w:after="20"/>
        <w:jc w:val="both"/>
        <w:rPr>
          <w:rFonts w:cs="Arial"/>
          <w:b/>
          <w:szCs w:val="20"/>
          <w:lang w:val="sl-SI"/>
        </w:rPr>
      </w:pPr>
      <w:r w:rsidRPr="00AA4D99">
        <w:rPr>
          <w:rFonts w:cs="Arial"/>
          <w:b/>
          <w:szCs w:val="20"/>
          <w:lang w:val="sl-SI"/>
        </w:rPr>
        <w:t>Delovna skupina je predlog stališča RS obravnavala</w:t>
      </w:r>
      <w:r w:rsidRPr="00AA4D99">
        <w:rPr>
          <w:rFonts w:cs="Arial"/>
          <w:szCs w:val="20"/>
          <w:lang w:val="sl-SI"/>
        </w:rPr>
        <w:t>:</w:t>
      </w:r>
      <w:r w:rsidRPr="00AA4D99">
        <w:rPr>
          <w:rFonts w:cs="Arial"/>
          <w:b/>
          <w:szCs w:val="20"/>
          <w:lang w:val="sl-SI"/>
        </w:rPr>
        <w:t xml:space="preserve">  </w:t>
      </w:r>
      <w:r w:rsidRPr="00AA4D99">
        <w:rPr>
          <w:rFonts w:cs="Arial"/>
          <w:i/>
          <w:szCs w:val="20"/>
          <w:lang w:val="sl-SI"/>
        </w:rPr>
        <w:t>Ne</w:t>
      </w:r>
    </w:p>
    <w:p w:rsidR="00AC01D7" w:rsidRPr="00AA4D99" w:rsidRDefault="00AC01D7" w:rsidP="00AC1505">
      <w:pPr>
        <w:spacing w:before="20" w:after="20"/>
        <w:jc w:val="both"/>
        <w:rPr>
          <w:rFonts w:cs="Arial"/>
          <w:b/>
          <w:szCs w:val="20"/>
          <w:lang w:val="sl-SI"/>
        </w:rPr>
      </w:pPr>
    </w:p>
    <w:p w:rsidR="00AC01D7" w:rsidRPr="00AA4D99" w:rsidRDefault="00AC01D7" w:rsidP="00AC1505">
      <w:pPr>
        <w:spacing w:before="20" w:after="20"/>
        <w:jc w:val="both"/>
        <w:rPr>
          <w:rFonts w:cs="Arial"/>
          <w:szCs w:val="20"/>
          <w:lang w:val="sl-SI"/>
        </w:rPr>
      </w:pPr>
      <w:r w:rsidRPr="00AA4D99">
        <w:rPr>
          <w:rFonts w:cs="Arial"/>
          <w:b/>
          <w:szCs w:val="20"/>
          <w:lang w:val="sl-SI"/>
        </w:rPr>
        <w:t>10. Predlog stališča RS je usklajen z organi</w:t>
      </w:r>
      <w:r w:rsidRPr="00AA4D99">
        <w:rPr>
          <w:rFonts w:cs="Arial"/>
          <w:szCs w:val="20"/>
          <w:lang w:val="sl-SI"/>
        </w:rPr>
        <w:t>:</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 xml:space="preserve">Organ: </w:t>
      </w:r>
      <w:r w:rsidRPr="00AA4D99">
        <w:rPr>
          <w:rFonts w:cs="Arial"/>
          <w:i/>
          <w:szCs w:val="20"/>
          <w:lang w:val="sl-SI"/>
        </w:rPr>
        <w:t>Ministrstvo za gospodarstvo, turizem in šport, Ministrstvo za naravne vire in prostor, Ministrstvo za okolje, podnebje in energijo, Ministrstvo za zunanje in evropske zadeve</w:t>
      </w:r>
    </w:p>
    <w:p w:rsidR="00AC01D7" w:rsidRPr="00AA4D99" w:rsidRDefault="00AC01D7" w:rsidP="00AC1505">
      <w:pPr>
        <w:spacing w:before="20" w:after="20"/>
        <w:jc w:val="both"/>
        <w:rPr>
          <w:rFonts w:cs="Arial"/>
          <w:szCs w:val="20"/>
          <w:lang w:val="sl-SI"/>
        </w:rPr>
      </w:pPr>
      <w:r w:rsidRPr="00AA4D99">
        <w:rPr>
          <w:rFonts w:cs="Arial"/>
          <w:szCs w:val="20"/>
          <w:lang w:val="sl-SI"/>
        </w:rPr>
        <w:t xml:space="preserve">Kontaktna oseba organa: </w:t>
      </w:r>
      <w:r w:rsidR="00014857" w:rsidRPr="00014857">
        <w:rPr>
          <w:rFonts w:cs="Arial"/>
          <w:i/>
          <w:szCs w:val="20"/>
          <w:lang w:val="sl-SI"/>
        </w:rPr>
        <w:t>Petra Doles Novak</w:t>
      </w:r>
      <w:bookmarkStart w:id="0" w:name="_GoBack"/>
      <w:bookmarkEnd w:id="0"/>
      <w:r w:rsidRPr="00AA4D99">
        <w:rPr>
          <w:rFonts w:cs="Arial"/>
          <w:i/>
          <w:szCs w:val="20"/>
          <w:lang w:val="sl-SI"/>
        </w:rPr>
        <w:t xml:space="preserve">, MGTŠ; Matevž </w:t>
      </w:r>
      <w:proofErr w:type="spellStart"/>
      <w:r w:rsidRPr="00AA4D99">
        <w:rPr>
          <w:rFonts w:cs="Arial"/>
          <w:i/>
          <w:szCs w:val="20"/>
          <w:lang w:val="sl-SI"/>
        </w:rPr>
        <w:t>Gotovnik</w:t>
      </w:r>
      <w:proofErr w:type="spellEnd"/>
      <w:r w:rsidRPr="00AA4D99">
        <w:rPr>
          <w:rFonts w:cs="Arial"/>
          <w:i/>
          <w:szCs w:val="20"/>
          <w:lang w:val="sl-SI"/>
        </w:rPr>
        <w:t xml:space="preserve">, MNVP; </w:t>
      </w:r>
      <w:proofErr w:type="spellStart"/>
      <w:r w:rsidRPr="00AA4D99">
        <w:rPr>
          <w:rFonts w:cs="Arial"/>
          <w:i/>
          <w:szCs w:val="20"/>
          <w:lang w:val="sl-SI"/>
        </w:rPr>
        <w:t>Luika</w:t>
      </w:r>
      <w:proofErr w:type="spellEnd"/>
      <w:r w:rsidRPr="00AA4D99">
        <w:rPr>
          <w:rFonts w:cs="Arial"/>
          <w:i/>
          <w:szCs w:val="20"/>
          <w:lang w:val="sl-SI"/>
        </w:rPr>
        <w:t xml:space="preserve"> Vombek, MOPE; mag. Jasna Koblar, MZEZ</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b/>
          <w:bCs/>
          <w:szCs w:val="20"/>
          <w:lang w:val="sl-SI"/>
        </w:rPr>
      </w:pPr>
      <w:r w:rsidRPr="00AA4D99">
        <w:rPr>
          <w:rFonts w:cs="Arial"/>
          <w:b/>
          <w:bCs/>
          <w:szCs w:val="20"/>
          <w:lang w:val="sl-SI"/>
        </w:rPr>
        <w:t>11. O predlogu stališča RS je bilo opravljeno posvetovanje z</w:t>
      </w:r>
      <w:r w:rsidRPr="00AA4D99">
        <w:rPr>
          <w:rFonts w:cs="Arial"/>
          <w:bCs/>
          <w:szCs w:val="20"/>
          <w:lang w:val="sl-SI"/>
        </w:rPr>
        <w:t>:</w:t>
      </w:r>
      <w:r w:rsidRPr="00AA4D99">
        <w:rPr>
          <w:rFonts w:cs="Arial"/>
          <w:b/>
          <w:bCs/>
          <w:szCs w:val="20"/>
          <w:lang w:val="sl-SI"/>
        </w:rPr>
        <w:t xml:space="preserve"> </w:t>
      </w:r>
    </w:p>
    <w:p w:rsidR="00AC01D7" w:rsidRPr="00AA4D99" w:rsidRDefault="00AC01D7" w:rsidP="00AC1505">
      <w:pPr>
        <w:spacing w:before="20" w:after="20"/>
        <w:jc w:val="both"/>
        <w:rPr>
          <w:rFonts w:cs="Arial"/>
          <w:bCs/>
          <w:szCs w:val="20"/>
          <w:lang w:val="sl-SI"/>
        </w:rPr>
      </w:pPr>
    </w:p>
    <w:p w:rsidR="00AC01D7" w:rsidRPr="00AA4D99" w:rsidRDefault="00AC01D7" w:rsidP="00AC1505">
      <w:pPr>
        <w:spacing w:before="20" w:after="20"/>
        <w:jc w:val="both"/>
        <w:rPr>
          <w:rFonts w:cs="Arial"/>
          <w:i/>
          <w:szCs w:val="20"/>
          <w:lang w:val="sl-SI"/>
        </w:rPr>
      </w:pPr>
    </w:p>
    <w:p w:rsidR="00AC01D7" w:rsidRPr="00AA4D99" w:rsidRDefault="00AC01D7" w:rsidP="00AC1505">
      <w:pPr>
        <w:spacing w:before="20" w:after="20"/>
        <w:jc w:val="both"/>
        <w:rPr>
          <w:rFonts w:cs="Arial"/>
          <w:b/>
          <w:szCs w:val="20"/>
          <w:lang w:val="sl-SI"/>
        </w:rPr>
      </w:pPr>
      <w:r w:rsidRPr="00AA4D99">
        <w:rPr>
          <w:rFonts w:cs="Arial"/>
          <w:b/>
          <w:szCs w:val="20"/>
          <w:lang w:val="sl-SI"/>
        </w:rPr>
        <w:t>12. Zahteva za obravnavo</w:t>
      </w:r>
      <w:r w:rsidRPr="00AA4D99">
        <w:rPr>
          <w:rFonts w:cs="Arial"/>
          <w:szCs w:val="20"/>
          <w:lang w:val="sl-SI"/>
        </w:rPr>
        <w:t>:</w:t>
      </w:r>
      <w:r w:rsidRPr="00AA4D99">
        <w:rPr>
          <w:rFonts w:cs="Arial"/>
          <w:b/>
          <w:szCs w:val="20"/>
          <w:lang w:val="sl-SI"/>
        </w:rPr>
        <w:t xml:space="preserve"> </w:t>
      </w:r>
      <w:r w:rsidRPr="00AA4D99">
        <w:rPr>
          <w:rFonts w:cs="Arial"/>
          <w:i/>
          <w:szCs w:val="20"/>
          <w:lang w:val="sl-SI"/>
        </w:rPr>
        <w:t>na seji Vlade, na seji Odbora za gospodarstvo</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b/>
          <w:iCs/>
          <w:szCs w:val="20"/>
          <w:lang w:val="sl-SI"/>
        </w:rPr>
      </w:pPr>
    </w:p>
    <w:p w:rsidR="00AC01D7" w:rsidRPr="00AA4D99" w:rsidRDefault="00AC01D7" w:rsidP="00AC1505">
      <w:pPr>
        <w:spacing w:before="20" w:after="20"/>
        <w:jc w:val="both"/>
        <w:rPr>
          <w:rFonts w:cs="Arial"/>
          <w:b/>
          <w:iCs/>
          <w:szCs w:val="20"/>
          <w:lang w:val="sl-SI"/>
        </w:rPr>
      </w:pPr>
    </w:p>
    <w:tbl>
      <w:tblPr>
        <w:tblW w:w="0" w:type="auto"/>
        <w:tblInd w:w="5353" w:type="dxa"/>
        <w:tblLook w:val="04A0" w:firstRow="1" w:lastRow="0" w:firstColumn="1" w:lastColumn="0" w:noHBand="0" w:noVBand="1"/>
      </w:tblPr>
      <w:tblGrid>
        <w:gridCol w:w="3085"/>
      </w:tblGrid>
      <w:tr w:rsidR="00AC01D7" w:rsidRPr="00AA4D99" w:rsidTr="00AC1505">
        <w:tc>
          <w:tcPr>
            <w:tcW w:w="3085" w:type="dxa"/>
            <w:shd w:val="clear" w:color="auto" w:fill="auto"/>
          </w:tcPr>
          <w:p w:rsidR="00AC01D7" w:rsidRPr="00AA4D99" w:rsidRDefault="00AC01D7" w:rsidP="00AC1505">
            <w:pPr>
              <w:spacing w:before="20" w:after="20"/>
              <w:jc w:val="center"/>
              <w:rPr>
                <w:rFonts w:cs="Arial"/>
                <w:b/>
                <w:iCs/>
                <w:szCs w:val="20"/>
                <w:lang w:val="sl-SI"/>
              </w:rPr>
            </w:pPr>
            <w:r w:rsidRPr="00AA4D99">
              <w:rPr>
                <w:rFonts w:cs="Arial"/>
                <w:b/>
                <w:iCs/>
                <w:szCs w:val="20"/>
                <w:lang w:val="sl-SI"/>
              </w:rPr>
              <w:t>Irena Šinko</w:t>
            </w:r>
          </w:p>
          <w:p w:rsidR="00AC01D7" w:rsidRPr="00AA4D99" w:rsidRDefault="00AC01D7" w:rsidP="00AC1505">
            <w:pPr>
              <w:spacing w:before="20" w:after="20"/>
              <w:jc w:val="center"/>
              <w:rPr>
                <w:rFonts w:cs="Arial"/>
                <w:b/>
                <w:iCs/>
                <w:szCs w:val="20"/>
                <w:lang w:val="sl-SI"/>
              </w:rPr>
            </w:pPr>
            <w:r w:rsidRPr="00AA4D99">
              <w:rPr>
                <w:rFonts w:cs="Arial"/>
                <w:b/>
                <w:iCs/>
                <w:szCs w:val="20"/>
                <w:lang w:val="sl-SI"/>
              </w:rPr>
              <w:t>MINISTRICA</w:t>
            </w:r>
          </w:p>
        </w:tc>
      </w:tr>
    </w:tbl>
    <w:p w:rsidR="00AC01D7" w:rsidRPr="00AA4D99" w:rsidRDefault="00AC01D7" w:rsidP="00AC1505">
      <w:pPr>
        <w:tabs>
          <w:tab w:val="center" w:pos="6804"/>
        </w:tabs>
        <w:spacing w:before="20" w:after="20"/>
        <w:rPr>
          <w:rFonts w:cs="Arial"/>
          <w:b/>
          <w:iCs/>
          <w:szCs w:val="20"/>
          <w:lang w:val="sl-SI"/>
        </w:rPr>
      </w:pPr>
      <w:r w:rsidRPr="00AA4D99">
        <w:rPr>
          <w:rFonts w:cs="Arial"/>
          <w:b/>
          <w:iCs/>
          <w:szCs w:val="20"/>
          <w:lang w:val="sl-SI"/>
        </w:rPr>
        <w:br w:type="page"/>
      </w:r>
    </w:p>
    <w:p w:rsidR="00AC01D7" w:rsidRPr="00AA4D99" w:rsidRDefault="00AC01D7" w:rsidP="00AC1505">
      <w:pPr>
        <w:spacing w:before="20" w:after="20"/>
        <w:jc w:val="center"/>
        <w:rPr>
          <w:rFonts w:cs="Arial"/>
          <w:bCs/>
          <w:szCs w:val="20"/>
          <w:lang w:val="sl-SI"/>
        </w:rPr>
      </w:pPr>
      <w:r w:rsidRPr="00AA4D99">
        <w:rPr>
          <w:rFonts w:cs="Arial"/>
          <w:bCs/>
          <w:szCs w:val="20"/>
          <w:lang w:val="sl-SI"/>
        </w:rPr>
        <w:lastRenderedPageBreak/>
        <w:t>II.</w:t>
      </w:r>
    </w:p>
    <w:p w:rsidR="00AC01D7" w:rsidRPr="00AA4D99" w:rsidRDefault="00AC01D7" w:rsidP="00AC1505">
      <w:pPr>
        <w:spacing w:before="20" w:after="20"/>
        <w:jc w:val="center"/>
        <w:rPr>
          <w:rFonts w:cs="Arial"/>
          <w:b/>
          <w:szCs w:val="20"/>
          <w:lang w:val="sl-SI"/>
        </w:rPr>
      </w:pPr>
      <w:r w:rsidRPr="00AA4D99">
        <w:rPr>
          <w:rFonts w:cs="Arial"/>
          <w:b/>
          <w:szCs w:val="20"/>
          <w:lang w:val="sl-SI"/>
        </w:rPr>
        <w:t>PREDLOG</w:t>
      </w:r>
    </w:p>
    <w:p w:rsidR="00AC01D7" w:rsidRPr="00AA4D99" w:rsidRDefault="00AC01D7" w:rsidP="00AC1505">
      <w:pPr>
        <w:spacing w:before="20" w:after="20"/>
        <w:jc w:val="center"/>
        <w:rPr>
          <w:rFonts w:cs="Arial"/>
          <w:b/>
          <w:szCs w:val="20"/>
          <w:lang w:val="sl-SI"/>
        </w:rPr>
      </w:pPr>
    </w:p>
    <w:p w:rsidR="00AC01D7" w:rsidRPr="00AA4D99" w:rsidRDefault="00AC01D7" w:rsidP="00AC1505">
      <w:pPr>
        <w:spacing w:before="20" w:after="20"/>
        <w:jc w:val="center"/>
        <w:rPr>
          <w:rFonts w:cs="Arial"/>
          <w:szCs w:val="20"/>
          <w:lang w:val="sl-SI"/>
        </w:rPr>
      </w:pPr>
      <w:r w:rsidRPr="00AA4D99">
        <w:rPr>
          <w:rFonts w:cs="Arial"/>
          <w:b/>
          <w:szCs w:val="20"/>
          <w:lang w:val="sl-SI"/>
        </w:rPr>
        <w:t>STALIŠČE RS</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Na podlagi 21. člena Zakona o Vladi Republike Slovenije (Uradni list RS, št. 24/05 – uradno prečiščeno besedilo, 109/08, 38/10 – ZUKN, 8/12, 21/13, 47/13 – ZDU-1G, 65/14, 55/17 in 163/22) je Vlada Republike Slovenije sprejela naslednji sklep</w:t>
      </w:r>
    </w:p>
    <w:p w:rsidR="00AC01D7" w:rsidRPr="00AA4D99" w:rsidRDefault="00AC01D7" w:rsidP="00AC1505">
      <w:pPr>
        <w:spacing w:before="20" w:after="20"/>
        <w:jc w:val="both"/>
        <w:rPr>
          <w:rFonts w:cs="Arial"/>
          <w:b/>
          <w:i/>
          <w:szCs w:val="20"/>
          <w:lang w:val="sl-SI"/>
        </w:rPr>
      </w:pPr>
    </w:p>
    <w:p w:rsidR="00AC01D7" w:rsidRPr="00AA4D99" w:rsidRDefault="00AC01D7" w:rsidP="00AC1505">
      <w:pPr>
        <w:spacing w:before="20" w:after="20"/>
        <w:jc w:val="both"/>
        <w:rPr>
          <w:rFonts w:cs="Arial"/>
          <w:b/>
          <w:iCs/>
          <w:szCs w:val="20"/>
          <w:lang w:val="sl-SI"/>
        </w:rPr>
      </w:pPr>
      <w:r w:rsidRPr="00AA4D99">
        <w:rPr>
          <w:rFonts w:cs="Arial"/>
          <w:b/>
          <w:iCs/>
          <w:szCs w:val="20"/>
          <w:lang w:val="sl-SI"/>
        </w:rPr>
        <w:t>A)</w:t>
      </w:r>
    </w:p>
    <w:p w:rsidR="00AC01D7" w:rsidRPr="00AA4D99" w:rsidRDefault="00AC01D7" w:rsidP="00AC1505">
      <w:pPr>
        <w:spacing w:before="20" w:after="20"/>
        <w:jc w:val="both"/>
        <w:rPr>
          <w:rFonts w:cs="Arial"/>
          <w:i/>
          <w:iCs/>
          <w:szCs w:val="20"/>
          <w:lang w:val="sl-SI"/>
        </w:rPr>
      </w:pPr>
      <w:r w:rsidRPr="00AA4D99">
        <w:rPr>
          <w:rFonts w:cs="Arial"/>
          <w:iCs/>
          <w:szCs w:val="20"/>
          <w:lang w:val="sl-SI"/>
        </w:rPr>
        <w:t>Republika Slovenija je sprejela (določila predlog)</w:t>
      </w:r>
    </w:p>
    <w:p w:rsidR="00AC01D7" w:rsidRPr="00AA4D99" w:rsidRDefault="00AC01D7" w:rsidP="00AC1505">
      <w:pPr>
        <w:spacing w:before="20" w:after="20"/>
        <w:jc w:val="both"/>
        <w:rPr>
          <w:rFonts w:cs="Arial"/>
          <w:i/>
          <w:szCs w:val="20"/>
          <w:lang w:val="sl-SI"/>
        </w:rPr>
      </w:pPr>
      <w:r w:rsidRPr="00AA4D99">
        <w:rPr>
          <w:rFonts w:cs="Arial"/>
          <w:b/>
          <w:i/>
          <w:szCs w:val="20"/>
          <w:lang w:val="sl-SI"/>
        </w:rPr>
        <w:t>Stališče Republike Slovenije</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Vlada Republike Slovenije je sprejela na podlagi 49.h člena Poslovnika Vlade Republike Slovenije stališče Republike Slovenije k zadevi Predlog uredbe Sveta o določitvi ribolovnih možnosti za leto 2024 za nekatere staleže rib in skupine staležev rib, ki se uporabljajo v Baltskem morju, ter o spremembi Uredbe (EU) 2023/194 glede nekaterih ribolovnih možnosti v drugih vodah - 12451/23, ki se glasi:</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Republika Slovenija podpira Predlog uredbe Sveta o določitvi ribolovnih možnosti za leto 2024 za nekatere staleže rib in skupine staležev rib, ki se uporabljajo v Baltskem morju, ter o spremembi Uredbe (EU) 2023/194 glede nekaterih ribolovnih možnosti v drugih vodah.</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Predlog ne zadeva slovenskega ribištva, saj slovenski morski gospodarski ribiči izvajajo ribolov le v severnem Jadranu.</w:t>
      </w:r>
    </w:p>
    <w:p w:rsidR="00AC01D7" w:rsidRPr="00AA4D99" w:rsidRDefault="00AC01D7" w:rsidP="00AC1505">
      <w:pPr>
        <w:spacing w:before="20" w:after="20"/>
        <w:jc w:val="both"/>
        <w:rPr>
          <w:rFonts w:cs="Arial"/>
          <w:b/>
          <w:iCs/>
          <w:szCs w:val="20"/>
          <w:lang w:val="sl-SI"/>
        </w:rPr>
      </w:pPr>
    </w:p>
    <w:p w:rsidR="00AC01D7" w:rsidRPr="00AA4D99" w:rsidRDefault="00AC01D7" w:rsidP="00AC1505">
      <w:pPr>
        <w:spacing w:before="20" w:after="20"/>
        <w:jc w:val="both"/>
        <w:rPr>
          <w:rFonts w:cs="Arial"/>
          <w:b/>
          <w:i/>
          <w:iCs/>
          <w:szCs w:val="20"/>
          <w:lang w:val="sl-SI"/>
        </w:rPr>
      </w:pPr>
      <w:r w:rsidRPr="00AA4D99">
        <w:rPr>
          <w:rFonts w:cs="Arial"/>
          <w:b/>
          <w:iCs/>
          <w:szCs w:val="20"/>
          <w:lang w:val="sl-SI"/>
        </w:rPr>
        <w:t>B)</w:t>
      </w:r>
      <w:r w:rsidRPr="00AA4D99">
        <w:rPr>
          <w:rFonts w:cs="Arial"/>
          <w:i/>
          <w:iCs/>
          <w:szCs w:val="20"/>
          <w:lang w:val="sl-SI"/>
        </w:rPr>
        <w:t xml:space="preserve"> (</w:t>
      </w:r>
      <w:r w:rsidRPr="00AA4D99">
        <w:rPr>
          <w:rFonts w:cs="Arial"/>
          <w:b/>
          <w:i/>
          <w:iCs/>
          <w:szCs w:val="20"/>
          <w:lang w:val="sl-SI"/>
        </w:rPr>
        <w:t>Za zakonodajne akte in odločitve politične narave)</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Cs/>
          <w:szCs w:val="20"/>
          <w:lang w:val="sl-SI"/>
        </w:rPr>
      </w:pPr>
      <w:r w:rsidRPr="00AA4D99">
        <w:rPr>
          <w:rFonts w:cs="Arial"/>
          <w:b/>
          <w:iCs/>
          <w:szCs w:val="20"/>
          <w:lang w:val="sl-SI"/>
        </w:rPr>
        <w:t>POGLAVITNE REŠITVE IN CILJI PREDLOGA ZADEVE EU</w:t>
      </w:r>
      <w:r w:rsidRPr="00AA4D99">
        <w:rPr>
          <w:rFonts w:cs="Arial"/>
          <w:iCs/>
          <w:szCs w:val="20"/>
          <w:lang w:val="sl-SI"/>
        </w:rPr>
        <w:t>:</w:t>
      </w:r>
      <w:r w:rsidRPr="00AA4D99">
        <w:rPr>
          <w:rFonts w:cs="Arial"/>
          <w:b/>
          <w:i/>
          <w:iCs/>
          <w:color w:val="0070C0"/>
          <w:szCs w:val="20"/>
          <w:lang w:val="sl-SI"/>
        </w:rPr>
        <w:t xml:space="preserve"> </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Cilj tega predloga je  v skladu s cilji in pravili skupne ribiške politike določiti ribolovne možnosti za države članice za leto 2024 za gospodarsko najpomembnejše staleže rib v Baltskem morju. Njegov cilj je tudi urediti morski rekreacijski ribolov v obsegu, ki je potreben za ohranitev staležev rib, zajetih s to uredbo. </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Zaradi poenostavitve in pojasnitve odločitev o letnih celotnih dovoljenih ulovih (TAC) in kvotah so ribolovne možnosti v Baltskem morju določene v ločeni uredbi in sicer v Uredbi (EU) 2016/1139 o vzpostavitvi večletnega načrta za Baltsko morje, ki je začela veljati 20. julija 2016. </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Letno določanje ribolovnih možnosti v obliki celotnih dovoljenih ulovov (TAC) in kvot je pomembno orodje za dosego trajnostnega izkoriščanja živih morskih bioloških virov, tj. načina, ki dovoljuje obnavljanje in ohranjanje populacij </w:t>
      </w:r>
      <w:proofErr w:type="spellStart"/>
      <w:r w:rsidRPr="00AA4D99">
        <w:rPr>
          <w:rFonts w:cs="Arial"/>
          <w:i/>
          <w:iCs/>
          <w:szCs w:val="20"/>
          <w:lang w:val="sl-SI"/>
        </w:rPr>
        <w:t>lovljenih</w:t>
      </w:r>
      <w:proofErr w:type="spellEnd"/>
      <w:r w:rsidRPr="00AA4D99">
        <w:rPr>
          <w:rFonts w:cs="Arial"/>
          <w:i/>
          <w:iCs/>
          <w:szCs w:val="20"/>
          <w:lang w:val="sl-SI"/>
        </w:rPr>
        <w:t xml:space="preserve"> vrst nad ravnmi, ki omogočajo največji trajnostni donos (v skladu z Uredbo (EU) št. 1380/2013 Evropskega parlamenta in Sveta z dne 11. decembra 2013 o skupni ribiški politiki (SRP)). </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V skladu z določbami tega načrta se državam članicam dodeljujejo ribolovne možnosti določijo v skladu s cilji osnovne uredbe o skupni ribiški politiki in večletnega načrta za Baltsko morje ter morajo biti skladne s ciljnimi razponi ribolovne umrljivosti, določenimi v najboljšem razpoložljivem znanstvenem mnenju, zlasti mnenju Mednarodnega sveta za raziskovanje morja (ang. </w:t>
      </w:r>
      <w:proofErr w:type="spellStart"/>
      <w:r w:rsidRPr="00AA4D99">
        <w:rPr>
          <w:rFonts w:cs="Arial"/>
          <w:i/>
          <w:iCs/>
          <w:szCs w:val="20"/>
          <w:lang w:val="sl-SI"/>
        </w:rPr>
        <w:t>International</w:t>
      </w:r>
      <w:proofErr w:type="spellEnd"/>
      <w:r w:rsidRPr="00AA4D99">
        <w:rPr>
          <w:rFonts w:cs="Arial"/>
          <w:i/>
          <w:iCs/>
          <w:szCs w:val="20"/>
          <w:lang w:val="sl-SI"/>
        </w:rPr>
        <w:t xml:space="preserve"> Council for the </w:t>
      </w:r>
      <w:proofErr w:type="spellStart"/>
      <w:r w:rsidRPr="00AA4D99">
        <w:rPr>
          <w:rFonts w:cs="Arial"/>
          <w:i/>
          <w:iCs/>
          <w:szCs w:val="20"/>
          <w:lang w:val="sl-SI"/>
        </w:rPr>
        <w:t>Exploration</w:t>
      </w:r>
      <w:proofErr w:type="spellEnd"/>
      <w:r w:rsidRPr="00AA4D99">
        <w:rPr>
          <w:rFonts w:cs="Arial"/>
          <w:i/>
          <w:iCs/>
          <w:szCs w:val="20"/>
          <w:lang w:val="sl-SI"/>
        </w:rPr>
        <w:t xml:space="preserve"> of the </w:t>
      </w:r>
      <w:proofErr w:type="spellStart"/>
      <w:r w:rsidRPr="00AA4D99">
        <w:rPr>
          <w:rFonts w:cs="Arial"/>
          <w:i/>
          <w:iCs/>
          <w:szCs w:val="20"/>
          <w:lang w:val="sl-SI"/>
        </w:rPr>
        <w:t>Sea</w:t>
      </w:r>
      <w:proofErr w:type="spellEnd"/>
      <w:r w:rsidRPr="00AA4D99">
        <w:rPr>
          <w:rFonts w:cs="Arial"/>
          <w:i/>
          <w:iCs/>
          <w:szCs w:val="20"/>
          <w:lang w:val="sl-SI"/>
        </w:rPr>
        <w:t xml:space="preserve">) ali podobnega neodvisnega znanstvenega organa. </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Predlog je del dolgoročnega pristopa, s katerim se raven ribolova prilagodi trajnostnim dolgoročnim ravnem in na njih ohranja. S tem pristopom naj bi se sčasoma zagotovili: (i) stabilen </w:t>
      </w:r>
      <w:r w:rsidRPr="00AA4D99">
        <w:rPr>
          <w:rFonts w:cs="Arial"/>
          <w:i/>
          <w:iCs/>
          <w:szCs w:val="20"/>
          <w:lang w:val="sl-SI"/>
        </w:rPr>
        <w:lastRenderedPageBreak/>
        <w:t xml:space="preserve">ribolovni pritisk, (ii) višje kvote in s tem (iii) boljši dohodek za ribiče in njihove družine. Pričakuje se, da bo iztovarjanje koristilo: ribiškemu sektorju, potrošnikom, predelovalni industriji in maloprodajnemu sektorju ter ostalim dejavnostim, vezanim na gospodarski in rekreacijski ribolov. Pri tem je treba poudariti povezavo med trajnostnim ribištvom in zdravim morskim okoljem v Baltskem morju v skladu s strategijo za biotsko raznovrstnost in drugimi sorodnimi pobudami, zlasti akcijskim načrtom EU za morske ekosisteme in ribištvo. </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Predlog uredbe določa omejitve ulova za staleže v Baltskem morju za leto 2024 skladno s cilji načrta. Komisije predlaga: </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trske iz vzhodnega Baltskega morja ohranitev zaprtja ciljno usmerjenega ribolova in funkcionalnih povezanih popravnih ukrepov, obenem pa opustitev izjeme od prepovedi ribolova v času drstenja za nekatere vrste ribolova atlantskega sleda za prehrano ljudi, saj bo ciljno usmerjeni ribolov atlantskega sleda iz osrednjega Baltskega morja zaprt ter določitev ribolovnih možnosti za neizogibni </w:t>
      </w:r>
      <w:proofErr w:type="spellStart"/>
      <w:r w:rsidRPr="00AA4D99">
        <w:rPr>
          <w:rFonts w:cs="Arial"/>
          <w:i/>
          <w:iCs/>
          <w:szCs w:val="20"/>
          <w:lang w:val="sl-SI"/>
        </w:rPr>
        <w:t>prilov</w:t>
      </w:r>
      <w:proofErr w:type="spellEnd"/>
      <w:r w:rsidRPr="00AA4D99">
        <w:rPr>
          <w:rFonts w:cs="Arial"/>
          <w:i/>
          <w:iCs/>
          <w:szCs w:val="20"/>
          <w:lang w:val="sl-SI"/>
        </w:rPr>
        <w:t xml:space="preserve"> na nizki ravni;</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stalež trske iz zahodnega Baltskega morja izjemno nizek ulov oziroma ohranitev zaprtja ciljno usmerjenega ribolova in funkcionalnih povezanih popravnih ukrepov, obenem pa opustitev izjeme, saj bo ciljno usmerjeni ribolov atlantskega sleda iz osrednjega Baltskega morja zaprt, opustitev rekreacijskega ribolova;</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atlantskega lososa v podrazdelkih ICES 22 do 31 se predlaga prilagoditev ribolovnega območja in ravni ribolovnih možnosti v skladu z mnenjem ICES ter ohranitev funkcionalno povezanih popravnih ukrepov; </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za stalež morske postrvi se ohrani prepoved ribolova več kot štiri morske milje od temeljnih črt</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atlantskega sleda iz </w:t>
      </w:r>
      <w:proofErr w:type="spellStart"/>
      <w:r w:rsidRPr="00AA4D99">
        <w:rPr>
          <w:rFonts w:cs="Arial"/>
          <w:i/>
          <w:iCs/>
          <w:szCs w:val="20"/>
          <w:lang w:val="sl-SI"/>
        </w:rPr>
        <w:t>Botnijskega</w:t>
      </w:r>
      <w:proofErr w:type="spellEnd"/>
      <w:r w:rsidRPr="00AA4D99">
        <w:rPr>
          <w:rFonts w:cs="Arial"/>
          <w:i/>
          <w:iCs/>
          <w:szCs w:val="20"/>
          <w:lang w:val="sl-SI"/>
        </w:rPr>
        <w:t xml:space="preserve"> zaliva ohranitev zaprtja ciljno usmerjenega ribolova in opustitev izjemo za male ribič ter določitev ribolovnih možnosti za neizogibni </w:t>
      </w:r>
      <w:proofErr w:type="spellStart"/>
      <w:r w:rsidRPr="00AA4D99">
        <w:rPr>
          <w:rFonts w:cs="Arial"/>
          <w:i/>
          <w:iCs/>
          <w:szCs w:val="20"/>
          <w:lang w:val="sl-SI"/>
        </w:rPr>
        <w:t>prilov</w:t>
      </w:r>
      <w:proofErr w:type="spellEnd"/>
      <w:r w:rsidRPr="00AA4D99">
        <w:rPr>
          <w:rFonts w:cs="Arial"/>
          <w:i/>
          <w:iCs/>
          <w:szCs w:val="20"/>
          <w:lang w:val="sl-SI"/>
        </w:rPr>
        <w:t xml:space="preserve"> na nizki ravni;</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atlantskega sleda iz zahodnega Baltskega morja ohranitev zaprtja ciljno usmerjenega ribolova in opustitev izjemo za male ribič ter določitev ribolovnih možnosti za neizogibni </w:t>
      </w:r>
      <w:proofErr w:type="spellStart"/>
      <w:r w:rsidRPr="00AA4D99">
        <w:rPr>
          <w:rFonts w:cs="Arial"/>
          <w:i/>
          <w:iCs/>
          <w:szCs w:val="20"/>
          <w:lang w:val="sl-SI"/>
        </w:rPr>
        <w:t>prilov</w:t>
      </w:r>
      <w:proofErr w:type="spellEnd"/>
      <w:r w:rsidRPr="00AA4D99">
        <w:rPr>
          <w:rFonts w:cs="Arial"/>
          <w:i/>
          <w:iCs/>
          <w:szCs w:val="20"/>
          <w:lang w:val="sl-SI"/>
        </w:rPr>
        <w:t xml:space="preserve"> na nizki ravni;</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atlantskega sleda iz osrednjega Baltskega morja  ohranitev zaprtja ciljno usmerjenega ribolova in določitev ribolovnih možnosti za neizogibni </w:t>
      </w:r>
      <w:proofErr w:type="spellStart"/>
      <w:r w:rsidRPr="00AA4D99">
        <w:rPr>
          <w:rFonts w:cs="Arial"/>
          <w:i/>
          <w:iCs/>
          <w:szCs w:val="20"/>
          <w:lang w:val="sl-SI"/>
        </w:rPr>
        <w:t>prilov</w:t>
      </w:r>
      <w:proofErr w:type="spellEnd"/>
      <w:r w:rsidRPr="00AA4D99">
        <w:rPr>
          <w:rFonts w:cs="Arial"/>
          <w:i/>
          <w:iCs/>
          <w:szCs w:val="20"/>
          <w:lang w:val="sl-SI"/>
        </w:rPr>
        <w:t xml:space="preserve"> na nizki ravni;</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za stalež atlantskega sleda iz Riškega zaliva določitev ribolovnih možnosti v zgornjem razponu, da se vsakoletne spremembe omejijo na največ 20 %;</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 za stalež morske plošče pri določitvi ribolovnih možnosti upoštevati, da pri njenem ribolovu prihaja do </w:t>
      </w:r>
      <w:proofErr w:type="spellStart"/>
      <w:r w:rsidRPr="00AA4D99">
        <w:rPr>
          <w:rFonts w:cs="Arial"/>
          <w:i/>
          <w:iCs/>
          <w:szCs w:val="20"/>
          <w:lang w:val="sl-SI"/>
        </w:rPr>
        <w:t>prilova</w:t>
      </w:r>
      <w:proofErr w:type="spellEnd"/>
      <w:r w:rsidRPr="00AA4D99">
        <w:rPr>
          <w:rFonts w:cs="Arial"/>
          <w:i/>
          <w:iCs/>
          <w:szCs w:val="20"/>
          <w:lang w:val="sl-SI"/>
        </w:rPr>
        <w:t xml:space="preserve"> trsk ter da se je znatno povečala stopnja zavržkov morske plošče;</w:t>
      </w:r>
    </w:p>
    <w:p w:rsidR="00AC01D7" w:rsidRPr="00AA4D99" w:rsidRDefault="00AC01D7" w:rsidP="00AC1505">
      <w:pPr>
        <w:spacing w:before="20" w:after="20"/>
        <w:jc w:val="both"/>
        <w:rPr>
          <w:rFonts w:cs="Arial"/>
          <w:i/>
          <w:iCs/>
          <w:szCs w:val="20"/>
          <w:lang w:val="sl-SI"/>
        </w:rPr>
      </w:pPr>
      <w:r w:rsidRPr="00AA4D99">
        <w:rPr>
          <w:rFonts w:cs="Arial"/>
          <w:i/>
          <w:iCs/>
          <w:szCs w:val="20"/>
          <w:lang w:val="sl-SI"/>
        </w:rPr>
        <w:t>- za stalež papaline pri določitvi ribolovnih možnosti upoštevati, da pri njenem ribolovu prihaja do mešanega ribolova s sledom ter rekordno majhen prirast v letih 2021 in 2022;</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Za biomaso staležev trske iz vzhodnega Baltskega morja, trske iz zahodnega Baltskega morja, atlantskega sleda iz zahodnega Baltskega morja in atlantskega sleda iz osrednjega Baltskega morja je dovoljena le </w:t>
      </w:r>
      <w:proofErr w:type="spellStart"/>
      <w:r w:rsidRPr="00AA4D99">
        <w:rPr>
          <w:rFonts w:cs="Arial"/>
          <w:i/>
          <w:iCs/>
          <w:szCs w:val="20"/>
          <w:lang w:val="sl-SI"/>
        </w:rPr>
        <w:t>prilov</w:t>
      </w:r>
      <w:proofErr w:type="spellEnd"/>
      <w:r w:rsidRPr="00AA4D99">
        <w:rPr>
          <w:rFonts w:cs="Arial"/>
          <w:i/>
          <w:iCs/>
          <w:szCs w:val="20"/>
          <w:lang w:val="sl-SI"/>
        </w:rPr>
        <w:t xml:space="preserve"> in znanstveni ribolov.</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Določbe glede ukrepov v zvezi z rekreacijskim ribolovom trske in atlantskega lososa ter ukrepi za ohranjanje staležev morske postrvi in atlantskega lososa ne posegajo v strožje nacionalne ukrepe na podlagi členov 19 in 20 Uredbe (EU) št. 1380/2013.</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Dodatno pa se s to uredbo spreminja Uredba (EU) 2023/194 glede nekaterih ribolovnih možnosti v drugih vodah in sicer za norveškega </w:t>
      </w:r>
      <w:proofErr w:type="spellStart"/>
      <w:r w:rsidRPr="00AA4D99">
        <w:rPr>
          <w:rFonts w:cs="Arial"/>
          <w:i/>
          <w:iCs/>
          <w:szCs w:val="20"/>
          <w:lang w:val="sl-SI"/>
        </w:rPr>
        <w:t>moliča</w:t>
      </w:r>
      <w:proofErr w:type="spellEnd"/>
      <w:r w:rsidRPr="00AA4D99">
        <w:rPr>
          <w:rFonts w:cs="Arial"/>
          <w:i/>
          <w:iCs/>
          <w:szCs w:val="20"/>
          <w:lang w:val="sl-SI"/>
        </w:rPr>
        <w:t xml:space="preserve"> v razdelku ICES 3a, v vodah Združenega kraljestva in Unije podobmočja ICES 4 in vodah Združenega kraljestva razdelka ICES 2a od 1. novembra 2023 do 31. oktobra 2024, saj je to ribolovna sezona norveškega </w:t>
      </w:r>
      <w:proofErr w:type="spellStart"/>
      <w:r w:rsidRPr="00AA4D99">
        <w:rPr>
          <w:rFonts w:cs="Arial"/>
          <w:i/>
          <w:iCs/>
          <w:szCs w:val="20"/>
          <w:lang w:val="sl-SI"/>
        </w:rPr>
        <w:t>moliča</w:t>
      </w:r>
      <w:proofErr w:type="spellEnd"/>
      <w:r w:rsidRPr="00AA4D99">
        <w:rPr>
          <w:rFonts w:cs="Arial"/>
          <w:i/>
          <w:iCs/>
          <w:szCs w:val="20"/>
          <w:lang w:val="sl-SI"/>
        </w:rPr>
        <w:t>. Zaradi nujnosti bi morala ta uredba začeti veljati takoj po objavi.</w:t>
      </w:r>
    </w:p>
    <w:p w:rsidR="00AC01D7" w:rsidRPr="00AA4D99" w:rsidRDefault="00AC01D7" w:rsidP="00AC1505">
      <w:pPr>
        <w:spacing w:before="20" w:after="20"/>
        <w:jc w:val="both"/>
        <w:rPr>
          <w:rFonts w:cs="Arial"/>
          <w:i/>
          <w:iCs/>
          <w:szCs w:val="20"/>
          <w:lang w:val="sl-SI"/>
        </w:rPr>
      </w:pPr>
    </w:p>
    <w:p w:rsidR="00AC01D7" w:rsidRPr="00AA4D99" w:rsidRDefault="00AC01D7" w:rsidP="00AC1505">
      <w:pPr>
        <w:spacing w:before="20" w:after="20"/>
        <w:jc w:val="both"/>
        <w:rPr>
          <w:rFonts w:cs="Arial"/>
          <w:i/>
          <w:iCs/>
          <w:szCs w:val="20"/>
          <w:lang w:val="sl-SI"/>
        </w:rPr>
      </w:pPr>
      <w:r w:rsidRPr="00AA4D99">
        <w:rPr>
          <w:rFonts w:cs="Arial"/>
          <w:i/>
          <w:iCs/>
          <w:szCs w:val="20"/>
          <w:lang w:val="sl-SI"/>
        </w:rPr>
        <w:t xml:space="preserve">Ta uredba začne veljati dan po objavi v Uradnem listu Evropske unije. Uporablja se od 1. januarja do 31. decembra 2024, pri čemer pa se člen 12, točka 1, uporablja od 1. novembra 2023 do 31. </w:t>
      </w:r>
      <w:r w:rsidRPr="00AA4D99">
        <w:rPr>
          <w:rFonts w:cs="Arial"/>
          <w:i/>
          <w:iCs/>
          <w:szCs w:val="20"/>
          <w:lang w:val="sl-SI"/>
        </w:rPr>
        <w:lastRenderedPageBreak/>
        <w:t>oktobra 2024; Ta uredba je v celoti zavezujoča in se neposredno uporablja v vseh državah članicah.</w:t>
      </w:r>
    </w:p>
    <w:p w:rsidR="00AC01D7" w:rsidRPr="00AA4D99" w:rsidRDefault="00AC01D7" w:rsidP="00AC1505">
      <w:pPr>
        <w:spacing w:before="20" w:after="20"/>
        <w:jc w:val="both"/>
        <w:rPr>
          <w:rFonts w:cs="Arial"/>
          <w:iCs/>
          <w:szCs w:val="20"/>
          <w:lang w:val="sl-SI"/>
        </w:rPr>
      </w:pPr>
    </w:p>
    <w:p w:rsidR="00AC01D7" w:rsidRPr="00AA4D99" w:rsidRDefault="00AC01D7" w:rsidP="00AC1505">
      <w:pPr>
        <w:spacing w:before="20" w:after="20"/>
        <w:jc w:val="both"/>
        <w:rPr>
          <w:rFonts w:cs="Arial"/>
          <w:iCs/>
          <w:szCs w:val="20"/>
          <w:lang w:val="sl-SI"/>
        </w:rPr>
      </w:pPr>
      <w:r w:rsidRPr="00AA4D99">
        <w:rPr>
          <w:rFonts w:cs="Arial"/>
          <w:b/>
          <w:iCs/>
          <w:szCs w:val="20"/>
          <w:lang w:val="sl-SI"/>
        </w:rPr>
        <w:t>OCENA VPLIVOV IN POSLEDIC PREDLOGA ZADEVE EU</w:t>
      </w:r>
      <w:r w:rsidRPr="00AA4D99">
        <w:rPr>
          <w:rFonts w:cs="Arial"/>
          <w:iCs/>
          <w:szCs w:val="20"/>
          <w:lang w:val="sl-SI"/>
        </w:rPr>
        <w:t xml:space="preserve">: </w:t>
      </w:r>
    </w:p>
    <w:p w:rsidR="00AC01D7" w:rsidRPr="00AA4D99" w:rsidRDefault="00AC01D7" w:rsidP="00AC1505">
      <w:pPr>
        <w:spacing w:before="20" w:after="20"/>
        <w:jc w:val="both"/>
        <w:rPr>
          <w:rFonts w:cs="Arial"/>
          <w:i/>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Vpliv na pravni red</w:t>
      </w:r>
    </w:p>
    <w:p w:rsidR="00AC01D7" w:rsidRPr="00AA4D99" w:rsidRDefault="00AC01D7" w:rsidP="00AC1505">
      <w:pPr>
        <w:spacing w:before="20" w:after="20"/>
        <w:jc w:val="both"/>
        <w:rPr>
          <w:rFonts w:cs="Arial"/>
          <w:i/>
          <w:szCs w:val="20"/>
          <w:lang w:val="sl-SI"/>
        </w:rPr>
      </w:pPr>
      <w:r w:rsidRPr="00AA4D99">
        <w:rPr>
          <w:rFonts w:cs="Arial"/>
          <w:i/>
          <w:szCs w:val="20"/>
          <w:lang w:val="sl-SI"/>
        </w:rPr>
        <w:t>Ni vpliva na pravni red.</w:t>
      </w:r>
    </w:p>
    <w:p w:rsidR="00AC01D7" w:rsidRPr="00AA4D99" w:rsidRDefault="00AC01D7" w:rsidP="00AC1505">
      <w:pPr>
        <w:spacing w:before="20" w:after="20"/>
        <w:jc w:val="both"/>
        <w:rPr>
          <w:rFonts w:cs="Arial"/>
          <w:i/>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Posledice za proračun</w:t>
      </w:r>
    </w:p>
    <w:p w:rsidR="00AC01D7" w:rsidRPr="00AA4D99" w:rsidRDefault="00AC01D7" w:rsidP="00AC1505">
      <w:pPr>
        <w:spacing w:before="20" w:after="20"/>
        <w:jc w:val="both"/>
        <w:rPr>
          <w:rFonts w:cs="Arial"/>
          <w:i/>
          <w:szCs w:val="20"/>
          <w:lang w:val="sl-SI"/>
        </w:rPr>
      </w:pPr>
      <w:r w:rsidRPr="00AA4D99">
        <w:rPr>
          <w:rFonts w:cs="Arial"/>
          <w:i/>
          <w:szCs w:val="20"/>
          <w:lang w:val="sl-SI"/>
        </w:rPr>
        <w:t>Predlog akta nima vpliva na proračun RS in EU.</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Vpliv na gospodarstvo</w:t>
      </w:r>
    </w:p>
    <w:p w:rsidR="00AC01D7" w:rsidRPr="00AA4D99" w:rsidRDefault="00AC01D7" w:rsidP="00AC1505">
      <w:pPr>
        <w:spacing w:before="20" w:after="20"/>
        <w:jc w:val="both"/>
        <w:rPr>
          <w:rFonts w:cs="Arial"/>
          <w:i/>
          <w:szCs w:val="20"/>
          <w:lang w:val="sl-SI"/>
        </w:rPr>
      </w:pPr>
      <w:r w:rsidRPr="00AA4D99">
        <w:rPr>
          <w:rFonts w:cs="Arial"/>
          <w:i/>
          <w:szCs w:val="20"/>
          <w:lang w:val="sl-SI"/>
        </w:rPr>
        <w:t xml:space="preserve">V tej fazi ni mogoče oceniti gospodarskega učinka predloga za leto 2024, saj bo za določene staleže celotni dovoljeni ulov (ang. Total </w:t>
      </w:r>
      <w:proofErr w:type="spellStart"/>
      <w:r w:rsidRPr="00AA4D99">
        <w:rPr>
          <w:rFonts w:cs="Arial"/>
          <w:i/>
          <w:szCs w:val="20"/>
          <w:lang w:val="sl-SI"/>
        </w:rPr>
        <w:t>Allowable</w:t>
      </w:r>
      <w:proofErr w:type="spellEnd"/>
      <w:r w:rsidRPr="00AA4D99">
        <w:rPr>
          <w:rFonts w:cs="Arial"/>
          <w:i/>
          <w:szCs w:val="20"/>
          <w:lang w:val="sl-SI"/>
        </w:rPr>
        <w:t xml:space="preserve"> </w:t>
      </w:r>
      <w:proofErr w:type="spellStart"/>
      <w:r w:rsidRPr="00AA4D99">
        <w:rPr>
          <w:rFonts w:cs="Arial"/>
          <w:i/>
          <w:szCs w:val="20"/>
          <w:lang w:val="sl-SI"/>
        </w:rPr>
        <w:t>Catch</w:t>
      </w:r>
      <w:proofErr w:type="spellEnd"/>
      <w:r w:rsidRPr="00AA4D99">
        <w:rPr>
          <w:rFonts w:cs="Arial"/>
          <w:i/>
          <w:szCs w:val="20"/>
          <w:lang w:val="sl-SI"/>
        </w:rPr>
        <w:t xml:space="preserve">) določen naknadno pri pridobitvi mnenja Mednarodnega sveta za raziskovanje morja (ang. </w:t>
      </w:r>
      <w:proofErr w:type="spellStart"/>
      <w:r w:rsidRPr="00AA4D99">
        <w:rPr>
          <w:rFonts w:cs="Arial"/>
          <w:i/>
          <w:szCs w:val="20"/>
          <w:lang w:val="sl-SI"/>
        </w:rPr>
        <w:t>International</w:t>
      </w:r>
      <w:proofErr w:type="spellEnd"/>
      <w:r w:rsidRPr="00AA4D99">
        <w:rPr>
          <w:rFonts w:cs="Arial"/>
          <w:i/>
          <w:szCs w:val="20"/>
          <w:lang w:val="sl-SI"/>
        </w:rPr>
        <w:t xml:space="preserve"> Council for the </w:t>
      </w:r>
      <w:proofErr w:type="spellStart"/>
      <w:r w:rsidRPr="00AA4D99">
        <w:rPr>
          <w:rFonts w:cs="Arial"/>
          <w:i/>
          <w:szCs w:val="20"/>
          <w:lang w:val="sl-SI"/>
        </w:rPr>
        <w:t>Exploration</w:t>
      </w:r>
      <w:proofErr w:type="spellEnd"/>
      <w:r w:rsidRPr="00AA4D99">
        <w:rPr>
          <w:rFonts w:cs="Arial"/>
          <w:i/>
          <w:szCs w:val="20"/>
          <w:lang w:val="sl-SI"/>
        </w:rPr>
        <w:t xml:space="preserve"> of the </w:t>
      </w:r>
      <w:proofErr w:type="spellStart"/>
      <w:r w:rsidRPr="00AA4D99">
        <w:rPr>
          <w:rFonts w:cs="Arial"/>
          <w:i/>
          <w:szCs w:val="20"/>
          <w:lang w:val="sl-SI"/>
        </w:rPr>
        <w:t>Sea</w:t>
      </w:r>
      <w:proofErr w:type="spellEnd"/>
      <w:r w:rsidRPr="00AA4D99">
        <w:rPr>
          <w:rFonts w:cs="Arial"/>
          <w:i/>
          <w:szCs w:val="20"/>
          <w:lang w:val="sl-SI"/>
        </w:rPr>
        <w:t xml:space="preserve"> - ICES). Dolgoročno je pričakovati pozitivni vpliv na gospodarstvo, saj se pri letnem določanju ribolovnih možnosti v obliki celotnih dovoljenih ulovov zasleduje načelo izkoriščanja živih morskih bioloških virov na način, ki dovoljuje obnavljanje in ohranjanje populacij </w:t>
      </w:r>
      <w:proofErr w:type="spellStart"/>
      <w:r w:rsidRPr="00AA4D99">
        <w:rPr>
          <w:rFonts w:cs="Arial"/>
          <w:i/>
          <w:szCs w:val="20"/>
          <w:lang w:val="sl-SI"/>
        </w:rPr>
        <w:t>lovljenih</w:t>
      </w:r>
      <w:proofErr w:type="spellEnd"/>
      <w:r w:rsidRPr="00AA4D99">
        <w:rPr>
          <w:rFonts w:cs="Arial"/>
          <w:i/>
          <w:szCs w:val="20"/>
          <w:lang w:val="sl-SI"/>
        </w:rPr>
        <w:t xml:space="preserve"> vrst nad ravnmi, ki omogočajo največji trajnostni donos. Namen tega predloga je preprečiti kratkoročne pristope v korist dolgoročne trajnosti, zato lahko pride za določeno obdobje do zmanjšanja ribolovnih možnosti v zadevnih državah članicah.</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Vpliv na javno upravo</w:t>
      </w:r>
    </w:p>
    <w:p w:rsidR="00AC01D7" w:rsidRPr="00AA4D99" w:rsidRDefault="00AC01D7" w:rsidP="00AC1505">
      <w:pPr>
        <w:spacing w:before="20" w:after="20"/>
        <w:jc w:val="both"/>
        <w:rPr>
          <w:rFonts w:cs="Arial"/>
          <w:i/>
          <w:szCs w:val="20"/>
          <w:lang w:val="sl-SI"/>
        </w:rPr>
      </w:pPr>
      <w:r w:rsidRPr="00AA4D99">
        <w:rPr>
          <w:rFonts w:cs="Arial"/>
          <w:i/>
          <w:szCs w:val="20"/>
          <w:lang w:val="sl-SI"/>
        </w:rPr>
        <w:t>Predlog akta nima vpliva na javno upravo.</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Vpliv na okolje</w:t>
      </w:r>
    </w:p>
    <w:p w:rsidR="00AC01D7" w:rsidRPr="00AA4D99" w:rsidRDefault="00AC01D7" w:rsidP="00AC1505">
      <w:pPr>
        <w:spacing w:before="20" w:after="20"/>
        <w:jc w:val="both"/>
        <w:rPr>
          <w:rFonts w:cs="Arial"/>
          <w:i/>
          <w:szCs w:val="20"/>
          <w:lang w:val="sl-SI"/>
        </w:rPr>
      </w:pPr>
      <w:r w:rsidRPr="00AA4D99">
        <w:rPr>
          <w:rFonts w:cs="Arial"/>
          <w:i/>
          <w:szCs w:val="20"/>
          <w:lang w:val="sl-SI"/>
        </w:rPr>
        <w:t xml:space="preserve">Pričakovati je pozitiven vpliv na okolje, saj je cilj načrta, skladno s politiko Unije o trajnostnem razvoju, zagotoviti, da se pri izkoriščanju živih morskih bioloških virov populacije </w:t>
      </w:r>
      <w:proofErr w:type="spellStart"/>
      <w:r w:rsidRPr="00AA4D99">
        <w:rPr>
          <w:rFonts w:cs="Arial"/>
          <w:i/>
          <w:szCs w:val="20"/>
          <w:lang w:val="sl-SI"/>
        </w:rPr>
        <w:t>lovljenih</w:t>
      </w:r>
      <w:proofErr w:type="spellEnd"/>
      <w:r w:rsidRPr="00AA4D99">
        <w:rPr>
          <w:rFonts w:cs="Arial"/>
          <w:i/>
          <w:szCs w:val="20"/>
          <w:lang w:val="sl-SI"/>
        </w:rPr>
        <w:t xml:space="preserve"> vrst obnavljajo in ohranjajo nad ravnmi, ki omogočajo največji trajnostni donos. </w:t>
      </w:r>
    </w:p>
    <w:p w:rsidR="00AC01D7" w:rsidRPr="00AA4D99" w:rsidRDefault="00AC01D7" w:rsidP="00AC1505">
      <w:pPr>
        <w:spacing w:before="20" w:after="20"/>
        <w:jc w:val="both"/>
        <w:rPr>
          <w:rFonts w:cs="Arial"/>
          <w:szCs w:val="20"/>
          <w:lang w:val="sl-SI"/>
        </w:rPr>
      </w:pPr>
    </w:p>
    <w:p w:rsidR="00AC01D7" w:rsidRPr="00AA4D99" w:rsidRDefault="00AC01D7" w:rsidP="00AC1505">
      <w:pPr>
        <w:spacing w:before="20" w:after="20"/>
        <w:jc w:val="both"/>
        <w:rPr>
          <w:rFonts w:cs="Arial"/>
          <w:szCs w:val="20"/>
          <w:lang w:val="sl-SI"/>
        </w:rPr>
      </w:pPr>
      <w:r w:rsidRPr="00AA4D99">
        <w:rPr>
          <w:rFonts w:cs="Arial"/>
          <w:szCs w:val="20"/>
          <w:lang w:val="sl-SI"/>
        </w:rPr>
        <w:t>Drugo</w:t>
      </w:r>
    </w:p>
    <w:p w:rsidR="00AC01D7" w:rsidRPr="00AA4D99" w:rsidRDefault="00AC01D7" w:rsidP="00AC1505">
      <w:pPr>
        <w:spacing w:before="20" w:after="20"/>
        <w:jc w:val="both"/>
        <w:rPr>
          <w:rFonts w:cs="Arial"/>
          <w:i/>
          <w:szCs w:val="20"/>
          <w:lang w:val="sl-SI"/>
        </w:rPr>
      </w:pPr>
    </w:p>
    <w:p w:rsidR="00AC01D7" w:rsidRPr="00AA4D99" w:rsidRDefault="00AC01D7" w:rsidP="00AC1505">
      <w:pPr>
        <w:spacing w:before="20" w:after="20"/>
        <w:jc w:val="both"/>
        <w:rPr>
          <w:rFonts w:cs="Arial"/>
          <w:b/>
          <w:bCs/>
          <w:i/>
          <w:szCs w:val="20"/>
          <w:lang w:val="sl-SI"/>
        </w:rPr>
      </w:pPr>
      <w:r w:rsidRPr="00AA4D99">
        <w:rPr>
          <w:rFonts w:cs="Arial"/>
          <w:b/>
          <w:bCs/>
          <w:i/>
          <w:szCs w:val="20"/>
          <w:lang w:val="sl-SI"/>
        </w:rPr>
        <w:t xml:space="preserve"> </w:t>
      </w:r>
    </w:p>
    <w:p w:rsidR="00AC01D7" w:rsidRPr="00AA4D99" w:rsidRDefault="00AC01D7" w:rsidP="00AC1505">
      <w:pPr>
        <w:spacing w:before="20" w:after="20"/>
        <w:jc w:val="both"/>
        <w:rPr>
          <w:rFonts w:cs="Arial"/>
          <w:b/>
          <w:szCs w:val="20"/>
          <w:lang w:val="sl-SI"/>
        </w:rPr>
      </w:pPr>
      <w:r w:rsidRPr="00AA4D99">
        <w:rPr>
          <w:rFonts w:cs="Arial"/>
          <w:b/>
          <w:szCs w:val="20"/>
          <w:lang w:val="sl-SI"/>
        </w:rPr>
        <w:t>C)</w:t>
      </w:r>
    </w:p>
    <w:p w:rsidR="00AC01D7" w:rsidRPr="00AA4D99" w:rsidRDefault="00AC01D7" w:rsidP="00AC1505">
      <w:pPr>
        <w:spacing w:before="20" w:after="20"/>
        <w:jc w:val="both"/>
        <w:rPr>
          <w:rFonts w:cs="Arial"/>
          <w:b/>
          <w:iCs/>
          <w:szCs w:val="20"/>
          <w:lang w:val="sl-SI"/>
        </w:rPr>
      </w:pPr>
      <w:r w:rsidRPr="00AA4D99">
        <w:rPr>
          <w:rFonts w:cs="Arial"/>
          <w:b/>
          <w:iCs/>
          <w:szCs w:val="20"/>
          <w:lang w:val="sl-SI"/>
        </w:rPr>
        <w:t>Predstavniki RS, ki bodo zastopali stališče RS v institucijah EU</w:t>
      </w:r>
      <w:r w:rsidRPr="00AA4D99">
        <w:rPr>
          <w:rFonts w:cs="Arial"/>
          <w:iCs/>
          <w:szCs w:val="20"/>
          <w:lang w:val="sl-SI"/>
        </w:rPr>
        <w:t>:</w:t>
      </w:r>
      <w:r w:rsidRPr="00AA4D99">
        <w:rPr>
          <w:rFonts w:cs="Arial"/>
          <w:b/>
          <w:iCs/>
          <w:szCs w:val="20"/>
          <w:lang w:val="sl-SI"/>
        </w:rPr>
        <w:t xml:space="preserve"> </w:t>
      </w:r>
    </w:p>
    <w:p w:rsidR="00AC01D7" w:rsidRPr="00AA4D99" w:rsidRDefault="00AC01D7" w:rsidP="00AC1505">
      <w:pPr>
        <w:spacing w:before="20" w:after="20"/>
        <w:jc w:val="both"/>
        <w:rPr>
          <w:rFonts w:cs="Arial"/>
          <w:b/>
          <w:iCs/>
          <w:szCs w:val="20"/>
          <w:lang w:val="sl-SI"/>
        </w:rPr>
      </w:pPr>
      <w:r w:rsidRPr="00AA4D99">
        <w:rPr>
          <w:rFonts w:cs="Arial"/>
          <w:b/>
          <w:i/>
          <w:iCs/>
          <w:szCs w:val="20"/>
          <w:lang w:val="sl-SI"/>
        </w:rPr>
        <w:t xml:space="preserve">Irena Šinko, ministrica; dr. Darij Krajčič, državni sekretar; Tatjana Buzeti, državna sekretarka; dr. Polona </w:t>
      </w:r>
      <w:proofErr w:type="spellStart"/>
      <w:r w:rsidRPr="00AA4D99">
        <w:rPr>
          <w:rFonts w:cs="Arial"/>
          <w:b/>
          <w:i/>
          <w:iCs/>
          <w:szCs w:val="20"/>
          <w:lang w:val="sl-SI"/>
        </w:rPr>
        <w:t>Bunič</w:t>
      </w:r>
      <w:proofErr w:type="spellEnd"/>
      <w:r w:rsidRPr="00AA4D99">
        <w:rPr>
          <w:rFonts w:cs="Arial"/>
          <w:b/>
          <w:i/>
          <w:iCs/>
          <w:szCs w:val="20"/>
          <w:lang w:val="sl-SI"/>
        </w:rPr>
        <w:t>, MKGP; mag. Gvido Mravljak, svetovalec za ribištvo, SPBR</w:t>
      </w:r>
    </w:p>
    <w:p w:rsidR="00AC01D7" w:rsidRPr="00AA4D99" w:rsidRDefault="00AC01D7" w:rsidP="00AC1505">
      <w:pPr>
        <w:spacing w:before="20" w:after="20"/>
        <w:jc w:val="both"/>
        <w:rPr>
          <w:rFonts w:cs="Arial"/>
          <w:szCs w:val="20"/>
          <w:lang w:val="sl-SI"/>
        </w:rPr>
      </w:pPr>
    </w:p>
    <w:p w:rsidR="007D75CF" w:rsidRPr="00AA4D99" w:rsidRDefault="007D75CF" w:rsidP="0024718A">
      <w:pPr>
        <w:rPr>
          <w:lang w:val="sl-SI"/>
        </w:rPr>
      </w:pPr>
    </w:p>
    <w:sectPr w:rsidR="007D75CF" w:rsidRPr="00AA4D99" w:rsidSect="00431D47">
      <w:headerReference w:type="default" r:id="rId7"/>
      <w:headerReference w:type="first" r:id="rId8"/>
      <w:pgSz w:w="11900" w:h="16840" w:code="9"/>
      <w:pgMar w:top="99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05" w:rsidRDefault="00AC1505">
      <w:r>
        <w:separator/>
      </w:r>
    </w:p>
  </w:endnote>
  <w:endnote w:type="continuationSeparator" w:id="0">
    <w:p w:rsidR="00AC1505" w:rsidRDefault="00AC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05" w:rsidRDefault="00AC1505">
      <w:r>
        <w:separator/>
      </w:r>
    </w:p>
  </w:footnote>
  <w:footnote w:type="continuationSeparator" w:id="0">
    <w:p w:rsidR="00AC1505" w:rsidRDefault="00AC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71" w:rsidRPr="00110CBD" w:rsidRDefault="00DC6A7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09"/>
    </w:tblGrid>
    <w:tr w:rsidR="00DC6A71" w:rsidRPr="008F3500">
      <w:trPr>
        <w:cantSplit/>
        <w:trHeight w:hRule="exact" w:val="847"/>
      </w:trPr>
      <w:tc>
        <w:tcPr>
          <w:tcW w:w="567" w:type="dxa"/>
        </w:tcPr>
        <w:p w:rsidR="00530285" w:rsidRPr="00963ADE" w:rsidRDefault="008233F6" w:rsidP="00530285">
          <w:pPr>
            <w:autoSpaceDE w:val="0"/>
            <w:autoSpaceDN w:val="0"/>
            <w:adjustRightInd w:val="0"/>
            <w:spacing w:before="100" w:line="240" w:lineRule="auto"/>
            <w:rPr>
              <w:rFonts w:ascii="Republika" w:hAnsi="Republika"/>
              <w:sz w:val="18"/>
              <w:szCs w:val="60"/>
              <w:lang w:val="sl-SI"/>
            </w:rPr>
          </w:pPr>
          <w:r w:rsidRPr="00963ADE">
            <w:rPr>
              <w:noProof/>
              <w:lang w:val="sl-SI" w:eastAsia="sl-SI"/>
            </w:rPr>
            <w:drawing>
              <wp:inline distT="0" distB="0" distL="0" distR="0">
                <wp:extent cx="249555" cy="29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97180"/>
                        </a:xfrm>
                        <a:prstGeom prst="rect">
                          <a:avLst/>
                        </a:prstGeom>
                        <a:noFill/>
                        <a:ln>
                          <a:noFill/>
                        </a:ln>
                      </pic:spPr>
                    </pic:pic>
                  </a:graphicData>
                </a:graphic>
              </wp:inline>
            </w:drawing>
          </w:r>
        </w:p>
        <w:p w:rsidR="006D42D9" w:rsidRPr="006D42D9" w:rsidRDefault="006D42D9" w:rsidP="0024718A">
          <w:pPr>
            <w:autoSpaceDE w:val="0"/>
            <w:autoSpaceDN w:val="0"/>
            <w:adjustRightInd w:val="0"/>
            <w:spacing w:line="240" w:lineRule="auto"/>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6D42D9" w:rsidRPr="006D42D9" w:rsidRDefault="006D42D9" w:rsidP="006D42D9">
          <w:pPr>
            <w:rPr>
              <w:rFonts w:ascii="Republika" w:hAnsi="Republika"/>
              <w:sz w:val="60"/>
              <w:szCs w:val="60"/>
              <w:lang w:val="sl-SI"/>
            </w:rPr>
          </w:pPr>
        </w:p>
        <w:p w:rsidR="00DC6A71" w:rsidRPr="006D42D9" w:rsidRDefault="00DC6A71" w:rsidP="006D42D9">
          <w:pPr>
            <w:rPr>
              <w:rFonts w:ascii="Republika" w:hAnsi="Republika"/>
              <w:sz w:val="60"/>
              <w:szCs w:val="60"/>
              <w:lang w:val="sl-SI"/>
            </w:rPr>
          </w:pPr>
        </w:p>
      </w:tc>
    </w:tr>
  </w:tbl>
  <w:p w:rsidR="00DC6A71" w:rsidRPr="008F3500" w:rsidRDefault="008233F6"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2431"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C6A71" w:rsidRPr="008F3500">
      <w:rPr>
        <w:rFonts w:ascii="Republika" w:hAnsi="Republika"/>
        <w:lang w:val="sl-SI"/>
      </w:rPr>
      <w:t>REPUBLIKA SLOVENIJA</w:t>
    </w:r>
  </w:p>
  <w:p w:rsidR="00567106" w:rsidRPr="0061710A" w:rsidRDefault="006D3DFE" w:rsidP="006D3DFE">
    <w:pPr>
      <w:pStyle w:val="Glava"/>
      <w:tabs>
        <w:tab w:val="clear" w:pos="4320"/>
        <w:tab w:val="clear" w:pos="8640"/>
        <w:tab w:val="left" w:pos="5112"/>
      </w:tabs>
      <w:spacing w:after="120" w:line="240" w:lineRule="exact"/>
      <w:rPr>
        <w:rFonts w:ascii="Republika" w:hAnsi="Republika"/>
        <w:b/>
        <w:caps/>
        <w:lang w:val="sl-SI"/>
      </w:rPr>
    </w:pPr>
    <w:r w:rsidRPr="0061710A">
      <w:rPr>
        <w:rFonts w:ascii="Republika" w:hAnsi="Republika"/>
        <w:b/>
        <w:caps/>
        <w:lang w:val="sl-SI"/>
      </w:rPr>
      <w:t xml:space="preserve">Ministrstvo za </w:t>
    </w:r>
    <w:r w:rsidR="00C5062F" w:rsidRPr="0061710A">
      <w:rPr>
        <w:rFonts w:ascii="Republika" w:hAnsi="Republika"/>
        <w:b/>
        <w:caps/>
        <w:lang w:val="sl-SI"/>
      </w:rPr>
      <w:t>KMETIJSTVO, GOZDARSTVO IN PREHRANO</w:t>
    </w:r>
  </w:p>
  <w:p w:rsidR="00DC6A71" w:rsidRPr="008F3500" w:rsidRDefault="00C5062F"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w:t>
    </w:r>
    <w:r w:rsidR="000C407D">
      <w:rPr>
        <w:rFonts w:cs="Arial"/>
        <w:sz w:val="16"/>
        <w:lang w:val="sl-SI"/>
      </w:rPr>
      <w:t xml:space="preserve">cesta </w:t>
    </w:r>
    <w:r>
      <w:rPr>
        <w:rFonts w:cs="Arial"/>
        <w:sz w:val="16"/>
        <w:lang w:val="sl-SI"/>
      </w:rPr>
      <w:t>22</w:t>
    </w:r>
    <w:r w:rsidR="00DC6A71" w:rsidRPr="008F3500">
      <w:rPr>
        <w:rFonts w:cs="Arial"/>
        <w:sz w:val="16"/>
        <w:lang w:val="sl-SI"/>
      </w:rPr>
      <w:t xml:space="preserve">, </w:t>
    </w:r>
    <w:r w:rsidR="006D3DFE">
      <w:rPr>
        <w:rFonts w:cs="Arial"/>
        <w:sz w:val="16"/>
        <w:lang w:val="sl-SI"/>
      </w:rPr>
      <w:t>1000 Ljubljana</w:t>
    </w:r>
    <w:r w:rsidR="00DC6A71" w:rsidRPr="008F3500">
      <w:rPr>
        <w:rFonts w:cs="Arial"/>
        <w:sz w:val="16"/>
        <w:lang w:val="sl-SI"/>
      </w:rPr>
      <w:tab/>
      <w:t xml:space="preserve">T: </w:t>
    </w:r>
    <w:r>
      <w:rPr>
        <w:rFonts w:cs="Arial"/>
        <w:sz w:val="16"/>
        <w:lang w:val="sl-SI"/>
      </w:rPr>
      <w:t>01 478 9000</w:t>
    </w:r>
  </w:p>
  <w:p w:rsidR="00DC6A71" w:rsidRPr="008F3500" w:rsidRDefault="00DC6A7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6D3DFE">
      <w:rPr>
        <w:rFonts w:cs="Arial"/>
        <w:sz w:val="16"/>
        <w:lang w:val="sl-SI"/>
      </w:rPr>
      <w:t xml:space="preserve">01 478 </w:t>
    </w:r>
    <w:r w:rsidR="000C407D">
      <w:rPr>
        <w:rFonts w:cs="Arial"/>
        <w:sz w:val="16"/>
        <w:lang w:val="sl-SI"/>
      </w:rPr>
      <w:t>9021</w:t>
    </w:r>
    <w:r w:rsidRPr="008F3500">
      <w:rPr>
        <w:rFonts w:cs="Arial"/>
        <w:sz w:val="16"/>
        <w:lang w:val="sl-SI"/>
      </w:rPr>
      <w:t xml:space="preserve"> </w:t>
    </w:r>
  </w:p>
  <w:p w:rsidR="00DC6A71" w:rsidRPr="008F3500" w:rsidRDefault="00DC6A7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B276A">
      <w:rPr>
        <w:rFonts w:cs="Arial"/>
        <w:sz w:val="16"/>
        <w:lang w:val="sl-SI"/>
      </w:rPr>
      <w:t>gp.mkgp</w:t>
    </w:r>
    <w:r w:rsidR="006D3DFE">
      <w:rPr>
        <w:rFonts w:cs="Arial"/>
        <w:sz w:val="16"/>
        <w:lang w:val="sl-SI"/>
      </w:rPr>
      <w:t>@gov.si</w:t>
    </w:r>
  </w:p>
  <w:p w:rsidR="00CE7514" w:rsidRPr="008F3500" w:rsidRDefault="00CE7514"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4B276A">
      <w:rPr>
        <w:rFonts w:cs="Arial"/>
        <w:sz w:val="16"/>
        <w:lang w:val="sl-SI"/>
      </w:rPr>
      <w:t>www.mkgp</w:t>
    </w:r>
    <w:r w:rsidR="006D3DFE">
      <w:rPr>
        <w:rFonts w:cs="Arial"/>
        <w:sz w:val="16"/>
        <w:lang w:val="sl-SI"/>
      </w:rPr>
      <w:t>.gov.si</w:t>
    </w:r>
  </w:p>
  <w:p w:rsidR="00DC6A71" w:rsidRPr="008F3500" w:rsidRDefault="00DC6A7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4857"/>
    <w:rsid w:val="00023A88"/>
    <w:rsid w:val="000A7238"/>
    <w:rsid w:val="000C407D"/>
    <w:rsid w:val="000D2FE7"/>
    <w:rsid w:val="001357B2"/>
    <w:rsid w:val="00202A77"/>
    <w:rsid w:val="0024718A"/>
    <w:rsid w:val="00271CE5"/>
    <w:rsid w:val="00282020"/>
    <w:rsid w:val="003636BF"/>
    <w:rsid w:val="0037479F"/>
    <w:rsid w:val="003845B4"/>
    <w:rsid w:val="00387B1A"/>
    <w:rsid w:val="003E1C74"/>
    <w:rsid w:val="00431D47"/>
    <w:rsid w:val="004B276A"/>
    <w:rsid w:val="00526246"/>
    <w:rsid w:val="00530285"/>
    <w:rsid w:val="00567106"/>
    <w:rsid w:val="005E1D3C"/>
    <w:rsid w:val="006051E1"/>
    <w:rsid w:val="0061710A"/>
    <w:rsid w:val="00632253"/>
    <w:rsid w:val="00642714"/>
    <w:rsid w:val="006455CE"/>
    <w:rsid w:val="006C491D"/>
    <w:rsid w:val="006D3DFE"/>
    <w:rsid w:val="006D42D9"/>
    <w:rsid w:val="00733017"/>
    <w:rsid w:val="00783310"/>
    <w:rsid w:val="007A4A6D"/>
    <w:rsid w:val="007D1BCF"/>
    <w:rsid w:val="007D75CF"/>
    <w:rsid w:val="007E6DC5"/>
    <w:rsid w:val="008233F6"/>
    <w:rsid w:val="00876443"/>
    <w:rsid w:val="0088043C"/>
    <w:rsid w:val="008906C9"/>
    <w:rsid w:val="008C5738"/>
    <w:rsid w:val="008D04F0"/>
    <w:rsid w:val="008F3500"/>
    <w:rsid w:val="00924E3C"/>
    <w:rsid w:val="009612BB"/>
    <w:rsid w:val="00A125C5"/>
    <w:rsid w:val="00A21E7F"/>
    <w:rsid w:val="00A35903"/>
    <w:rsid w:val="00A5039D"/>
    <w:rsid w:val="00A65EE7"/>
    <w:rsid w:val="00A70133"/>
    <w:rsid w:val="00AA4D99"/>
    <w:rsid w:val="00AC01D7"/>
    <w:rsid w:val="00AC1505"/>
    <w:rsid w:val="00B17141"/>
    <w:rsid w:val="00B31575"/>
    <w:rsid w:val="00B8547D"/>
    <w:rsid w:val="00B866EE"/>
    <w:rsid w:val="00C250D5"/>
    <w:rsid w:val="00C5062F"/>
    <w:rsid w:val="00C92898"/>
    <w:rsid w:val="00CE7514"/>
    <w:rsid w:val="00D04605"/>
    <w:rsid w:val="00D248DE"/>
    <w:rsid w:val="00D8542D"/>
    <w:rsid w:val="00DB6F30"/>
    <w:rsid w:val="00DC6A71"/>
    <w:rsid w:val="00DE5B46"/>
    <w:rsid w:val="00E0357D"/>
    <w:rsid w:val="00E24EC2"/>
    <w:rsid w:val="00F240BB"/>
    <w:rsid w:val="00F46724"/>
    <w:rsid w:val="00F57FED"/>
    <w:rsid w:val="00FF3D5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5:chartTrackingRefBased/>
  <w15:docId w15:val="{E792F5EF-54EE-4BCD-965D-E4B47642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10081</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Helena Gašperlin Pertovt</cp:lastModifiedBy>
  <cp:revision>5</cp:revision>
  <cp:lastPrinted>2010-07-05T09:38:00Z</cp:lastPrinted>
  <dcterms:created xsi:type="dcterms:W3CDTF">2023-09-20T04:59:00Z</dcterms:created>
  <dcterms:modified xsi:type="dcterms:W3CDTF">2023-09-20T06:57:00Z</dcterms:modified>
</cp:coreProperties>
</file>