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RPr="00131B28" w:rsidP="00CB7264" w14:paraId="42D91C48" w14:textId="77777777">
      <w:pPr>
        <w:pStyle w:val="Odstavekseznama1"/>
        <w:spacing w:line="260" w:lineRule="exact"/>
        <w:ind w:left="0"/>
        <w:rPr>
          <w:rFonts w:ascii="Arial" w:hAnsi="Arial" w:cs="Arial"/>
          <w:b/>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
        <w:gridCol w:w="1448"/>
        <w:gridCol w:w="506"/>
        <w:gridCol w:w="871"/>
        <w:gridCol w:w="1397"/>
        <w:gridCol w:w="487"/>
        <w:gridCol w:w="940"/>
        <w:gridCol w:w="677"/>
        <w:gridCol w:w="82"/>
        <w:gridCol w:w="299"/>
        <w:gridCol w:w="300"/>
        <w:gridCol w:w="2093"/>
        <w:gridCol w:w="63"/>
      </w:tblGrid>
      <w:tr w14:paraId="0B691095" w14:textId="77777777" w:rsidTr="00A40AF9">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4"/>
          <w:wBefore w:w="100" w:type="dxa"/>
          <w:wAfter w:w="2755" w:type="dxa"/>
        </w:trPr>
        <w:tc>
          <w:tcPr>
            <w:tcW w:w="6408" w:type="dxa"/>
            <w:gridSpan w:val="8"/>
          </w:tcPr>
          <w:p w:rsidR="0066462F" w:rsidRPr="00821419" w:rsidP="0066462F" w14:paraId="4D52CD60" w14:textId="495CF771">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A40AF9">
        <w:tblPrEx>
          <w:tblW w:w="9263" w:type="dxa"/>
          <w:tblInd w:w="8" w:type="dxa"/>
          <w:tblLook w:val="04A0"/>
        </w:tblPrEx>
        <w:trPr>
          <w:gridBefore w:val="1"/>
          <w:gridAfter w:val="4"/>
          <w:wBefore w:w="100" w:type="dxa"/>
          <w:wAfter w:w="2755" w:type="dxa"/>
        </w:trPr>
        <w:tc>
          <w:tcPr>
            <w:tcW w:w="6408" w:type="dxa"/>
            <w:gridSpan w:val="8"/>
          </w:tcPr>
          <w:p w:rsidR="009F1E59" w:rsidRPr="00131B28" w:rsidP="00AB65D9" w14:paraId="3CC22150" w14:textId="77777777">
            <w:pPr>
              <w:pStyle w:val="datumtevilka"/>
            </w:pPr>
            <w:r w:rsidRPr="00131B28">
              <w:t xml:space="preserve">Številka: </w:t>
            </w:r>
            <w:bookmarkStart w:id="0" w:name="Klasifikacija"/>
            <w:r w:rsidRPr="00131B28">
              <w:t>843-9/2026-7</w:t>
            </w:r>
            <w:bookmarkEnd w:id="0"/>
          </w:p>
        </w:tc>
      </w:tr>
      <w:tr w14:paraId="278A7E1F" w14:textId="77777777" w:rsidTr="00A40AF9">
        <w:tblPrEx>
          <w:tblW w:w="9263" w:type="dxa"/>
          <w:tblInd w:w="8" w:type="dxa"/>
          <w:tblLook w:val="04A0"/>
        </w:tblPrEx>
        <w:trPr>
          <w:gridBefore w:val="1"/>
          <w:gridAfter w:val="4"/>
          <w:wBefore w:w="100" w:type="dxa"/>
          <w:wAfter w:w="2755" w:type="dxa"/>
        </w:trPr>
        <w:tc>
          <w:tcPr>
            <w:tcW w:w="6408" w:type="dxa"/>
            <w:gridSpan w:val="8"/>
          </w:tcPr>
          <w:p w:rsidR="009F1E59" w:rsidRPr="00131B28" w:rsidP="00AB65D9" w14:paraId="4999ACE4" w14:textId="77777777">
            <w:pPr>
              <w:pStyle w:val="datumtevilka"/>
            </w:pPr>
            <w:r w:rsidRPr="00131B28">
              <w:t xml:space="preserve">Ljubljana, dne </w:t>
            </w:r>
            <w:bookmarkStart w:id="1" w:name="DatumDokumenta"/>
            <w:r w:rsidRPr="00131B28">
              <w:t>04. 05. 2026</w:t>
            </w:r>
            <w:bookmarkEnd w:id="1"/>
          </w:p>
        </w:tc>
      </w:tr>
      <w:tr w14:paraId="04B2F2F1" w14:textId="77777777" w:rsidTr="00A40AF9">
        <w:tblPrEx>
          <w:tblW w:w="9263" w:type="dxa"/>
          <w:tblInd w:w="8" w:type="dxa"/>
          <w:tblLook w:val="04A0"/>
        </w:tblPrEx>
        <w:trPr>
          <w:gridBefore w:val="1"/>
          <w:gridAfter w:val="4"/>
          <w:wBefore w:w="100" w:type="dxa"/>
          <w:wAfter w:w="2755" w:type="dxa"/>
        </w:trPr>
        <w:tc>
          <w:tcPr>
            <w:tcW w:w="6408" w:type="dxa"/>
            <w:gridSpan w:val="8"/>
          </w:tcPr>
          <w:p w:rsidR="00FB3C81" w:rsidRPr="00131B28" w:rsidP="002C278B" w14:paraId="7135B00B" w14:textId="77777777">
            <w:pPr>
              <w:spacing w:after="0" w:line="260" w:lineRule="exact"/>
              <w:rPr>
                <w:rFonts w:ascii="Arial" w:hAnsi="Arial" w:cs="Arial"/>
                <w:sz w:val="20"/>
                <w:szCs w:val="20"/>
              </w:rPr>
            </w:pPr>
          </w:p>
          <w:p w:rsidR="00FB3C81" w:rsidRPr="002126C5" w:rsidP="002C278B" w14:paraId="33AF8CC2" w14:textId="77777777">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rsidR="00FB3C81" w:rsidRPr="004A7DC1" w:rsidP="002C278B" w14:paraId="70B7C491" w14:textId="77777777">
            <w:pPr>
              <w:spacing w:after="0" w:line="260" w:lineRule="exact"/>
              <w:rPr>
                <w:rFonts w:ascii="Arial" w:hAnsi="Arial" w:cs="Arial"/>
                <w:sz w:val="20"/>
                <w:szCs w:val="20"/>
              </w:rPr>
            </w:pPr>
            <w:hyperlink r:id="rId6" w:history="1">
              <w:r w:rsidRPr="004A7DC1" w:rsidR="00EC1D65">
                <w:rPr>
                  <w:rStyle w:val="Hyperlink"/>
                  <w:rFonts w:ascii="Arial" w:hAnsi="Arial" w:cs="Arial"/>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557D211E" w14:textId="77777777" w:rsidTr="00A40AF9">
        <w:tblPrEx>
          <w:tblW w:w="9263" w:type="dxa"/>
          <w:tblInd w:w="8" w:type="dxa"/>
          <w:tblLook w:val="04A0"/>
        </w:tblPrEx>
        <w:trPr>
          <w:gridBefore w:val="1"/>
          <w:wBefore w:w="100" w:type="dxa"/>
        </w:trPr>
        <w:tc>
          <w:tcPr>
            <w:tcW w:w="9163" w:type="dxa"/>
            <w:gridSpan w:val="12"/>
          </w:tcPr>
          <w:p w:rsidR="009A0699" w:rsidRPr="00131B28" w:rsidP="007D4C8B" w14:paraId="7CE41817" w14:textId="014B4ACC">
            <w:pPr>
              <w:pStyle w:val="Naslovpredpisa"/>
              <w:spacing w:before="0" w:after="0" w:line="260" w:lineRule="exact"/>
              <w:jc w:val="both"/>
              <w:rPr>
                <w:sz w:val="20"/>
                <w:szCs w:val="20"/>
              </w:rPr>
            </w:pPr>
            <w:r w:rsidRPr="00131B28">
              <w:rPr>
                <w:sz w:val="20"/>
                <w:szCs w:val="20"/>
              </w:rPr>
              <w:t>ZADEVA:</w:t>
            </w:r>
            <w:r>
              <w:t xml:space="preserve"> </w:t>
            </w:r>
            <w:r w:rsidR="00FE66C5">
              <w:rPr>
                <w:sz w:val="20"/>
                <w:szCs w:val="20"/>
              </w:rPr>
              <w:t xml:space="preserve">Informacija o </w:t>
            </w:r>
            <w:r w:rsidR="00E1055C">
              <w:rPr>
                <w:sz w:val="20"/>
                <w:szCs w:val="20"/>
              </w:rPr>
              <w:t>podaljšanju zaveze</w:t>
            </w:r>
            <w:r w:rsidRPr="00072F34">
              <w:rPr>
                <w:sz w:val="20"/>
                <w:szCs w:val="20"/>
              </w:rPr>
              <w:t xml:space="preserve"> za vključitev slovenske enote za iskanje in reševanje v jamah</w:t>
            </w:r>
            <w:r w:rsidR="00E1055C">
              <w:rPr>
                <w:sz w:val="20"/>
                <w:szCs w:val="20"/>
              </w:rPr>
              <w:t xml:space="preserve"> </w:t>
            </w:r>
            <w:r w:rsidRPr="00072F34" w:rsidR="00E1055C">
              <w:rPr>
                <w:iCs/>
                <w:sz w:val="20"/>
                <w:szCs w:val="20"/>
              </w:rPr>
              <w:t>(</w:t>
            </w:r>
            <w:r w:rsidRPr="00072F34" w:rsidR="00E1055C">
              <w:rPr>
                <w:iCs/>
                <w:sz w:val="20"/>
                <w:szCs w:val="20"/>
              </w:rPr>
              <w:t>Cave</w:t>
            </w:r>
            <w:r w:rsidRPr="00072F34" w:rsidR="00E1055C">
              <w:rPr>
                <w:iCs/>
                <w:sz w:val="20"/>
                <w:szCs w:val="20"/>
              </w:rPr>
              <w:t xml:space="preserve"> SAR) </w:t>
            </w:r>
            <w:r w:rsidR="00E1055C">
              <w:rPr>
                <w:sz w:val="20"/>
                <w:szCs w:val="20"/>
              </w:rPr>
              <w:t>in</w:t>
            </w:r>
            <w:r w:rsidRPr="00072F34">
              <w:rPr>
                <w:sz w:val="20"/>
                <w:szCs w:val="20"/>
              </w:rPr>
              <w:t xml:space="preserve"> slovenske enote za prečrpavanje večjih količin vode</w:t>
            </w:r>
            <w:r w:rsidRPr="00072F34" w:rsidR="00E1055C">
              <w:rPr>
                <w:iCs/>
                <w:sz w:val="20"/>
                <w:szCs w:val="20"/>
              </w:rPr>
              <w:t xml:space="preserve"> </w:t>
            </w:r>
            <w:r w:rsidR="00086049">
              <w:rPr>
                <w:iCs/>
                <w:sz w:val="20"/>
                <w:szCs w:val="20"/>
              </w:rPr>
              <w:t>(</w:t>
            </w:r>
            <w:r w:rsidRPr="00072F34" w:rsidR="00E1055C">
              <w:rPr>
                <w:iCs/>
                <w:sz w:val="20"/>
                <w:szCs w:val="20"/>
              </w:rPr>
              <w:t>SI HCP)</w:t>
            </w:r>
            <w:r w:rsidR="000D0E30">
              <w:rPr>
                <w:sz w:val="20"/>
                <w:szCs w:val="20"/>
              </w:rPr>
              <w:t xml:space="preserve"> v evropskem</w:t>
            </w:r>
            <w:r w:rsidRPr="00072F34">
              <w:rPr>
                <w:sz w:val="20"/>
                <w:szCs w:val="20"/>
              </w:rPr>
              <w:t xml:space="preserve"> nabor</w:t>
            </w:r>
            <w:r w:rsidR="000D0E30">
              <w:rPr>
                <w:sz w:val="20"/>
                <w:szCs w:val="20"/>
              </w:rPr>
              <w:t>u</w:t>
            </w:r>
            <w:r w:rsidRPr="00072F34">
              <w:rPr>
                <w:sz w:val="20"/>
                <w:szCs w:val="20"/>
              </w:rPr>
              <w:t xml:space="preserve"> civilne zaščite v okviru mehanizma Unije na področju civilne zaščite </w:t>
            </w:r>
            <w:r w:rsidRPr="00072F34" w:rsidR="00E1055C">
              <w:rPr>
                <w:iCs/>
                <w:sz w:val="20"/>
                <w:szCs w:val="20"/>
              </w:rPr>
              <w:t>za obdobje trajanja certifikacije oziroma ponovne certifikacije obeh enot</w:t>
            </w:r>
            <w:r w:rsidRPr="00131B28">
              <w:rPr>
                <w:sz w:val="20"/>
                <w:szCs w:val="20"/>
              </w:rPr>
              <w:t xml:space="preserve">  – predlog za obravnavo </w:t>
            </w:r>
          </w:p>
        </w:tc>
      </w:tr>
      <w:tr w14:paraId="22924BCD"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3C6C51FE" w14:textId="77777777">
            <w:pPr>
              <w:pStyle w:val="Poglavje"/>
              <w:spacing w:before="0" w:after="0" w:line="260" w:lineRule="exact"/>
              <w:jc w:val="left"/>
              <w:rPr>
                <w:sz w:val="20"/>
                <w:szCs w:val="20"/>
              </w:rPr>
            </w:pPr>
            <w:r w:rsidRPr="00131B28">
              <w:rPr>
                <w:sz w:val="20"/>
                <w:szCs w:val="20"/>
              </w:rPr>
              <w:t>1. Predlog sklepov vlade:</w:t>
            </w:r>
          </w:p>
        </w:tc>
      </w:tr>
      <w:tr w14:paraId="74AA623C" w14:textId="77777777" w:rsidTr="00A40AF9">
        <w:tblPrEx>
          <w:tblW w:w="9263" w:type="dxa"/>
          <w:tblInd w:w="8" w:type="dxa"/>
          <w:tblLook w:val="04A0"/>
        </w:tblPrEx>
        <w:trPr>
          <w:gridBefore w:val="1"/>
          <w:wBefore w:w="100" w:type="dxa"/>
        </w:trPr>
        <w:tc>
          <w:tcPr>
            <w:tcW w:w="9163" w:type="dxa"/>
            <w:gridSpan w:val="12"/>
            <w:tcBorders>
              <w:top w:val="single" w:sz="4" w:space="0" w:color="000000"/>
              <w:left w:val="single" w:sz="4" w:space="0" w:color="000000"/>
              <w:bottom w:val="single" w:sz="4" w:space="0" w:color="000000"/>
              <w:right w:val="single" w:sz="4" w:space="0" w:color="000000"/>
            </w:tcBorders>
          </w:tcPr>
          <w:p w:rsidR="009A0699" w:rsidRPr="00072F34" w:rsidP="00A92E83" w14:paraId="6172B8BC" w14:textId="1AEFCFD3">
            <w:pPr>
              <w:pStyle w:val="Neotevilenodstavek"/>
              <w:spacing w:line="260" w:lineRule="exact"/>
              <w:rPr>
                <w:iCs/>
                <w:sz w:val="20"/>
                <w:szCs w:val="20"/>
              </w:rPr>
            </w:pPr>
            <w:r w:rsidRPr="00072F34">
              <w:rPr>
                <w:iCs/>
                <w:sz w:val="20"/>
                <w:szCs w:val="20"/>
              </w:rPr>
              <w:t>Na podlagi šestega odstavka 21. člena Zakona o Vladi Republike Slovenije (Uradni list RS, št. 24/05 – uradno prečiščeno besedilo, 109/08, 38/10 – ZUKN, 8/12, 21/13, 47/13 – ZDU-1G, 65/1</w:t>
            </w:r>
            <w:r w:rsidR="00E1055C">
              <w:rPr>
                <w:iCs/>
                <w:sz w:val="20"/>
                <w:szCs w:val="20"/>
              </w:rPr>
              <w:t xml:space="preserve">4, 55/17, 163/22 in 57/25 – ZF) </w:t>
            </w:r>
            <w:r w:rsidRPr="00072F34">
              <w:rPr>
                <w:iCs/>
                <w:sz w:val="20"/>
                <w:szCs w:val="20"/>
              </w:rPr>
              <w:t>je Vlada Republike Slovenije na ___ seji dne ________ pod ___ točko dnevnega reda sprejela naslednji</w:t>
            </w:r>
          </w:p>
          <w:p w:rsidR="009A0699" w:rsidRPr="00072F34" w:rsidP="00A92E83" w14:paraId="0925E628" w14:textId="77777777">
            <w:pPr>
              <w:pStyle w:val="Neotevilenodstavek"/>
              <w:spacing w:before="0" w:after="0" w:line="260" w:lineRule="exact"/>
              <w:rPr>
                <w:iCs/>
                <w:sz w:val="20"/>
                <w:szCs w:val="20"/>
              </w:rPr>
            </w:pPr>
          </w:p>
          <w:p w:rsidR="009A0699" w:rsidRPr="00072F34" w:rsidP="00A92E83" w14:paraId="0DFB488D" w14:textId="77777777">
            <w:pPr>
              <w:pStyle w:val="Neotevilenodstavek"/>
              <w:spacing w:before="0" w:after="0" w:line="260" w:lineRule="exact"/>
              <w:jc w:val="center"/>
              <w:rPr>
                <w:iCs/>
                <w:sz w:val="20"/>
                <w:szCs w:val="20"/>
              </w:rPr>
            </w:pPr>
            <w:r w:rsidRPr="00072F34">
              <w:rPr>
                <w:iCs/>
                <w:sz w:val="20"/>
                <w:szCs w:val="20"/>
              </w:rPr>
              <w:t>S K L E P:</w:t>
            </w:r>
          </w:p>
          <w:p w:rsidR="009A0699" w:rsidRPr="00072F34" w:rsidP="00A92E83" w14:paraId="7C1B0FA7" w14:textId="77777777">
            <w:pPr>
              <w:pStyle w:val="Neotevilenodstavek"/>
              <w:spacing w:line="260" w:lineRule="exact"/>
              <w:rPr>
                <w:iCs/>
                <w:sz w:val="20"/>
                <w:szCs w:val="20"/>
              </w:rPr>
            </w:pPr>
          </w:p>
          <w:p w:rsidR="009A0699" w:rsidRPr="00072F34" w:rsidP="00FE66C5" w14:paraId="35346FFB" w14:textId="08875AD3">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Vlada Republike Slo</w:t>
            </w:r>
            <w:r w:rsidR="00FE66C5">
              <w:rPr>
                <w:rFonts w:ascii="Arial" w:eastAsia="Times New Roman" w:hAnsi="Arial" w:cs="Arial"/>
                <w:iCs/>
                <w:sz w:val="20"/>
                <w:szCs w:val="20"/>
                <w:lang w:eastAsia="sl-SI"/>
              </w:rPr>
              <w:t xml:space="preserve">venije se je seznanila z </w:t>
            </w:r>
            <w:r w:rsidR="00E1055C">
              <w:rPr>
                <w:rFonts w:ascii="Arial" w:eastAsia="Times New Roman" w:hAnsi="Arial" w:cs="Arial"/>
                <w:iCs/>
                <w:sz w:val="20"/>
                <w:szCs w:val="20"/>
                <w:lang w:eastAsia="sl-SI"/>
              </w:rPr>
              <w:t>I</w:t>
            </w:r>
            <w:r w:rsidRPr="00072F34">
              <w:rPr>
                <w:rFonts w:ascii="Arial" w:eastAsia="Times New Roman" w:hAnsi="Arial" w:cs="Arial"/>
                <w:iCs/>
                <w:sz w:val="20"/>
                <w:szCs w:val="20"/>
                <w:lang w:eastAsia="sl-SI"/>
              </w:rPr>
              <w:t>nforma</w:t>
            </w:r>
            <w:r w:rsidR="00AB228C">
              <w:rPr>
                <w:rFonts w:ascii="Arial" w:eastAsia="Times New Roman" w:hAnsi="Arial" w:cs="Arial"/>
                <w:iCs/>
                <w:sz w:val="20"/>
                <w:szCs w:val="20"/>
                <w:lang w:eastAsia="sl-SI"/>
              </w:rPr>
              <w:t xml:space="preserve">cijo o </w:t>
            </w:r>
            <w:r w:rsidR="00E1055C">
              <w:rPr>
                <w:rFonts w:ascii="Arial" w:eastAsia="Times New Roman" w:hAnsi="Arial" w:cs="Arial"/>
                <w:iCs/>
                <w:sz w:val="20"/>
                <w:szCs w:val="20"/>
                <w:lang w:eastAsia="sl-SI"/>
              </w:rPr>
              <w:t>podaljšanju zaveze za vključitev</w:t>
            </w:r>
            <w:r w:rsidRPr="00072F34">
              <w:rPr>
                <w:rFonts w:ascii="Arial" w:eastAsia="Times New Roman" w:hAnsi="Arial" w:cs="Arial"/>
                <w:iCs/>
                <w:sz w:val="20"/>
                <w:szCs w:val="20"/>
                <w:lang w:eastAsia="sl-SI"/>
              </w:rPr>
              <w:t xml:space="preserve"> slovenske enote za iskanje in reševanje v jamah (</w:t>
            </w:r>
            <w:r w:rsidRPr="00072F34">
              <w:rPr>
                <w:rFonts w:ascii="Arial" w:eastAsia="Times New Roman" w:hAnsi="Arial" w:cs="Arial"/>
                <w:iCs/>
                <w:sz w:val="20"/>
                <w:szCs w:val="20"/>
                <w:lang w:eastAsia="sl-SI"/>
              </w:rPr>
              <w:t>Cave</w:t>
            </w:r>
            <w:r w:rsidRPr="00072F34">
              <w:rPr>
                <w:rFonts w:ascii="Arial" w:eastAsia="Times New Roman" w:hAnsi="Arial" w:cs="Arial"/>
                <w:iCs/>
                <w:sz w:val="20"/>
                <w:szCs w:val="20"/>
                <w:lang w:eastAsia="sl-SI"/>
              </w:rPr>
              <w:t xml:space="preserve"> SAR) in slovenske enote za prečrpavanje večjih </w:t>
            </w:r>
            <w:r w:rsidR="000D0E30">
              <w:rPr>
                <w:rFonts w:ascii="Arial" w:eastAsia="Times New Roman" w:hAnsi="Arial" w:cs="Arial"/>
                <w:iCs/>
                <w:sz w:val="20"/>
                <w:szCs w:val="20"/>
                <w:lang w:eastAsia="sl-SI"/>
              </w:rPr>
              <w:t>količin vode (SI HCP) v evropskem</w:t>
            </w:r>
            <w:r w:rsidRPr="00072F34">
              <w:rPr>
                <w:rFonts w:ascii="Arial" w:eastAsia="Times New Roman" w:hAnsi="Arial" w:cs="Arial"/>
                <w:iCs/>
                <w:sz w:val="20"/>
                <w:szCs w:val="20"/>
                <w:lang w:eastAsia="sl-SI"/>
              </w:rPr>
              <w:t xml:space="preserve"> nabor</w:t>
            </w:r>
            <w:r w:rsidR="000D0E30">
              <w:rPr>
                <w:rFonts w:ascii="Arial" w:eastAsia="Times New Roman" w:hAnsi="Arial" w:cs="Arial"/>
                <w:iCs/>
                <w:sz w:val="20"/>
                <w:szCs w:val="20"/>
                <w:lang w:eastAsia="sl-SI"/>
              </w:rPr>
              <w:t>u</w:t>
            </w:r>
            <w:r w:rsidRPr="00072F34">
              <w:rPr>
                <w:rFonts w:ascii="Arial" w:eastAsia="Times New Roman" w:hAnsi="Arial" w:cs="Arial"/>
                <w:iCs/>
                <w:sz w:val="20"/>
                <w:szCs w:val="20"/>
                <w:lang w:eastAsia="sl-SI"/>
              </w:rPr>
              <w:t xml:space="preserve"> civilne zaščite v okviru mehanizma Unije na področju civilne zaščite za obdobje trajanja certifikacije oziroma ponovne certifikacije obeh enot. </w:t>
            </w:r>
          </w:p>
          <w:p w:rsidR="009A0699" w:rsidRPr="00072F34" w:rsidP="00A92E83" w14:paraId="37B8C2D5" w14:textId="77777777">
            <w:pPr>
              <w:pStyle w:val="Neotevilenodstavek"/>
              <w:spacing w:before="0" w:after="0" w:line="260" w:lineRule="exact"/>
              <w:rPr>
                <w:iCs/>
                <w:sz w:val="20"/>
                <w:szCs w:val="20"/>
              </w:rPr>
            </w:pPr>
          </w:p>
          <w:p w:rsidR="009A0699" w:rsidRPr="00072F34" w:rsidP="00A92E83" w14:paraId="0123E416" w14:textId="529C97B5">
            <w:pPr>
              <w:pStyle w:val="Neotevilenodstavek"/>
              <w:spacing w:line="260" w:lineRule="exact"/>
              <w:rPr>
                <w:iCs/>
                <w:sz w:val="20"/>
                <w:szCs w:val="20"/>
              </w:rPr>
            </w:pPr>
          </w:p>
          <w:p w:rsidR="009A0699" w:rsidRPr="00072F34" w:rsidP="00A92E83" w14:paraId="58F1CA40" w14:textId="77777777">
            <w:pPr>
              <w:pStyle w:val="Neotevilenodstavek"/>
              <w:spacing w:line="260" w:lineRule="exact"/>
              <w:rPr>
                <w:iCs/>
                <w:sz w:val="20"/>
                <w:szCs w:val="20"/>
              </w:rPr>
            </w:pPr>
          </w:p>
          <w:p w:rsidR="009A0699" w:rsidRPr="00072F34" w:rsidP="00A92E83" w14:paraId="4EE8E42C" w14:textId="77777777">
            <w:pPr>
              <w:pStyle w:val="Neotevilenodstavek"/>
              <w:spacing w:line="260" w:lineRule="exact"/>
              <w:ind w:left="2832"/>
              <w:rPr>
                <w:iCs/>
                <w:sz w:val="20"/>
                <w:szCs w:val="20"/>
              </w:rPr>
            </w:pPr>
            <w:r w:rsidRPr="00072F34">
              <w:rPr>
                <w:iCs/>
                <w:sz w:val="20"/>
                <w:szCs w:val="20"/>
              </w:rPr>
              <w:t xml:space="preserve">                                         Barbara Kolenko </w:t>
            </w:r>
            <w:r w:rsidRPr="00072F34">
              <w:rPr>
                <w:iCs/>
                <w:sz w:val="20"/>
                <w:szCs w:val="20"/>
              </w:rPr>
              <w:t>Helbl</w:t>
            </w:r>
          </w:p>
          <w:p w:rsidR="009A0699" w:rsidRPr="00072F34" w:rsidP="00A92E83" w14:paraId="57865901" w14:textId="77777777">
            <w:pPr>
              <w:pStyle w:val="Neotevilenodstavek"/>
              <w:spacing w:line="260" w:lineRule="exact"/>
              <w:ind w:left="2832"/>
              <w:rPr>
                <w:iCs/>
                <w:sz w:val="20"/>
                <w:szCs w:val="20"/>
              </w:rPr>
            </w:pPr>
            <w:r w:rsidRPr="00072F34">
              <w:rPr>
                <w:iCs/>
                <w:sz w:val="20"/>
                <w:szCs w:val="20"/>
              </w:rPr>
              <w:t xml:space="preserve">                                   GENERALNA SEKRETARKA</w:t>
            </w:r>
          </w:p>
          <w:p w:rsidR="009A0699" w:rsidRPr="00072F34" w:rsidP="00A92E83" w14:paraId="58116037" w14:textId="77777777">
            <w:pPr>
              <w:pStyle w:val="Neotevilenodstavek"/>
              <w:spacing w:line="260" w:lineRule="exact"/>
              <w:rPr>
                <w:iCs/>
                <w:sz w:val="20"/>
                <w:szCs w:val="20"/>
              </w:rPr>
            </w:pPr>
            <w:r w:rsidRPr="00072F34">
              <w:rPr>
                <w:iCs/>
                <w:sz w:val="20"/>
                <w:szCs w:val="20"/>
              </w:rPr>
              <w:t>Prejmejo:</w:t>
            </w:r>
          </w:p>
          <w:p w:rsidR="009A0699" w:rsidRPr="00072F34" w:rsidP="00E1055C" w14:paraId="2DA50A8E" w14:textId="1B0330E0">
            <w:pPr>
              <w:numPr>
                <w:ilvl w:val="0"/>
                <w:numId w:val="43"/>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Ministrstvo za obrambo</w:t>
            </w:r>
          </w:p>
          <w:p w:rsidR="009A0699" w:rsidRPr="00072F34" w:rsidP="00E1055C" w14:paraId="2F92A4A1" w14:textId="77777777">
            <w:pPr>
              <w:numPr>
                <w:ilvl w:val="0"/>
                <w:numId w:val="43"/>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Uprava Republike Slovenije za zaščito in reševanje</w:t>
            </w:r>
          </w:p>
          <w:p w:rsidR="009A0699" w:rsidRPr="00072F34" w:rsidP="00E1055C" w14:paraId="27C2936D" w14:textId="6476B706">
            <w:pPr>
              <w:numPr>
                <w:ilvl w:val="0"/>
                <w:numId w:val="43"/>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Ministrstvo za evropske in zunanje zadeve</w:t>
            </w:r>
          </w:p>
          <w:p w:rsidR="009A0699" w:rsidRPr="00072F34" w:rsidP="00E1055C" w14:paraId="6E9E7564" w14:textId="39583D1E">
            <w:pPr>
              <w:numPr>
                <w:ilvl w:val="0"/>
                <w:numId w:val="43"/>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Ministrstvo za finance</w:t>
            </w:r>
          </w:p>
          <w:p w:rsidR="009A0699" w:rsidRPr="00072F34" w:rsidP="00E1055C" w14:paraId="500A7164" w14:textId="1E22C717">
            <w:pPr>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2F34">
              <w:rPr>
                <w:rFonts w:ascii="Arial" w:eastAsia="Times New Roman" w:hAnsi="Arial" w:cs="Arial"/>
                <w:iCs/>
                <w:sz w:val="20"/>
                <w:szCs w:val="20"/>
                <w:lang w:eastAsia="sl-SI"/>
              </w:rPr>
              <w:t>Urad Vlade R</w:t>
            </w:r>
            <w:r w:rsidR="007D4C8B">
              <w:rPr>
                <w:rFonts w:ascii="Arial" w:eastAsia="Times New Roman" w:hAnsi="Arial" w:cs="Arial"/>
                <w:iCs/>
                <w:sz w:val="20"/>
                <w:szCs w:val="20"/>
                <w:lang w:eastAsia="sl-SI"/>
              </w:rPr>
              <w:t xml:space="preserve">epublike </w:t>
            </w:r>
            <w:r w:rsidRPr="00072F34">
              <w:rPr>
                <w:rFonts w:ascii="Arial" w:eastAsia="Times New Roman" w:hAnsi="Arial" w:cs="Arial"/>
                <w:iCs/>
                <w:sz w:val="20"/>
                <w:szCs w:val="20"/>
                <w:lang w:eastAsia="sl-SI"/>
              </w:rPr>
              <w:t>S</w:t>
            </w:r>
            <w:r w:rsidR="007D4C8B">
              <w:rPr>
                <w:rFonts w:ascii="Arial" w:eastAsia="Times New Roman" w:hAnsi="Arial" w:cs="Arial"/>
                <w:iCs/>
                <w:sz w:val="20"/>
                <w:szCs w:val="20"/>
                <w:lang w:eastAsia="sl-SI"/>
              </w:rPr>
              <w:t>lovenije</w:t>
            </w:r>
            <w:r w:rsidRPr="00072F34">
              <w:rPr>
                <w:rFonts w:ascii="Arial" w:eastAsia="Times New Roman" w:hAnsi="Arial" w:cs="Arial"/>
                <w:iCs/>
                <w:sz w:val="20"/>
                <w:szCs w:val="20"/>
                <w:lang w:eastAsia="sl-SI"/>
              </w:rPr>
              <w:t xml:space="preserve"> za komuniciranje</w:t>
            </w:r>
          </w:p>
          <w:p w:rsidR="009A0699" w:rsidRPr="00072F34" w:rsidP="00A92E83" w14:paraId="3BACF11B" w14:textId="77777777">
            <w:pPr>
              <w:pStyle w:val="Neotevilenodstavek"/>
              <w:rPr>
                <w:iCs/>
                <w:sz w:val="20"/>
                <w:szCs w:val="20"/>
              </w:rPr>
            </w:pPr>
          </w:p>
        </w:tc>
      </w:tr>
      <w:tr w14:paraId="37EA893B"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4787984C" w14:textId="77777777">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14:paraId="21BD9000" w14:textId="77777777" w:rsidTr="00A40AF9">
        <w:tblPrEx>
          <w:tblW w:w="9263" w:type="dxa"/>
          <w:tblInd w:w="8" w:type="dxa"/>
          <w:tblLook w:val="04A0"/>
        </w:tblPrEx>
        <w:trPr>
          <w:gridBefore w:val="1"/>
          <w:wBefore w:w="100" w:type="dxa"/>
        </w:trPr>
        <w:tc>
          <w:tcPr>
            <w:tcW w:w="9163" w:type="dxa"/>
            <w:gridSpan w:val="12"/>
          </w:tcPr>
          <w:p w:rsidR="009A0699" w:rsidRPr="00072F34" w:rsidP="007D4C8B" w14:paraId="6E0ADE4D" w14:textId="0815A4A4">
            <w:pPr>
              <w:pStyle w:val="Neotevilenodstavek"/>
              <w:spacing w:after="0" w:line="260" w:lineRule="exact"/>
              <w:jc w:val="left"/>
              <w:rPr>
                <w:iCs/>
                <w:sz w:val="20"/>
                <w:szCs w:val="20"/>
              </w:rPr>
            </w:pPr>
            <w:r w:rsidRPr="00072F34">
              <w:rPr>
                <w:iCs/>
                <w:sz w:val="20"/>
                <w:szCs w:val="20"/>
              </w:rPr>
              <w:t>-</w:t>
            </w:r>
            <w:r w:rsidRPr="00072F34">
              <w:rPr>
                <w:iCs/>
                <w:sz w:val="20"/>
                <w:szCs w:val="20"/>
              </w:rPr>
              <w:tab/>
              <w:t>Leon Behin, generalni direktorja Uprave Republike Slovenije za zaščito in reševanje.</w:t>
            </w:r>
          </w:p>
          <w:p w:rsidR="009A0699" w:rsidRPr="00131B28" w:rsidP="00A92E83" w14:paraId="31FF1461" w14:textId="645557FD">
            <w:pPr>
              <w:pStyle w:val="Neotevilenodstavek"/>
              <w:spacing w:before="0" w:after="0" w:line="260" w:lineRule="exact"/>
              <w:rPr>
                <w:iCs/>
                <w:sz w:val="20"/>
                <w:szCs w:val="20"/>
              </w:rPr>
            </w:pPr>
            <w:r w:rsidRPr="00072F34">
              <w:rPr>
                <w:iCs/>
                <w:sz w:val="20"/>
                <w:szCs w:val="20"/>
              </w:rPr>
              <w:t>-</w:t>
            </w:r>
            <w:r w:rsidRPr="00072F34">
              <w:rPr>
                <w:iCs/>
                <w:sz w:val="20"/>
                <w:szCs w:val="20"/>
              </w:rPr>
              <w:tab/>
              <w:t xml:space="preserve">Srečko </w:t>
            </w:r>
            <w:r w:rsidRPr="00072F34">
              <w:rPr>
                <w:iCs/>
                <w:sz w:val="20"/>
                <w:szCs w:val="20"/>
              </w:rPr>
              <w:t>Šestan</w:t>
            </w:r>
            <w:r w:rsidRPr="00072F34">
              <w:rPr>
                <w:iCs/>
                <w:sz w:val="20"/>
                <w:szCs w:val="20"/>
              </w:rPr>
              <w:t>, poveljnik Civilne zaščite R</w:t>
            </w:r>
            <w:r w:rsidR="007D4C8B">
              <w:rPr>
                <w:iCs/>
                <w:sz w:val="20"/>
                <w:szCs w:val="20"/>
              </w:rPr>
              <w:t xml:space="preserve">epublike </w:t>
            </w:r>
            <w:r w:rsidRPr="00072F34">
              <w:rPr>
                <w:iCs/>
                <w:sz w:val="20"/>
                <w:szCs w:val="20"/>
              </w:rPr>
              <w:t>S</w:t>
            </w:r>
            <w:r w:rsidR="007D4C8B">
              <w:rPr>
                <w:iCs/>
                <w:sz w:val="20"/>
                <w:szCs w:val="20"/>
              </w:rPr>
              <w:t>lovenije</w:t>
            </w:r>
            <w:r w:rsidRPr="00072F34">
              <w:rPr>
                <w:iCs/>
                <w:sz w:val="20"/>
                <w:szCs w:val="20"/>
              </w:rPr>
              <w:t>.</w:t>
            </w:r>
          </w:p>
        </w:tc>
      </w:tr>
      <w:tr w14:paraId="374B1941"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004A23C6" w14:textId="77777777">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14:paraId="4D5FB2C3"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5714A08A" w14:textId="77777777">
            <w:pPr>
              <w:pStyle w:val="Neotevilenodstavek"/>
              <w:spacing w:before="0" w:after="0" w:line="260" w:lineRule="exact"/>
              <w:rPr>
                <w:iCs/>
                <w:sz w:val="20"/>
                <w:szCs w:val="20"/>
              </w:rPr>
            </w:pPr>
            <w:r>
              <w:rPr>
                <w:iCs/>
                <w:sz w:val="20"/>
                <w:szCs w:val="20"/>
              </w:rPr>
              <w:t>/</w:t>
            </w:r>
          </w:p>
        </w:tc>
      </w:tr>
      <w:tr w14:paraId="6C54D4A1"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6B59BA81"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561DA510"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0D6E28BD" w14:textId="77777777">
            <w:pPr>
              <w:pStyle w:val="Neotevilenodstavek"/>
              <w:spacing w:before="0" w:after="0" w:line="260" w:lineRule="exact"/>
              <w:rPr>
                <w:b/>
                <w:sz w:val="20"/>
                <w:szCs w:val="20"/>
              </w:rPr>
            </w:pPr>
          </w:p>
        </w:tc>
      </w:tr>
      <w:tr w14:paraId="50408FE6"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4A523ED0"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E7655BE" w14:textId="77777777" w:rsidTr="00A40AF9">
        <w:tblPrEx>
          <w:tblW w:w="9263" w:type="dxa"/>
          <w:tblInd w:w="8" w:type="dxa"/>
          <w:tblLook w:val="04A0"/>
        </w:tblPrEx>
        <w:trPr>
          <w:gridBefore w:val="1"/>
          <w:wBefore w:w="100" w:type="dxa"/>
        </w:trPr>
        <w:tc>
          <w:tcPr>
            <w:tcW w:w="9163" w:type="dxa"/>
            <w:gridSpan w:val="12"/>
          </w:tcPr>
          <w:p w:rsidR="009A0699" w:rsidRPr="00072F34" w:rsidP="00A92E83" w14:paraId="5CC6DD2F" w14:textId="5A964476">
            <w:pPr>
              <w:pStyle w:val="Neotevilenodstavek"/>
              <w:spacing w:after="0" w:line="260" w:lineRule="exact"/>
              <w:rPr>
                <w:iCs/>
                <w:sz w:val="20"/>
                <w:szCs w:val="20"/>
              </w:rPr>
            </w:pPr>
            <w:r w:rsidRPr="00072F34">
              <w:rPr>
                <w:iCs/>
                <w:sz w:val="20"/>
                <w:szCs w:val="20"/>
              </w:rPr>
              <w:t xml:space="preserve">Uprava Republike Slovenije za zaščito in reševanje Ministrstva za obrambo je v evropski nabor civilne zaščite v okviru mehanizma Unije na področju civilne zaščite leta 2016 uvrstila enoto za iskanje in reševanje v jamah (Sklep Vlade Republike Slovenije številka 54000-1/2016/3 z dne 28. 1. 2016). Zavezo za njeno uvrstitev oz. registracijo v evropski nabor civilne zaščite je podaljšala leta 2020 (Sklep Vlade Republike Slovenije številka 54200-5/2020/3 z dne 12. 3. 2020). Zaveza za vključitev enote za iskanje in reševanje v jamah v evropski nabor </w:t>
            </w:r>
            <w:r w:rsidR="000D0E30">
              <w:rPr>
                <w:iCs/>
                <w:sz w:val="20"/>
                <w:szCs w:val="20"/>
              </w:rPr>
              <w:t>civilne zaščite je potekla</w:t>
            </w:r>
            <w:r w:rsidRPr="00072F34">
              <w:rPr>
                <w:iCs/>
                <w:sz w:val="20"/>
                <w:szCs w:val="20"/>
              </w:rPr>
              <w:t xml:space="preserve"> 23. 2. 2026, zato je Uprava Republike Slovenije za zaščito in reševanje pripravila vse potrebno za podaljšanje zaveze oz. registracije za obdobj</w:t>
            </w:r>
            <w:r w:rsidR="000D0E30">
              <w:rPr>
                <w:iCs/>
                <w:sz w:val="20"/>
                <w:szCs w:val="20"/>
              </w:rPr>
              <w:t>e trajanja certifikacije oz.</w:t>
            </w:r>
            <w:r w:rsidRPr="00072F34">
              <w:rPr>
                <w:iCs/>
                <w:sz w:val="20"/>
                <w:szCs w:val="20"/>
              </w:rPr>
              <w:t xml:space="preserve"> ponovne certifikacije in s tem operativne pripravljenosti enote za posredovanje v okviru mehanizma Unije na področju civilne zaščite.</w:t>
            </w:r>
          </w:p>
          <w:p w:rsidR="009A0699" w:rsidRPr="00072F34" w:rsidP="00A92E83" w14:paraId="542038C7" w14:textId="1D2E0E2C">
            <w:pPr>
              <w:pStyle w:val="Neotevilenodstavek"/>
              <w:spacing w:after="0" w:line="260" w:lineRule="exact"/>
              <w:rPr>
                <w:iCs/>
                <w:sz w:val="20"/>
                <w:szCs w:val="20"/>
              </w:rPr>
            </w:pPr>
            <w:r w:rsidRPr="00072F34">
              <w:rPr>
                <w:iCs/>
                <w:sz w:val="20"/>
                <w:szCs w:val="20"/>
              </w:rPr>
              <w:t>Uprava Republike Slovenije za zaščito in reševanje Ministrstva za obrambo je v evropski nabor civilne zaščite v okviru mehanizma Unije na področju civilne zaščite leta 2019 uvrstila enoto za prečrpavanje večjih količin vode (Sklep Vlade Republike Slovenije številka 84300-4/2019/3 z dne 11. 7. 2019). Zaveza za vključitev oz. registracijo enote za prečrpavanje večjih količin vode v evropski nabor civilne zaščite poteče 13. 12. 2026, zato je Uprava Republike Slovenije za zaščito in reševanje pripravila vse potrebno za podaljšanje zaveze oz. registracije za obdobj</w:t>
            </w:r>
            <w:r w:rsidR="000D0E30">
              <w:rPr>
                <w:iCs/>
                <w:sz w:val="20"/>
                <w:szCs w:val="20"/>
              </w:rPr>
              <w:t>e trajanja certifikacije oz.</w:t>
            </w:r>
            <w:r w:rsidRPr="00072F34">
              <w:rPr>
                <w:iCs/>
                <w:sz w:val="20"/>
                <w:szCs w:val="20"/>
              </w:rPr>
              <w:t xml:space="preserve"> ponovne certifikacije in s tem operativne pripravljenosti enote za posredovanje v okviru mehanizma Unije na področju civilne zaščite. </w:t>
            </w:r>
          </w:p>
          <w:p w:rsidR="009A0699" w:rsidRPr="00131B28" w:rsidP="00A92E83" w14:paraId="732F08ED" w14:textId="77777777">
            <w:pPr>
              <w:pStyle w:val="Neotevilenodstavek"/>
              <w:spacing w:before="0" w:after="0" w:line="260" w:lineRule="exact"/>
              <w:rPr>
                <w:iCs/>
                <w:sz w:val="20"/>
                <w:szCs w:val="20"/>
              </w:rPr>
            </w:pPr>
          </w:p>
        </w:tc>
      </w:tr>
      <w:tr w14:paraId="2472AD0F" w14:textId="77777777" w:rsidTr="00A40AF9">
        <w:tblPrEx>
          <w:tblW w:w="9263" w:type="dxa"/>
          <w:tblInd w:w="8" w:type="dxa"/>
          <w:tblLook w:val="04A0"/>
        </w:tblPrEx>
        <w:trPr>
          <w:gridBefore w:val="1"/>
          <w:wBefore w:w="100" w:type="dxa"/>
        </w:trPr>
        <w:tc>
          <w:tcPr>
            <w:tcW w:w="9163" w:type="dxa"/>
            <w:gridSpan w:val="12"/>
          </w:tcPr>
          <w:p w:rsidR="009A0699" w:rsidRPr="00131B28" w:rsidP="00A92E83" w14:paraId="4CC45EB9"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2D6A9A75" w14:textId="77777777" w:rsidTr="00A40AF9">
        <w:tblPrEx>
          <w:tblW w:w="9263" w:type="dxa"/>
          <w:tblInd w:w="8" w:type="dxa"/>
          <w:tblLook w:val="04A0"/>
        </w:tblPrEx>
        <w:trPr>
          <w:gridBefore w:val="1"/>
          <w:wBefore w:w="100" w:type="dxa"/>
        </w:trPr>
        <w:tc>
          <w:tcPr>
            <w:tcW w:w="1448" w:type="dxa"/>
          </w:tcPr>
          <w:p w:rsidR="009A0699" w:rsidRPr="00131B28" w:rsidP="00A92E83" w14:paraId="5E65E7B9" w14:textId="77777777">
            <w:pPr>
              <w:pStyle w:val="Neotevilenodstavek"/>
              <w:spacing w:before="0" w:after="0" w:line="260" w:lineRule="exact"/>
              <w:ind w:left="360"/>
              <w:rPr>
                <w:iCs/>
                <w:sz w:val="20"/>
                <w:szCs w:val="20"/>
              </w:rPr>
            </w:pPr>
            <w:r w:rsidRPr="00131B28">
              <w:rPr>
                <w:iCs/>
                <w:sz w:val="20"/>
                <w:szCs w:val="20"/>
              </w:rPr>
              <w:t>a)</w:t>
            </w:r>
          </w:p>
        </w:tc>
        <w:tc>
          <w:tcPr>
            <w:tcW w:w="4960" w:type="dxa"/>
            <w:gridSpan w:val="7"/>
          </w:tcPr>
          <w:p w:rsidR="009A0699" w:rsidRPr="00131B28" w:rsidP="00A92E83" w14:paraId="067784CB"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gridSpan w:val="4"/>
            <w:vAlign w:val="center"/>
          </w:tcPr>
          <w:p w:rsidR="009A0699" w:rsidRPr="00131B28" w:rsidP="00A92E83" w14:paraId="322E1865" w14:textId="77777777">
            <w:pPr>
              <w:pStyle w:val="Neotevilenodstavek"/>
              <w:spacing w:before="0" w:after="0" w:line="260" w:lineRule="exact"/>
              <w:jc w:val="center"/>
              <w:rPr>
                <w:iCs/>
                <w:sz w:val="20"/>
                <w:szCs w:val="20"/>
              </w:rPr>
            </w:pPr>
            <w:r w:rsidRPr="00131B28">
              <w:rPr>
                <w:sz w:val="20"/>
                <w:szCs w:val="20"/>
              </w:rPr>
              <w:t>NE</w:t>
            </w:r>
          </w:p>
        </w:tc>
      </w:tr>
      <w:tr w14:paraId="35728531" w14:textId="77777777" w:rsidTr="00A40AF9">
        <w:tblPrEx>
          <w:tblW w:w="9263" w:type="dxa"/>
          <w:tblInd w:w="8" w:type="dxa"/>
          <w:tblLook w:val="04A0"/>
        </w:tblPrEx>
        <w:trPr>
          <w:gridBefore w:val="1"/>
          <w:wBefore w:w="100" w:type="dxa"/>
        </w:trPr>
        <w:tc>
          <w:tcPr>
            <w:tcW w:w="1448" w:type="dxa"/>
          </w:tcPr>
          <w:p w:rsidR="009A0699" w:rsidRPr="00131B28" w:rsidP="00A92E83" w14:paraId="6DB44415" w14:textId="77777777">
            <w:pPr>
              <w:pStyle w:val="Neotevilenodstavek"/>
              <w:spacing w:before="0" w:after="0" w:line="260" w:lineRule="exact"/>
              <w:ind w:left="360"/>
              <w:rPr>
                <w:iCs/>
                <w:sz w:val="20"/>
                <w:szCs w:val="20"/>
              </w:rPr>
            </w:pPr>
            <w:r w:rsidRPr="00131B28">
              <w:rPr>
                <w:iCs/>
                <w:sz w:val="20"/>
                <w:szCs w:val="20"/>
              </w:rPr>
              <w:t>b)</w:t>
            </w:r>
          </w:p>
        </w:tc>
        <w:tc>
          <w:tcPr>
            <w:tcW w:w="4960" w:type="dxa"/>
            <w:gridSpan w:val="7"/>
          </w:tcPr>
          <w:p w:rsidR="009A0699" w:rsidRPr="00131B28" w:rsidP="00A92E83" w14:paraId="37A4C1B5"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gridSpan w:val="4"/>
            <w:vAlign w:val="center"/>
          </w:tcPr>
          <w:p w:rsidR="009A0699" w:rsidRPr="00131B28" w:rsidP="00A92E83" w14:paraId="46A7FBC5" w14:textId="77777777">
            <w:pPr>
              <w:pStyle w:val="Neotevilenodstavek"/>
              <w:spacing w:before="0" w:after="0" w:line="260" w:lineRule="exact"/>
              <w:jc w:val="center"/>
              <w:rPr>
                <w:iCs/>
                <w:sz w:val="20"/>
                <w:szCs w:val="20"/>
              </w:rPr>
            </w:pPr>
            <w:r w:rsidRPr="00131B28">
              <w:rPr>
                <w:sz w:val="20"/>
                <w:szCs w:val="20"/>
              </w:rPr>
              <w:t>NE</w:t>
            </w:r>
          </w:p>
        </w:tc>
      </w:tr>
      <w:tr w14:paraId="6BDEEF37" w14:textId="77777777" w:rsidTr="00A40AF9">
        <w:tblPrEx>
          <w:tblW w:w="9263" w:type="dxa"/>
          <w:tblInd w:w="8" w:type="dxa"/>
          <w:tblLook w:val="04A0"/>
        </w:tblPrEx>
        <w:trPr>
          <w:gridBefore w:val="1"/>
          <w:wBefore w:w="100" w:type="dxa"/>
        </w:trPr>
        <w:tc>
          <w:tcPr>
            <w:tcW w:w="1448" w:type="dxa"/>
          </w:tcPr>
          <w:p w:rsidR="009A0699" w:rsidRPr="00131B28" w:rsidP="00A92E83" w14:paraId="056C6D5D" w14:textId="77777777">
            <w:pPr>
              <w:pStyle w:val="Neotevilenodstavek"/>
              <w:spacing w:before="0" w:after="0" w:line="260" w:lineRule="exact"/>
              <w:ind w:left="360"/>
              <w:rPr>
                <w:iCs/>
                <w:sz w:val="20"/>
                <w:szCs w:val="20"/>
              </w:rPr>
            </w:pPr>
            <w:r w:rsidRPr="00131B28">
              <w:rPr>
                <w:iCs/>
                <w:sz w:val="20"/>
                <w:szCs w:val="20"/>
              </w:rPr>
              <w:t>c)</w:t>
            </w:r>
          </w:p>
        </w:tc>
        <w:tc>
          <w:tcPr>
            <w:tcW w:w="4960" w:type="dxa"/>
            <w:gridSpan w:val="7"/>
          </w:tcPr>
          <w:p w:rsidR="009A0699" w:rsidRPr="00131B28" w:rsidP="00A92E83" w14:paraId="2BAC43FB" w14:textId="77777777">
            <w:pPr>
              <w:pStyle w:val="Neotevilenodstavek"/>
              <w:spacing w:before="0" w:after="0" w:line="260" w:lineRule="exact"/>
              <w:rPr>
                <w:iCs/>
                <w:sz w:val="20"/>
                <w:szCs w:val="20"/>
              </w:rPr>
            </w:pPr>
            <w:r w:rsidRPr="00131B28">
              <w:rPr>
                <w:sz w:val="20"/>
                <w:szCs w:val="20"/>
              </w:rPr>
              <w:t>administrativne posledice</w:t>
            </w:r>
          </w:p>
        </w:tc>
        <w:tc>
          <w:tcPr>
            <w:tcW w:w="2755" w:type="dxa"/>
            <w:gridSpan w:val="4"/>
            <w:vAlign w:val="center"/>
          </w:tcPr>
          <w:p w:rsidR="009A0699" w:rsidRPr="00131B28" w:rsidP="00A92E83" w14:paraId="0AB8BAB2" w14:textId="77777777">
            <w:pPr>
              <w:pStyle w:val="Neotevilenodstavek"/>
              <w:spacing w:before="0" w:after="0" w:line="260" w:lineRule="exact"/>
              <w:jc w:val="center"/>
              <w:rPr>
                <w:sz w:val="20"/>
                <w:szCs w:val="20"/>
              </w:rPr>
            </w:pPr>
            <w:r w:rsidRPr="00131B28">
              <w:rPr>
                <w:sz w:val="20"/>
                <w:szCs w:val="20"/>
              </w:rPr>
              <w:t>NE</w:t>
            </w:r>
          </w:p>
        </w:tc>
      </w:tr>
      <w:tr w14:paraId="070A1498" w14:textId="77777777" w:rsidTr="00A40AF9">
        <w:tblPrEx>
          <w:tblW w:w="9263" w:type="dxa"/>
          <w:tblInd w:w="8" w:type="dxa"/>
          <w:tblLook w:val="04A0"/>
        </w:tblPrEx>
        <w:trPr>
          <w:gridBefore w:val="1"/>
          <w:wBefore w:w="100" w:type="dxa"/>
        </w:trPr>
        <w:tc>
          <w:tcPr>
            <w:tcW w:w="1448" w:type="dxa"/>
          </w:tcPr>
          <w:p w:rsidR="009A0699" w:rsidRPr="00131B28" w:rsidP="00A92E83" w14:paraId="628C05CB" w14:textId="77777777">
            <w:pPr>
              <w:pStyle w:val="Neotevilenodstavek"/>
              <w:spacing w:before="0" w:after="0" w:line="260" w:lineRule="exact"/>
              <w:ind w:left="360"/>
              <w:rPr>
                <w:iCs/>
                <w:sz w:val="20"/>
                <w:szCs w:val="20"/>
              </w:rPr>
            </w:pPr>
            <w:r w:rsidRPr="00131B28">
              <w:rPr>
                <w:iCs/>
                <w:sz w:val="20"/>
                <w:szCs w:val="20"/>
              </w:rPr>
              <w:t>č)</w:t>
            </w:r>
          </w:p>
        </w:tc>
        <w:tc>
          <w:tcPr>
            <w:tcW w:w="4960" w:type="dxa"/>
            <w:gridSpan w:val="7"/>
          </w:tcPr>
          <w:p w:rsidR="009A0699" w:rsidRPr="00131B28" w:rsidP="00A92E83" w14:paraId="30C71D7B"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gridSpan w:val="4"/>
            <w:vAlign w:val="center"/>
          </w:tcPr>
          <w:p w:rsidR="009A0699" w:rsidRPr="00131B28" w:rsidP="00A92E83" w14:paraId="61C2BE44" w14:textId="77777777">
            <w:pPr>
              <w:pStyle w:val="Neotevilenodstavek"/>
              <w:spacing w:before="0" w:after="0" w:line="260" w:lineRule="exact"/>
              <w:jc w:val="center"/>
              <w:rPr>
                <w:iCs/>
                <w:sz w:val="20"/>
                <w:szCs w:val="20"/>
              </w:rPr>
            </w:pPr>
            <w:r w:rsidRPr="00131B28">
              <w:rPr>
                <w:sz w:val="20"/>
                <w:szCs w:val="20"/>
              </w:rPr>
              <w:t>NE</w:t>
            </w:r>
          </w:p>
        </w:tc>
      </w:tr>
      <w:tr w14:paraId="31012B1B" w14:textId="77777777" w:rsidTr="00A40AF9">
        <w:tblPrEx>
          <w:tblW w:w="9263" w:type="dxa"/>
          <w:tblInd w:w="8" w:type="dxa"/>
          <w:tblLook w:val="04A0"/>
        </w:tblPrEx>
        <w:trPr>
          <w:gridBefore w:val="1"/>
          <w:wBefore w:w="100" w:type="dxa"/>
        </w:trPr>
        <w:tc>
          <w:tcPr>
            <w:tcW w:w="1448" w:type="dxa"/>
          </w:tcPr>
          <w:p w:rsidR="009A0699" w:rsidRPr="00131B28" w:rsidP="00A92E83" w14:paraId="28C4AF30" w14:textId="77777777">
            <w:pPr>
              <w:pStyle w:val="Neotevilenodstavek"/>
              <w:spacing w:before="0" w:after="0" w:line="260" w:lineRule="exact"/>
              <w:ind w:left="360"/>
              <w:rPr>
                <w:iCs/>
                <w:sz w:val="20"/>
                <w:szCs w:val="20"/>
              </w:rPr>
            </w:pPr>
            <w:r w:rsidRPr="00131B28">
              <w:rPr>
                <w:iCs/>
                <w:sz w:val="20"/>
                <w:szCs w:val="20"/>
              </w:rPr>
              <w:t>d)</w:t>
            </w:r>
          </w:p>
        </w:tc>
        <w:tc>
          <w:tcPr>
            <w:tcW w:w="4960" w:type="dxa"/>
            <w:gridSpan w:val="7"/>
          </w:tcPr>
          <w:p w:rsidR="009A0699" w:rsidRPr="00131B28" w:rsidP="00A92E83" w14:paraId="1C817F1C"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gridSpan w:val="4"/>
            <w:vAlign w:val="center"/>
          </w:tcPr>
          <w:p w:rsidR="009A0699" w:rsidRPr="00131B28" w:rsidP="00A92E83" w14:paraId="2EF61144" w14:textId="77777777">
            <w:pPr>
              <w:pStyle w:val="Neotevilenodstavek"/>
              <w:spacing w:before="0" w:after="0" w:line="260" w:lineRule="exact"/>
              <w:jc w:val="center"/>
              <w:rPr>
                <w:iCs/>
                <w:sz w:val="20"/>
                <w:szCs w:val="20"/>
              </w:rPr>
            </w:pPr>
            <w:r w:rsidRPr="00131B28">
              <w:rPr>
                <w:sz w:val="20"/>
                <w:szCs w:val="20"/>
              </w:rPr>
              <w:t>NE</w:t>
            </w:r>
          </w:p>
        </w:tc>
      </w:tr>
      <w:tr w14:paraId="123FECEE" w14:textId="77777777" w:rsidTr="00A40AF9">
        <w:tblPrEx>
          <w:tblW w:w="9263" w:type="dxa"/>
          <w:tblInd w:w="8" w:type="dxa"/>
          <w:tblLook w:val="04A0"/>
        </w:tblPrEx>
        <w:trPr>
          <w:gridBefore w:val="1"/>
          <w:wBefore w:w="100" w:type="dxa"/>
        </w:trPr>
        <w:tc>
          <w:tcPr>
            <w:tcW w:w="1448" w:type="dxa"/>
          </w:tcPr>
          <w:p w:rsidR="009A0699" w:rsidRPr="00131B28" w:rsidP="00A92E83" w14:paraId="14DF76A4" w14:textId="77777777">
            <w:pPr>
              <w:pStyle w:val="Neotevilenodstavek"/>
              <w:spacing w:before="0" w:after="0" w:line="260" w:lineRule="exact"/>
              <w:ind w:left="360"/>
              <w:rPr>
                <w:iCs/>
                <w:sz w:val="20"/>
                <w:szCs w:val="20"/>
              </w:rPr>
            </w:pPr>
            <w:r w:rsidRPr="00131B28">
              <w:rPr>
                <w:iCs/>
                <w:sz w:val="20"/>
                <w:szCs w:val="20"/>
              </w:rPr>
              <w:t>e)</w:t>
            </w:r>
          </w:p>
        </w:tc>
        <w:tc>
          <w:tcPr>
            <w:tcW w:w="4960" w:type="dxa"/>
            <w:gridSpan w:val="7"/>
          </w:tcPr>
          <w:p w:rsidR="009A0699" w:rsidRPr="00131B28" w:rsidP="00A92E83" w14:paraId="5BD71E29" w14:textId="77777777">
            <w:pPr>
              <w:pStyle w:val="Neotevilenodstavek"/>
              <w:spacing w:before="0" w:after="0" w:line="260" w:lineRule="exact"/>
              <w:rPr>
                <w:bCs/>
                <w:sz w:val="20"/>
                <w:szCs w:val="20"/>
              </w:rPr>
            </w:pPr>
            <w:r w:rsidRPr="00131B28">
              <w:rPr>
                <w:bCs/>
                <w:sz w:val="20"/>
                <w:szCs w:val="20"/>
              </w:rPr>
              <w:t>socialno področje</w:t>
            </w:r>
          </w:p>
        </w:tc>
        <w:tc>
          <w:tcPr>
            <w:tcW w:w="2755" w:type="dxa"/>
            <w:gridSpan w:val="4"/>
            <w:vAlign w:val="center"/>
          </w:tcPr>
          <w:p w:rsidR="009A0699" w:rsidRPr="00131B28" w:rsidP="00A92E83" w14:paraId="66ACE7A7" w14:textId="77777777">
            <w:pPr>
              <w:pStyle w:val="Neotevilenodstavek"/>
              <w:spacing w:before="0" w:after="0" w:line="260" w:lineRule="exact"/>
              <w:jc w:val="center"/>
              <w:rPr>
                <w:iCs/>
                <w:sz w:val="20"/>
                <w:szCs w:val="20"/>
              </w:rPr>
            </w:pPr>
            <w:r w:rsidRPr="00131B28">
              <w:rPr>
                <w:sz w:val="20"/>
                <w:szCs w:val="20"/>
              </w:rPr>
              <w:t>NE</w:t>
            </w:r>
          </w:p>
        </w:tc>
      </w:tr>
      <w:tr w14:paraId="614840C6" w14:textId="77777777" w:rsidTr="00A40AF9">
        <w:tblPrEx>
          <w:tblW w:w="9263" w:type="dxa"/>
          <w:tblInd w:w="8" w:type="dxa"/>
          <w:tblLook w:val="04A0"/>
        </w:tblPrEx>
        <w:trPr>
          <w:gridBefore w:val="1"/>
          <w:wBefore w:w="100" w:type="dxa"/>
        </w:trPr>
        <w:tc>
          <w:tcPr>
            <w:tcW w:w="1448" w:type="dxa"/>
            <w:tcBorders>
              <w:bottom w:val="single" w:sz="4" w:space="0" w:color="auto"/>
            </w:tcBorders>
          </w:tcPr>
          <w:p w:rsidR="009A0699" w:rsidRPr="00131B28" w:rsidP="00A92E83" w14:paraId="39711238" w14:textId="77777777">
            <w:pPr>
              <w:pStyle w:val="Neotevilenodstavek"/>
              <w:spacing w:before="0" w:after="0" w:line="260" w:lineRule="exact"/>
              <w:ind w:left="360"/>
              <w:rPr>
                <w:iCs/>
                <w:sz w:val="20"/>
                <w:szCs w:val="20"/>
              </w:rPr>
            </w:pPr>
            <w:r w:rsidRPr="00131B28">
              <w:rPr>
                <w:iCs/>
                <w:sz w:val="20"/>
                <w:szCs w:val="20"/>
              </w:rPr>
              <w:t>f)</w:t>
            </w:r>
          </w:p>
        </w:tc>
        <w:tc>
          <w:tcPr>
            <w:tcW w:w="4960" w:type="dxa"/>
            <w:gridSpan w:val="7"/>
            <w:tcBorders>
              <w:bottom w:val="single" w:sz="4" w:space="0" w:color="auto"/>
            </w:tcBorders>
          </w:tcPr>
          <w:p w:rsidR="009A0699" w:rsidRPr="00131B28" w:rsidP="00A92E83" w14:paraId="41D4CB2E" w14:textId="77777777">
            <w:pPr>
              <w:pStyle w:val="Neotevilenodstavek"/>
              <w:spacing w:before="0" w:after="0" w:line="260" w:lineRule="exact"/>
              <w:rPr>
                <w:bCs/>
                <w:sz w:val="20"/>
                <w:szCs w:val="20"/>
              </w:rPr>
            </w:pPr>
            <w:r w:rsidRPr="00131B28">
              <w:rPr>
                <w:bCs/>
                <w:sz w:val="20"/>
                <w:szCs w:val="20"/>
              </w:rPr>
              <w:t>dokumente razvojnega načrtovanja:</w:t>
            </w:r>
          </w:p>
          <w:p w:rsidR="009A0699" w:rsidRPr="00131B28" w:rsidP="00A92E83" w14:paraId="1B837F93"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9A0699" w:rsidRPr="00131B28" w:rsidP="00A92E83" w14:paraId="1EC1F868"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9A0699" w:rsidRPr="00131B28" w:rsidP="00A92E83" w14:paraId="126364A2"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gridSpan w:val="4"/>
            <w:tcBorders>
              <w:bottom w:val="single" w:sz="4" w:space="0" w:color="auto"/>
            </w:tcBorders>
            <w:vAlign w:val="center"/>
          </w:tcPr>
          <w:p w:rsidR="009A0699" w:rsidRPr="00131B28" w:rsidP="00A92E83" w14:paraId="0A184CD5" w14:textId="77777777">
            <w:pPr>
              <w:pStyle w:val="Neotevilenodstavek"/>
              <w:spacing w:before="0" w:after="0" w:line="260" w:lineRule="exact"/>
              <w:jc w:val="center"/>
              <w:rPr>
                <w:iCs/>
                <w:sz w:val="20"/>
                <w:szCs w:val="20"/>
              </w:rPr>
            </w:pPr>
            <w:r w:rsidRPr="00131B28">
              <w:rPr>
                <w:sz w:val="20"/>
                <w:szCs w:val="20"/>
              </w:rPr>
              <w:t>NE</w:t>
            </w:r>
          </w:p>
        </w:tc>
      </w:tr>
      <w:tr w14:paraId="759F39E5" w14:textId="77777777" w:rsidTr="00A40AF9">
        <w:tblPrEx>
          <w:tblW w:w="9263" w:type="dxa"/>
          <w:tblInd w:w="8" w:type="dxa"/>
          <w:tblLook w:val="04A0"/>
        </w:tblPrEx>
        <w:trPr>
          <w:gridBefore w:val="1"/>
          <w:wBefore w:w="100" w:type="dxa"/>
        </w:trPr>
        <w:tc>
          <w:tcPr>
            <w:tcW w:w="9163" w:type="dxa"/>
            <w:gridSpan w:val="12"/>
            <w:tcBorders>
              <w:top w:val="single" w:sz="4" w:space="0" w:color="auto"/>
              <w:left w:val="single" w:sz="4" w:space="0" w:color="auto"/>
              <w:bottom w:val="single" w:sz="4" w:space="0" w:color="auto"/>
              <w:right w:val="single" w:sz="4" w:space="0" w:color="auto"/>
            </w:tcBorders>
          </w:tcPr>
          <w:p w:rsidR="009A0699" w:rsidRPr="00131B28" w:rsidP="00A92E83" w14:paraId="2BE9CB04"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9A0699" w:rsidRPr="00A40AF9" w:rsidP="00A40AF9" w14:paraId="431E1F30" w14:textId="686B95D7">
            <w:pPr>
              <w:jc w:val="both"/>
              <w:rPr>
                <w:rFonts w:ascii="Arial" w:hAnsi="Arial" w:cs="Arial"/>
                <w:sz w:val="20"/>
                <w:szCs w:val="20"/>
              </w:rPr>
            </w:pPr>
            <w:r w:rsidRPr="008C39B5">
              <w:rPr>
                <w:rFonts w:ascii="Arial" w:hAnsi="Arial" w:cs="Arial"/>
                <w:sz w:val="20"/>
                <w:szCs w:val="20"/>
              </w:rPr>
              <w:t>Finančnih posledic ponovne uvrstitve omenjenih enot v evropski nabor civil</w:t>
            </w:r>
            <w:r>
              <w:rPr>
                <w:rFonts w:ascii="Arial" w:hAnsi="Arial" w:cs="Arial"/>
                <w:sz w:val="20"/>
                <w:szCs w:val="20"/>
              </w:rPr>
              <w:t>ne zaščite ni. Stroški bodo nastali</w:t>
            </w:r>
            <w:r w:rsidRPr="008C39B5">
              <w:rPr>
                <w:rFonts w:ascii="Arial" w:hAnsi="Arial" w:cs="Arial"/>
                <w:sz w:val="20"/>
                <w:szCs w:val="20"/>
              </w:rPr>
              <w:t xml:space="preserve"> ob </w:t>
            </w:r>
            <w:r>
              <w:rPr>
                <w:rFonts w:ascii="Arial" w:hAnsi="Arial" w:cs="Arial"/>
                <w:sz w:val="20"/>
                <w:szCs w:val="20"/>
              </w:rPr>
              <w:t xml:space="preserve">morebitni </w:t>
            </w:r>
            <w:r w:rsidRPr="008C39B5">
              <w:rPr>
                <w:rFonts w:ascii="Arial" w:hAnsi="Arial" w:cs="Arial"/>
                <w:sz w:val="20"/>
                <w:szCs w:val="20"/>
              </w:rPr>
              <w:t>napotitvi enot na mednarodne reševalne intervencije, o čemer vsakokrat odloča Vlada Republike Slovenije.</w:t>
            </w:r>
          </w:p>
        </w:tc>
      </w:tr>
      <w:tr w14:paraId="6EE6C3A6"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9A0699" w:rsidRPr="00131B28" w:rsidP="00A92E83" w14:paraId="6BDBEB82"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5ED320AE"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25ECA706"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02D0646E"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0FA97BDF"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7401DE6C"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06BEBFDC"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CE775E4"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649991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7263164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5E5AA511" w14:textId="77777777">
            <w:pPr>
              <w:pStyle w:val="Heading1"/>
              <w:keepNext w:val="0"/>
              <w:widowControl w:val="0"/>
              <w:tabs>
                <w:tab w:val="left" w:pos="360"/>
              </w:tabs>
              <w:spacing w:before="0" w:after="0"/>
              <w:jc w:val="center"/>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67B6001"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561EF69B" w14:textId="77777777">
            <w:pPr>
              <w:pStyle w:val="Heading1"/>
              <w:keepNext w:val="0"/>
              <w:widowControl w:val="0"/>
              <w:tabs>
                <w:tab w:val="left" w:pos="360"/>
              </w:tabs>
              <w:spacing w:before="0" w:after="0"/>
              <w:jc w:val="center"/>
              <w:rPr>
                <w:rFonts w:cs="Arial"/>
                <w:b w:val="0"/>
                <w:sz w:val="20"/>
                <w:szCs w:val="20"/>
              </w:rPr>
            </w:pPr>
          </w:p>
        </w:tc>
      </w:tr>
      <w:tr w14:paraId="0AF795AF"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6A2A70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38EDE93E"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1A19D07C" w14:textId="77777777">
            <w:pPr>
              <w:pStyle w:val="Heading1"/>
              <w:keepNext w:val="0"/>
              <w:widowControl w:val="0"/>
              <w:tabs>
                <w:tab w:val="left" w:pos="360"/>
              </w:tabs>
              <w:spacing w:before="0" w:after="0"/>
              <w:jc w:val="center"/>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6B5FDA2B"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57419B81" w14:textId="77777777">
            <w:pPr>
              <w:pStyle w:val="Heading1"/>
              <w:keepNext w:val="0"/>
              <w:widowControl w:val="0"/>
              <w:tabs>
                <w:tab w:val="left" w:pos="360"/>
              </w:tabs>
              <w:spacing w:before="0" w:after="0"/>
              <w:jc w:val="center"/>
              <w:rPr>
                <w:rFonts w:cs="Arial"/>
                <w:b w:val="0"/>
                <w:sz w:val="20"/>
                <w:szCs w:val="20"/>
              </w:rPr>
            </w:pPr>
          </w:p>
        </w:tc>
      </w:tr>
      <w:tr w14:paraId="6C94C03F"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7360AAD"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4F448037"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11F79101" w14:textId="77777777">
            <w:pPr>
              <w:widowControl w:val="0"/>
              <w:spacing w:after="0" w:line="260" w:lineRule="exact"/>
              <w:jc w:val="center"/>
              <w:rPr>
                <w:rFonts w:ascii="Arial" w:hAnsi="Arial" w:cs="Arial"/>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618290BA"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68F726B4" w14:textId="77777777">
            <w:pPr>
              <w:widowControl w:val="0"/>
              <w:spacing w:after="0" w:line="260" w:lineRule="exact"/>
              <w:jc w:val="center"/>
              <w:rPr>
                <w:rFonts w:ascii="Arial" w:hAnsi="Arial" w:cs="Arial"/>
                <w:sz w:val="20"/>
                <w:szCs w:val="20"/>
              </w:rPr>
            </w:pPr>
          </w:p>
        </w:tc>
      </w:tr>
      <w:tr w14:paraId="5C8C76F3"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21A03091"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1973F1EF"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10152DB3" w14:textId="77777777">
            <w:pPr>
              <w:widowControl w:val="0"/>
              <w:spacing w:after="0" w:line="260" w:lineRule="exact"/>
              <w:jc w:val="center"/>
              <w:rPr>
                <w:rFonts w:ascii="Arial" w:hAnsi="Arial" w:cs="Arial"/>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1786F7A2"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2FD6BFE5" w14:textId="77777777">
            <w:pPr>
              <w:widowControl w:val="0"/>
              <w:spacing w:after="0" w:line="260" w:lineRule="exact"/>
              <w:jc w:val="center"/>
              <w:rPr>
                <w:rFonts w:ascii="Arial" w:hAnsi="Arial" w:cs="Arial"/>
                <w:sz w:val="20"/>
                <w:szCs w:val="20"/>
              </w:rPr>
            </w:pPr>
          </w:p>
        </w:tc>
      </w:tr>
      <w:tr w14:paraId="7E271752"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25"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13BC426A"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384C92D5"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6CA9C34D" w14:textId="77777777">
            <w:pPr>
              <w:pStyle w:val="Heading1"/>
              <w:keepNext w:val="0"/>
              <w:widowControl w:val="0"/>
              <w:tabs>
                <w:tab w:val="left" w:pos="360"/>
              </w:tabs>
              <w:spacing w:before="0" w:after="0"/>
              <w:jc w:val="center"/>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7B65D9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3A30D34E" w14:textId="77777777">
            <w:pPr>
              <w:pStyle w:val="Heading1"/>
              <w:keepNext w:val="0"/>
              <w:widowControl w:val="0"/>
              <w:tabs>
                <w:tab w:val="left" w:pos="360"/>
              </w:tabs>
              <w:spacing w:before="0" w:after="0"/>
              <w:jc w:val="center"/>
              <w:rPr>
                <w:rFonts w:cs="Arial"/>
                <w:b w:val="0"/>
                <w:sz w:val="20"/>
                <w:szCs w:val="20"/>
              </w:rPr>
            </w:pPr>
          </w:p>
        </w:tc>
      </w:tr>
      <w:tr w14:paraId="4696AE00"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A0699" w:rsidRPr="00131B28" w:rsidP="00A92E83" w14:paraId="3CB6A9A3"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6C0BB06"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A0699" w:rsidRPr="00131B28" w:rsidP="00A92E83" w14:paraId="1D9E2366"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70461FF8"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3AD3AD2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65A647B8"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371A5189"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07B6B9A2"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07FC2C8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7583D112"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4D456BDF"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7B4830BC"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1B829DA0" w14:textId="77777777">
            <w:pPr>
              <w:pStyle w:val="Heading1"/>
              <w:keepNext w:val="0"/>
              <w:widowControl w:val="0"/>
              <w:tabs>
                <w:tab w:val="left" w:pos="360"/>
              </w:tabs>
              <w:spacing w:before="0" w:after="0"/>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7CE5CA61"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1691E17A" w14:textId="77777777">
            <w:pPr>
              <w:pStyle w:val="Heading1"/>
              <w:keepNext w:val="0"/>
              <w:widowControl w:val="0"/>
              <w:tabs>
                <w:tab w:val="left" w:pos="360"/>
              </w:tabs>
              <w:spacing w:before="0" w:after="0"/>
              <w:rPr>
                <w:rFonts w:cs="Arial"/>
                <w:b w:val="0"/>
                <w:bCs/>
                <w:sz w:val="20"/>
                <w:szCs w:val="20"/>
              </w:rPr>
            </w:pPr>
          </w:p>
        </w:tc>
      </w:tr>
      <w:tr w14:paraId="1156B4F4"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5CF891E1"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470145C5"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16DE7906" w14:textId="77777777">
            <w:pPr>
              <w:pStyle w:val="Heading1"/>
              <w:keepNext w:val="0"/>
              <w:widowControl w:val="0"/>
              <w:tabs>
                <w:tab w:val="left" w:pos="360"/>
              </w:tabs>
              <w:spacing w:before="0" w:after="0"/>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6FD5A894"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72B127F4" w14:textId="77777777">
            <w:pPr>
              <w:pStyle w:val="Heading1"/>
              <w:keepNext w:val="0"/>
              <w:widowControl w:val="0"/>
              <w:tabs>
                <w:tab w:val="left" w:pos="360"/>
              </w:tabs>
              <w:spacing w:before="0" w:after="0"/>
              <w:rPr>
                <w:rFonts w:cs="Arial"/>
                <w:b w:val="0"/>
                <w:bCs/>
                <w:sz w:val="20"/>
                <w:szCs w:val="20"/>
              </w:rPr>
            </w:pPr>
          </w:p>
        </w:tc>
      </w:tr>
      <w:tr w14:paraId="76367C4B"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49" w:type="dxa"/>
            <w:gridSpan w:val="7"/>
            <w:tcBorders>
              <w:top w:val="single" w:sz="4" w:space="0" w:color="auto"/>
              <w:left w:val="single" w:sz="4" w:space="0" w:color="auto"/>
              <w:bottom w:val="single" w:sz="4" w:space="0" w:color="auto"/>
              <w:right w:val="single" w:sz="4" w:space="0" w:color="auto"/>
            </w:tcBorders>
            <w:vAlign w:val="center"/>
          </w:tcPr>
          <w:p w:rsidR="009A0699" w:rsidRPr="00131B28" w:rsidP="00A92E83" w14:paraId="4668AB1D"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38795366"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21813E0F" w14:textId="77777777">
            <w:pPr>
              <w:pStyle w:val="Heading1"/>
              <w:keepNext w:val="0"/>
              <w:widowControl w:val="0"/>
              <w:tabs>
                <w:tab w:val="left" w:pos="360"/>
              </w:tabs>
              <w:spacing w:before="0" w:after="0"/>
              <w:rPr>
                <w:rFonts w:cs="Arial"/>
                <w:sz w:val="20"/>
                <w:szCs w:val="20"/>
              </w:rPr>
            </w:pPr>
          </w:p>
        </w:tc>
      </w:tr>
      <w:tr w14:paraId="1A14151D"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A0699" w:rsidRPr="00131B28" w:rsidP="00A92E83" w14:paraId="234B47F4"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3D22EE88"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0F7AB93A"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7220A8AE"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69F40768"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1CD05B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4160E44B"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0035CF83"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0025B6B8"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41DF661E"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325D6C5C" w14:textId="77777777">
            <w:pPr>
              <w:pStyle w:val="Heading1"/>
              <w:keepNext w:val="0"/>
              <w:widowControl w:val="0"/>
              <w:tabs>
                <w:tab w:val="left" w:pos="360"/>
              </w:tabs>
              <w:spacing w:before="0" w:after="0"/>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512D705"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7ECFAD3C" w14:textId="77777777">
            <w:pPr>
              <w:pStyle w:val="Heading1"/>
              <w:keepNext w:val="0"/>
              <w:widowControl w:val="0"/>
              <w:tabs>
                <w:tab w:val="left" w:pos="360"/>
              </w:tabs>
              <w:spacing w:before="0" w:after="0"/>
              <w:rPr>
                <w:rFonts w:cs="Arial"/>
                <w:b w:val="0"/>
                <w:bCs/>
                <w:sz w:val="20"/>
                <w:szCs w:val="20"/>
              </w:rPr>
            </w:pPr>
          </w:p>
        </w:tc>
      </w:tr>
      <w:tr w14:paraId="504C61A3"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5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2B6679AE"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1556DEAF"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9A0699" w:rsidRPr="00131B28" w:rsidP="00A92E83" w14:paraId="40A9929A" w14:textId="77777777">
            <w:pPr>
              <w:pStyle w:val="Heading1"/>
              <w:keepNext w:val="0"/>
              <w:widowControl w:val="0"/>
              <w:tabs>
                <w:tab w:val="left" w:pos="360"/>
              </w:tabs>
              <w:spacing w:before="0" w:after="0"/>
              <w:rPr>
                <w:rFonts w:cs="Arial"/>
                <w:b w:val="0"/>
                <w:bCs/>
                <w:sz w:val="20"/>
                <w:szCs w:val="20"/>
              </w:rPr>
            </w:pP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469EC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2E961FBD" w14:textId="77777777">
            <w:pPr>
              <w:pStyle w:val="Heading1"/>
              <w:keepNext w:val="0"/>
              <w:widowControl w:val="0"/>
              <w:tabs>
                <w:tab w:val="left" w:pos="360"/>
              </w:tabs>
              <w:spacing w:before="0" w:after="0"/>
              <w:rPr>
                <w:rFonts w:cs="Arial"/>
                <w:b w:val="0"/>
                <w:bCs/>
                <w:sz w:val="20"/>
                <w:szCs w:val="20"/>
              </w:rPr>
            </w:pPr>
          </w:p>
        </w:tc>
      </w:tr>
      <w:tr w14:paraId="555C32EF"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49" w:type="dxa"/>
            <w:gridSpan w:val="7"/>
            <w:tcBorders>
              <w:top w:val="single" w:sz="4" w:space="0" w:color="auto"/>
              <w:left w:val="single" w:sz="4" w:space="0" w:color="auto"/>
              <w:bottom w:val="single" w:sz="4" w:space="0" w:color="auto"/>
              <w:right w:val="single" w:sz="4" w:space="0" w:color="auto"/>
            </w:tcBorders>
            <w:vAlign w:val="center"/>
          </w:tcPr>
          <w:p w:rsidR="009A0699" w:rsidRPr="00131B28" w:rsidP="00A92E83" w14:paraId="1D4A8B19"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FC7129A"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9A0699" w:rsidRPr="00131B28" w:rsidP="00A92E83" w14:paraId="23217397" w14:textId="77777777">
            <w:pPr>
              <w:pStyle w:val="Heading1"/>
              <w:keepNext w:val="0"/>
              <w:widowControl w:val="0"/>
              <w:tabs>
                <w:tab w:val="left" w:pos="360"/>
              </w:tabs>
              <w:spacing w:before="0" w:after="0"/>
              <w:rPr>
                <w:rFonts w:cs="Arial"/>
                <w:sz w:val="20"/>
                <w:szCs w:val="20"/>
              </w:rPr>
            </w:pPr>
          </w:p>
        </w:tc>
      </w:tr>
      <w:tr w14:paraId="19630F2C"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9A0699" w:rsidRPr="00131B28" w:rsidP="00A92E83" w14:paraId="4D1AD4D0"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39B83433"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322" w:type="dxa"/>
            <w:gridSpan w:val="5"/>
            <w:tcBorders>
              <w:top w:val="single" w:sz="4" w:space="0" w:color="auto"/>
              <w:left w:val="single" w:sz="4" w:space="0" w:color="auto"/>
              <w:bottom w:val="single" w:sz="4" w:space="0" w:color="auto"/>
              <w:right w:val="single" w:sz="4" w:space="0" w:color="auto"/>
            </w:tcBorders>
            <w:vAlign w:val="center"/>
          </w:tcPr>
          <w:p w:rsidR="009A0699" w:rsidRPr="00131B28" w:rsidP="00A92E83" w14:paraId="0849DC23"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148ED354"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64E023A"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0702B4A3"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22" w:type="dxa"/>
            <w:gridSpan w:val="5"/>
            <w:tcBorders>
              <w:top w:val="single" w:sz="4" w:space="0" w:color="auto"/>
              <w:left w:val="single" w:sz="4" w:space="0" w:color="auto"/>
              <w:bottom w:val="single" w:sz="4" w:space="0" w:color="auto"/>
              <w:right w:val="single" w:sz="4" w:space="0" w:color="auto"/>
            </w:tcBorders>
            <w:vAlign w:val="center"/>
          </w:tcPr>
          <w:p w:rsidR="009A0699" w:rsidRPr="00131B28" w:rsidP="00A92E83" w14:paraId="6AB76D27"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19E36F33" w14:textId="77777777">
            <w:pPr>
              <w:pStyle w:val="Heading1"/>
              <w:keepNext w:val="0"/>
              <w:widowControl w:val="0"/>
              <w:tabs>
                <w:tab w:val="left" w:pos="360"/>
              </w:tabs>
              <w:spacing w:before="0" w:after="0"/>
              <w:rPr>
                <w:rFonts w:cs="Arial"/>
                <w:b w:val="0"/>
                <w:bCs/>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452DBEEF" w14:textId="77777777">
            <w:pPr>
              <w:pStyle w:val="Heading1"/>
              <w:keepNext w:val="0"/>
              <w:widowControl w:val="0"/>
              <w:tabs>
                <w:tab w:val="left" w:pos="360"/>
              </w:tabs>
              <w:spacing w:before="0" w:after="0"/>
              <w:rPr>
                <w:rFonts w:cs="Arial"/>
                <w:b w:val="0"/>
                <w:bCs/>
                <w:sz w:val="20"/>
                <w:szCs w:val="20"/>
              </w:rPr>
            </w:pPr>
          </w:p>
        </w:tc>
      </w:tr>
      <w:tr w14:paraId="2827860C"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22" w:type="dxa"/>
            <w:gridSpan w:val="5"/>
            <w:tcBorders>
              <w:top w:val="single" w:sz="4" w:space="0" w:color="auto"/>
              <w:left w:val="single" w:sz="4" w:space="0" w:color="auto"/>
              <w:bottom w:val="single" w:sz="4" w:space="0" w:color="auto"/>
              <w:right w:val="single" w:sz="4" w:space="0" w:color="auto"/>
            </w:tcBorders>
            <w:vAlign w:val="center"/>
          </w:tcPr>
          <w:p w:rsidR="009A0699" w:rsidRPr="00131B28" w:rsidP="00A92E83" w14:paraId="0DD89494"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48C8B08E" w14:textId="77777777">
            <w:pPr>
              <w:pStyle w:val="Heading1"/>
              <w:keepNext w:val="0"/>
              <w:widowControl w:val="0"/>
              <w:tabs>
                <w:tab w:val="left" w:pos="360"/>
              </w:tabs>
              <w:spacing w:before="0" w:after="0"/>
              <w:rPr>
                <w:rFonts w:cs="Arial"/>
                <w:b w:val="0"/>
                <w:bCs/>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62A19AB" w14:textId="77777777">
            <w:pPr>
              <w:pStyle w:val="Heading1"/>
              <w:keepNext w:val="0"/>
              <w:widowControl w:val="0"/>
              <w:tabs>
                <w:tab w:val="left" w:pos="360"/>
              </w:tabs>
              <w:spacing w:before="0" w:after="0"/>
              <w:rPr>
                <w:rFonts w:cs="Arial"/>
                <w:b w:val="0"/>
                <w:bCs/>
                <w:sz w:val="20"/>
                <w:szCs w:val="20"/>
              </w:rPr>
            </w:pPr>
          </w:p>
        </w:tc>
      </w:tr>
      <w:tr w14:paraId="2820E2A0"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22" w:type="dxa"/>
            <w:gridSpan w:val="5"/>
            <w:tcBorders>
              <w:top w:val="single" w:sz="4" w:space="0" w:color="auto"/>
              <w:left w:val="single" w:sz="4" w:space="0" w:color="auto"/>
              <w:bottom w:val="single" w:sz="4" w:space="0" w:color="auto"/>
              <w:right w:val="single" w:sz="4" w:space="0" w:color="auto"/>
            </w:tcBorders>
            <w:vAlign w:val="center"/>
          </w:tcPr>
          <w:p w:rsidR="009A0699" w:rsidRPr="00131B28" w:rsidP="00A92E83" w14:paraId="0F4E346F"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463E3109" w14:textId="77777777">
            <w:pPr>
              <w:pStyle w:val="Heading1"/>
              <w:keepNext w:val="0"/>
              <w:widowControl w:val="0"/>
              <w:tabs>
                <w:tab w:val="left" w:pos="360"/>
              </w:tabs>
              <w:spacing w:before="0" w:after="0"/>
              <w:rPr>
                <w:rFonts w:cs="Arial"/>
                <w:b w:val="0"/>
                <w:bCs/>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AEBEE46" w14:textId="77777777">
            <w:pPr>
              <w:pStyle w:val="Heading1"/>
              <w:keepNext w:val="0"/>
              <w:widowControl w:val="0"/>
              <w:tabs>
                <w:tab w:val="left" w:pos="360"/>
              </w:tabs>
              <w:spacing w:before="0" w:after="0"/>
              <w:rPr>
                <w:rFonts w:cs="Arial"/>
                <w:b w:val="0"/>
                <w:bCs/>
                <w:sz w:val="20"/>
                <w:szCs w:val="20"/>
              </w:rPr>
            </w:pPr>
          </w:p>
        </w:tc>
      </w:tr>
      <w:tr w14:paraId="39E26B32" w14:textId="77777777" w:rsidTr="00A40AF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22" w:type="dxa"/>
            <w:gridSpan w:val="5"/>
            <w:tcBorders>
              <w:top w:val="single" w:sz="4" w:space="0" w:color="auto"/>
              <w:left w:val="single" w:sz="4" w:space="0" w:color="auto"/>
              <w:bottom w:val="single" w:sz="4" w:space="0" w:color="auto"/>
              <w:right w:val="single" w:sz="4" w:space="0" w:color="auto"/>
            </w:tcBorders>
            <w:vAlign w:val="center"/>
          </w:tcPr>
          <w:p w:rsidR="009A0699" w:rsidRPr="00131B28" w:rsidP="00A92E83" w14:paraId="10A2DCE2"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9A0699" w:rsidRPr="00131B28" w:rsidP="00A92E83" w14:paraId="53008BE3" w14:textId="77777777">
            <w:pPr>
              <w:pStyle w:val="Heading1"/>
              <w:keepNext w:val="0"/>
              <w:widowControl w:val="0"/>
              <w:tabs>
                <w:tab w:val="left" w:pos="360"/>
              </w:tabs>
              <w:spacing w:before="0" w:after="0"/>
              <w:rPr>
                <w:rFonts w:cs="Arial"/>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9A0699" w:rsidRPr="00131B28" w:rsidP="00A92E83" w14:paraId="57036FBC" w14:textId="77777777">
            <w:pPr>
              <w:pStyle w:val="Heading1"/>
              <w:keepNext w:val="0"/>
              <w:widowControl w:val="0"/>
              <w:tabs>
                <w:tab w:val="left" w:pos="360"/>
              </w:tabs>
              <w:spacing w:before="0" w:after="0"/>
              <w:rPr>
                <w:rFonts w:cs="Arial"/>
                <w:sz w:val="20"/>
                <w:szCs w:val="20"/>
              </w:rPr>
            </w:pPr>
          </w:p>
        </w:tc>
      </w:tr>
      <w:tr w14:paraId="64C21001" w14:textId="77777777" w:rsidTr="00A40AF9">
        <w:tblPrEx>
          <w:tblW w:w="9263" w:type="dxa"/>
          <w:tblInd w:w="8" w:type="dxa"/>
          <w:tblLook w:val="04A0"/>
        </w:tblPrEx>
        <w:trPr>
          <w:gridAfter w:val="1"/>
          <w:wAfter w:w="63" w:type="dxa"/>
          <w:trHeight w:val="407"/>
        </w:trPr>
        <w:tc>
          <w:tcPr>
            <w:tcW w:w="9200" w:type="dxa"/>
            <w:gridSpan w:val="12"/>
          </w:tcPr>
          <w:p w:rsidR="009A0699" w:rsidRPr="00131B28" w:rsidP="00A92E83" w14:paraId="3E372638" w14:textId="77777777">
            <w:pPr>
              <w:widowControl w:val="0"/>
              <w:spacing w:after="0" w:line="260" w:lineRule="exact"/>
              <w:jc w:val="both"/>
              <w:rPr>
                <w:sz w:val="20"/>
                <w:szCs w:val="20"/>
              </w:rPr>
            </w:pPr>
          </w:p>
        </w:tc>
      </w:tr>
      <w:tr w14:paraId="4D1211E3" w14:textId="77777777" w:rsidTr="00A40AF9">
        <w:tblPrEx>
          <w:tblW w:w="9263" w:type="dxa"/>
          <w:tblInd w:w="8" w:type="dxa"/>
          <w:tblLook w:val="04A0"/>
        </w:tblPrEx>
        <w:trPr>
          <w:gridAfter w:val="1"/>
          <w:wAfter w:w="63" w:type="dxa"/>
        </w:trPr>
        <w:tc>
          <w:tcPr>
            <w:tcW w:w="9200" w:type="dxa"/>
            <w:gridSpan w:val="12"/>
          </w:tcPr>
          <w:p w:rsidR="009A0699" w:rsidRPr="00131B28" w:rsidP="00A92E83" w14:paraId="03ECD228"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9A0699" w:rsidRPr="00131B28" w:rsidP="00A92E83" w14:paraId="2F46E934" w14:textId="77777777">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rsidR="009A0699" w:rsidRPr="000A2FA1" w:rsidP="00A92E83" w14:paraId="4E6D2ADC" w14:textId="77777777">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14:paraId="7A39B0B6" w14:textId="77777777" w:rsidTr="00A40AF9">
        <w:tblPrEx>
          <w:tblW w:w="9263" w:type="dxa"/>
          <w:tblInd w:w="8" w:type="dxa"/>
          <w:tblLook w:val="04A0"/>
        </w:tblPrEx>
        <w:trPr>
          <w:gridAfter w:val="1"/>
          <w:wAfter w:w="63" w:type="dxa"/>
        </w:trPr>
        <w:tc>
          <w:tcPr>
            <w:tcW w:w="9200" w:type="dxa"/>
            <w:gridSpan w:val="12"/>
          </w:tcPr>
          <w:p w:rsidR="009A0699" w:rsidRPr="00131B28" w:rsidP="00A92E83" w14:paraId="494514BF"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6A3E0DE9" w14:textId="77777777" w:rsidTr="00A40AF9">
        <w:tblPrEx>
          <w:tblW w:w="9263" w:type="dxa"/>
          <w:tblInd w:w="8" w:type="dxa"/>
          <w:tblLook w:val="04A0"/>
        </w:tblPrEx>
        <w:trPr>
          <w:gridAfter w:val="1"/>
          <w:wAfter w:w="63" w:type="dxa"/>
        </w:trPr>
        <w:tc>
          <w:tcPr>
            <w:tcW w:w="6426" w:type="dxa"/>
            <w:gridSpan w:val="8"/>
          </w:tcPr>
          <w:p w:rsidR="009A0699" w:rsidRPr="00131B28" w:rsidP="00A92E83" w14:paraId="123D2158"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9A0699" w:rsidRPr="00131B28" w:rsidP="00A92E83" w14:paraId="4E34DDBF"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9A0699" w:rsidRPr="00131B28" w:rsidP="00A92E83" w14:paraId="5D2BCBBD"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9A0699" w:rsidRPr="00131B28" w:rsidP="00A92E83" w14:paraId="74340C51"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9A0699" w:rsidRPr="00131B28" w:rsidP="00A92E83" w14:paraId="0BC96688" w14:textId="77777777">
            <w:pPr>
              <w:pStyle w:val="Neotevilenodstavek"/>
              <w:widowControl w:val="0"/>
              <w:spacing w:before="0" w:after="0" w:line="260" w:lineRule="exact"/>
              <w:ind w:left="1440"/>
              <w:rPr>
                <w:iCs/>
                <w:sz w:val="20"/>
                <w:szCs w:val="20"/>
              </w:rPr>
            </w:pPr>
          </w:p>
        </w:tc>
        <w:tc>
          <w:tcPr>
            <w:tcW w:w="2774" w:type="dxa"/>
            <w:gridSpan w:val="4"/>
          </w:tcPr>
          <w:p w:rsidR="009A0699" w:rsidRPr="00131B28" w:rsidP="00A92E83" w14:paraId="486F207C" w14:textId="77777777">
            <w:pPr>
              <w:pStyle w:val="Neotevilenodstavek"/>
              <w:widowControl w:val="0"/>
              <w:spacing w:before="0" w:after="0" w:line="260" w:lineRule="exact"/>
              <w:jc w:val="center"/>
              <w:rPr>
                <w:sz w:val="20"/>
                <w:szCs w:val="20"/>
              </w:rPr>
            </w:pPr>
            <w:r w:rsidRPr="00131B28">
              <w:rPr>
                <w:sz w:val="20"/>
                <w:szCs w:val="20"/>
              </w:rPr>
              <w:t>NE</w:t>
            </w:r>
          </w:p>
        </w:tc>
      </w:tr>
      <w:tr w14:paraId="4157AF98" w14:textId="77777777" w:rsidTr="00A40AF9">
        <w:tblPrEx>
          <w:tblW w:w="9263" w:type="dxa"/>
          <w:tblInd w:w="8" w:type="dxa"/>
          <w:tblLook w:val="04A0"/>
        </w:tblPrEx>
        <w:trPr>
          <w:gridAfter w:val="1"/>
          <w:wAfter w:w="63" w:type="dxa"/>
        </w:trPr>
        <w:tc>
          <w:tcPr>
            <w:tcW w:w="9200" w:type="dxa"/>
            <w:gridSpan w:val="12"/>
          </w:tcPr>
          <w:p w:rsidR="009A0699" w:rsidRPr="00131B28" w:rsidP="00A92E83" w14:paraId="69A88DD1"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9A0699" w:rsidRPr="00131B28" w:rsidP="00A92E83" w14:paraId="02557388" w14:textId="77777777">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NE</w:t>
            </w:r>
          </w:p>
          <w:p w:rsidR="009A0699" w:rsidRPr="00131B28" w:rsidP="00A92E83" w14:paraId="233DCB66" w14:textId="77777777">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NE</w:t>
            </w:r>
          </w:p>
          <w:p w:rsidR="009A0699" w:rsidRPr="00131B28" w:rsidP="00A92E83" w14:paraId="14B0DB3B" w14:textId="77777777">
            <w:pPr>
              <w:pStyle w:val="Neotevilenodstavek"/>
              <w:widowControl w:val="0"/>
              <w:numPr>
                <w:ilvl w:val="0"/>
                <w:numId w:val="20"/>
              </w:numPr>
              <w:spacing w:before="0" w:after="0" w:line="260" w:lineRule="exact"/>
              <w:rPr>
                <w:iCs/>
                <w:sz w:val="20"/>
                <w:szCs w:val="20"/>
              </w:rPr>
            </w:pPr>
            <w:r w:rsidRPr="00131B28">
              <w:rPr>
                <w:iCs/>
                <w:sz w:val="20"/>
                <w:szCs w:val="20"/>
              </w:rPr>
              <w:t>Združenju mestnih občin Slovenije ZMOS: NE</w:t>
            </w:r>
          </w:p>
          <w:p w:rsidR="009A0699" w:rsidRPr="00131B28" w:rsidP="00A92E83" w14:paraId="5FD72260" w14:textId="77777777">
            <w:pPr>
              <w:pStyle w:val="Neotevilenodstavek"/>
              <w:widowControl w:val="0"/>
              <w:spacing w:before="0" w:after="0" w:line="260" w:lineRule="exact"/>
              <w:rPr>
                <w:iCs/>
                <w:sz w:val="20"/>
                <w:szCs w:val="20"/>
              </w:rPr>
            </w:pPr>
          </w:p>
          <w:p w:rsidR="009A0699" w:rsidRPr="00131B28" w:rsidP="00A92E83" w14:paraId="5B4EA2B4" w14:textId="77777777">
            <w:pPr>
              <w:pStyle w:val="Neotevilenodstavek"/>
              <w:widowControl w:val="0"/>
              <w:spacing w:before="0" w:after="0" w:line="260" w:lineRule="exact"/>
              <w:rPr>
                <w:iCs/>
                <w:sz w:val="20"/>
                <w:szCs w:val="20"/>
              </w:rPr>
            </w:pPr>
            <w:r w:rsidRPr="00131B28">
              <w:rPr>
                <w:iCs/>
                <w:sz w:val="20"/>
                <w:szCs w:val="20"/>
              </w:rPr>
              <w:t>Predlogi in pripombe združenj so bili upoštevani:</w:t>
            </w:r>
          </w:p>
          <w:p w:rsidR="009A0699" w:rsidRPr="00131B28" w:rsidP="00A92E83" w14:paraId="72C4A775" w14:textId="77777777">
            <w:pPr>
              <w:pStyle w:val="Neotevilenodstavek"/>
              <w:widowControl w:val="0"/>
              <w:numPr>
                <w:ilvl w:val="0"/>
                <w:numId w:val="21"/>
              </w:numPr>
              <w:spacing w:before="0" w:after="0" w:line="260" w:lineRule="exact"/>
              <w:rPr>
                <w:iCs/>
                <w:sz w:val="20"/>
                <w:szCs w:val="20"/>
              </w:rPr>
            </w:pPr>
            <w:r w:rsidRPr="00131B28">
              <w:rPr>
                <w:iCs/>
                <w:sz w:val="20"/>
                <w:szCs w:val="20"/>
              </w:rPr>
              <w:t>v celoti,</w:t>
            </w:r>
          </w:p>
          <w:p w:rsidR="009A0699" w:rsidRPr="00131B28" w:rsidP="00A92E83" w14:paraId="7D592C0F" w14:textId="77777777">
            <w:pPr>
              <w:pStyle w:val="Neotevilenodstavek"/>
              <w:widowControl w:val="0"/>
              <w:numPr>
                <w:ilvl w:val="0"/>
                <w:numId w:val="21"/>
              </w:numPr>
              <w:spacing w:before="0" w:after="0" w:line="260" w:lineRule="exact"/>
              <w:rPr>
                <w:iCs/>
                <w:sz w:val="20"/>
                <w:szCs w:val="20"/>
              </w:rPr>
            </w:pPr>
            <w:r w:rsidRPr="00131B28">
              <w:rPr>
                <w:iCs/>
                <w:sz w:val="20"/>
                <w:szCs w:val="20"/>
              </w:rPr>
              <w:t>večinoma,</w:t>
            </w:r>
          </w:p>
          <w:p w:rsidR="009A0699" w:rsidRPr="00131B28" w:rsidP="00A92E83" w14:paraId="60FC45B1" w14:textId="77777777">
            <w:pPr>
              <w:pStyle w:val="Neotevilenodstavek"/>
              <w:widowControl w:val="0"/>
              <w:numPr>
                <w:ilvl w:val="0"/>
                <w:numId w:val="21"/>
              </w:numPr>
              <w:spacing w:before="0" w:after="0" w:line="260" w:lineRule="exact"/>
              <w:rPr>
                <w:iCs/>
                <w:sz w:val="20"/>
                <w:szCs w:val="20"/>
              </w:rPr>
            </w:pPr>
            <w:r w:rsidRPr="00131B28">
              <w:rPr>
                <w:iCs/>
                <w:sz w:val="20"/>
                <w:szCs w:val="20"/>
              </w:rPr>
              <w:t>delno,</w:t>
            </w:r>
          </w:p>
          <w:p w:rsidR="009A0699" w:rsidRPr="00131B28" w:rsidP="00A92E83" w14:paraId="490A7616" w14:textId="77777777">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rsidR="009A0699" w:rsidRPr="00131B28" w:rsidP="00A92E83" w14:paraId="3160FB37" w14:textId="77777777">
            <w:pPr>
              <w:pStyle w:val="Neotevilenodstavek"/>
              <w:widowControl w:val="0"/>
              <w:spacing w:before="0" w:after="0" w:line="260" w:lineRule="exact"/>
              <w:ind w:left="360"/>
              <w:rPr>
                <w:iCs/>
                <w:sz w:val="20"/>
                <w:szCs w:val="20"/>
              </w:rPr>
            </w:pPr>
          </w:p>
          <w:p w:rsidR="009A0699" w:rsidRPr="00131B28" w:rsidP="00A92E83" w14:paraId="709242EC" w14:textId="77777777">
            <w:pPr>
              <w:pStyle w:val="Neotevilenodstavek"/>
              <w:widowControl w:val="0"/>
              <w:spacing w:before="0" w:after="0" w:line="260" w:lineRule="exact"/>
              <w:rPr>
                <w:iCs/>
                <w:sz w:val="20"/>
                <w:szCs w:val="20"/>
              </w:rPr>
            </w:pPr>
            <w:r w:rsidRPr="00131B28">
              <w:rPr>
                <w:iCs/>
                <w:sz w:val="20"/>
                <w:szCs w:val="20"/>
              </w:rPr>
              <w:t>Bistveni predlogi in pripombe, ki niso bili upoštevani.</w:t>
            </w:r>
          </w:p>
          <w:p w:rsidR="009A0699" w:rsidRPr="00131B28" w:rsidP="00A92E83" w14:paraId="361E3EB0" w14:textId="77777777">
            <w:pPr>
              <w:pStyle w:val="Neotevilenodstavek"/>
              <w:widowControl w:val="0"/>
              <w:spacing w:before="0" w:after="0" w:line="260" w:lineRule="exact"/>
              <w:rPr>
                <w:iCs/>
                <w:sz w:val="20"/>
                <w:szCs w:val="20"/>
              </w:rPr>
            </w:pPr>
          </w:p>
        </w:tc>
      </w:tr>
      <w:tr w14:paraId="595FB2BC" w14:textId="77777777" w:rsidTr="00A40AF9">
        <w:tblPrEx>
          <w:tblW w:w="9263" w:type="dxa"/>
          <w:tblInd w:w="8" w:type="dxa"/>
          <w:tblLook w:val="04A0"/>
        </w:tblPrEx>
        <w:trPr>
          <w:gridAfter w:val="1"/>
          <w:wAfter w:w="63" w:type="dxa"/>
        </w:trPr>
        <w:tc>
          <w:tcPr>
            <w:tcW w:w="9200" w:type="dxa"/>
            <w:gridSpan w:val="12"/>
          </w:tcPr>
          <w:p w:rsidR="009A0699" w:rsidRPr="00131B28" w:rsidP="00A92E83" w14:paraId="5BF822E6"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16683072" w14:textId="77777777" w:rsidTr="00A40AF9">
        <w:tblPrEx>
          <w:tblW w:w="9263" w:type="dxa"/>
          <w:tblInd w:w="8" w:type="dxa"/>
          <w:tblLook w:val="04A0"/>
        </w:tblPrEx>
        <w:trPr>
          <w:gridAfter w:val="1"/>
          <w:wAfter w:w="63" w:type="dxa"/>
        </w:trPr>
        <w:tc>
          <w:tcPr>
            <w:tcW w:w="6807" w:type="dxa"/>
            <w:gridSpan w:val="10"/>
          </w:tcPr>
          <w:p w:rsidR="009A0699" w:rsidRPr="00131B28" w:rsidP="00A92E83" w14:paraId="4758C6B0"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9A0699" w:rsidRPr="00131B28" w:rsidP="00A92E83" w14:paraId="33CB3976" w14:textId="77777777">
            <w:pPr>
              <w:pStyle w:val="Neotevilenodstavek"/>
              <w:widowControl w:val="0"/>
              <w:spacing w:before="0" w:after="0" w:line="260" w:lineRule="exact"/>
              <w:jc w:val="center"/>
              <w:rPr>
                <w:iCs/>
                <w:sz w:val="20"/>
                <w:szCs w:val="20"/>
              </w:rPr>
            </w:pPr>
            <w:r w:rsidRPr="00131B28">
              <w:rPr>
                <w:sz w:val="20"/>
                <w:szCs w:val="20"/>
              </w:rPr>
              <w:t>NE</w:t>
            </w:r>
          </w:p>
        </w:tc>
      </w:tr>
      <w:tr w14:paraId="37976A57" w14:textId="77777777" w:rsidTr="00A40AF9">
        <w:tblPrEx>
          <w:tblW w:w="9263" w:type="dxa"/>
          <w:tblInd w:w="8" w:type="dxa"/>
          <w:tblLook w:val="04A0"/>
        </w:tblPrEx>
        <w:trPr>
          <w:gridAfter w:val="1"/>
          <w:wAfter w:w="63" w:type="dxa"/>
          <w:trHeight w:val="274"/>
        </w:trPr>
        <w:tc>
          <w:tcPr>
            <w:tcW w:w="9200" w:type="dxa"/>
            <w:gridSpan w:val="12"/>
          </w:tcPr>
          <w:p w:rsidR="009A0699" w:rsidRPr="00131B28" w:rsidP="00A92E83" w14:paraId="36175151" w14:textId="7EDDEE02">
            <w:pPr>
              <w:pStyle w:val="Neotevilenodstavek"/>
              <w:widowControl w:val="0"/>
              <w:spacing w:before="0" w:after="0" w:line="260" w:lineRule="exact"/>
              <w:rPr>
                <w:iCs/>
                <w:sz w:val="20"/>
                <w:szCs w:val="20"/>
              </w:rPr>
            </w:pPr>
            <w:r w:rsidRPr="00072F34">
              <w:rPr>
                <w:iCs/>
                <w:sz w:val="20"/>
                <w:szCs w:val="20"/>
              </w:rPr>
              <w:t>V skladu s sedmim odstav</w:t>
            </w:r>
            <w:r w:rsidR="000D0E30">
              <w:rPr>
                <w:iCs/>
                <w:sz w:val="20"/>
                <w:szCs w:val="20"/>
              </w:rPr>
              <w:t>kom 9. člena Poslovnika Vlade Republike Slovenije</w:t>
            </w:r>
            <w:r w:rsidRPr="00072F34">
              <w:rPr>
                <w:iCs/>
                <w:sz w:val="20"/>
                <w:szCs w:val="20"/>
              </w:rPr>
              <w:t xml:space="preserve"> (Uradni list RS, št. 43/01, 23/02 – </w:t>
            </w:r>
            <w:r w:rsidRPr="00072F34">
              <w:rPr>
                <w:iCs/>
                <w:sz w:val="20"/>
                <w:szCs w:val="20"/>
              </w:rPr>
              <w:t>popr</w:t>
            </w:r>
            <w:r w:rsidRPr="00072F34">
              <w:rPr>
                <w:iCs/>
                <w:sz w:val="20"/>
                <w:szCs w:val="20"/>
              </w:rPr>
              <w:t>., 54/03, 103/03, 114/04, 26/06, 21/07, 32/10, 73/10, 95/11, 64/12, 80/13 , 10/14, 164/20, 35/21 in 114/21)) se javnosti ni povabilo k sodelovanju, ker gre za predlog sklepa vlade.</w:t>
            </w:r>
          </w:p>
        </w:tc>
      </w:tr>
      <w:tr w14:paraId="3FD44395" w14:textId="77777777" w:rsidTr="00A40AF9">
        <w:tblPrEx>
          <w:tblW w:w="9263" w:type="dxa"/>
          <w:tblInd w:w="8" w:type="dxa"/>
          <w:tblLook w:val="04A0"/>
        </w:tblPrEx>
        <w:trPr>
          <w:gridAfter w:val="1"/>
          <w:wAfter w:w="63" w:type="dxa"/>
        </w:trPr>
        <w:tc>
          <w:tcPr>
            <w:tcW w:w="9200" w:type="dxa"/>
            <w:gridSpan w:val="12"/>
            <w:tcBorders>
              <w:top w:val="single" w:sz="4" w:space="0" w:color="000000"/>
              <w:left w:val="single" w:sz="4" w:space="0" w:color="000000"/>
              <w:bottom w:val="single" w:sz="4" w:space="0" w:color="000000"/>
              <w:right w:val="single" w:sz="4" w:space="0" w:color="000000"/>
            </w:tcBorders>
          </w:tcPr>
          <w:p w:rsidR="009A0699" w:rsidRPr="00072F34" w:rsidP="00A92E83" w14:paraId="46D7643F" w14:textId="2BD3E497">
            <w:pPr>
              <w:pStyle w:val="Poglavje"/>
              <w:widowControl w:val="0"/>
              <w:spacing w:after="0" w:line="260" w:lineRule="exact"/>
              <w:ind w:left="3400"/>
              <w:rPr>
                <w:sz w:val="20"/>
                <w:szCs w:val="20"/>
              </w:rPr>
            </w:pPr>
            <w:r w:rsidRPr="00131B28">
              <w:rPr>
                <w:sz w:val="20"/>
                <w:szCs w:val="20"/>
              </w:rPr>
              <w:t xml:space="preserve">                                    </w:t>
            </w:r>
            <w:r w:rsidR="00086049">
              <w:rPr>
                <w:sz w:val="20"/>
                <w:szCs w:val="20"/>
              </w:rPr>
              <w:t>Mag. Marko Lovše</w:t>
            </w:r>
          </w:p>
          <w:p w:rsidR="009A0699" w:rsidRPr="000A2FA1" w:rsidP="00A92E83" w14:paraId="502D9A28" w14:textId="41D36117">
            <w:pPr>
              <w:pStyle w:val="Poglavje"/>
              <w:widowControl w:val="0"/>
              <w:spacing w:before="0" w:after="0" w:line="260" w:lineRule="exact"/>
              <w:ind w:left="3400"/>
              <w:jc w:val="left"/>
              <w:rPr>
                <w:b w:val="0"/>
                <w:bCs/>
                <w:sz w:val="20"/>
                <w:szCs w:val="20"/>
              </w:rPr>
            </w:pPr>
            <w:r w:rsidRPr="00072F34">
              <w:rPr>
                <w:sz w:val="20"/>
                <w:szCs w:val="20"/>
              </w:rPr>
              <w:t xml:space="preserve">                                                 </w:t>
            </w:r>
            <w:r>
              <w:rPr>
                <w:sz w:val="20"/>
                <w:szCs w:val="20"/>
              </w:rPr>
              <w:t xml:space="preserve">     </w:t>
            </w:r>
            <w:r w:rsidR="000D0E30">
              <w:rPr>
                <w:sz w:val="20"/>
                <w:szCs w:val="20"/>
              </w:rPr>
              <w:t xml:space="preserve"> d</w:t>
            </w:r>
            <w:r w:rsidR="00086049">
              <w:rPr>
                <w:sz w:val="20"/>
                <w:szCs w:val="20"/>
              </w:rPr>
              <w:t>ržavni sekretar</w:t>
            </w:r>
          </w:p>
          <w:p w:rsidR="009A0699" w:rsidRPr="00131B28" w:rsidP="00A92E83" w14:paraId="007FBF23" w14:textId="77777777">
            <w:pPr>
              <w:pStyle w:val="Poglavje"/>
              <w:widowControl w:val="0"/>
              <w:spacing w:before="0" w:after="0" w:line="260" w:lineRule="exact"/>
              <w:ind w:left="3400"/>
              <w:jc w:val="left"/>
              <w:rPr>
                <w:sz w:val="20"/>
                <w:szCs w:val="20"/>
              </w:rPr>
            </w:pPr>
          </w:p>
        </w:tc>
      </w:tr>
    </w:tbl>
    <w:p w:rsidR="009A0699" w:rsidRPr="00131B28" w:rsidP="009A0699" w14:paraId="4D3188DD" w14:textId="77777777">
      <w:pPr>
        <w:pStyle w:val="podpisi"/>
        <w:tabs>
          <w:tab w:val="clear" w:pos="3402"/>
        </w:tabs>
        <w:rPr>
          <w:rFonts w:cs="Arial"/>
          <w:b/>
          <w:szCs w:val="20"/>
          <w:lang w:val="sl-SI"/>
        </w:rPr>
      </w:pPr>
    </w:p>
    <w:p w:rsidR="009A0699" w:rsidRPr="00131B28" w:rsidP="009A0699" w14:paraId="005C7482" w14:textId="77777777">
      <w:pPr>
        <w:pStyle w:val="podpisi"/>
        <w:tabs>
          <w:tab w:val="clear" w:pos="3402"/>
        </w:tabs>
        <w:rPr>
          <w:rFonts w:cs="Arial"/>
          <w:szCs w:val="20"/>
          <w:lang w:val="sl-SI"/>
        </w:rPr>
      </w:pPr>
      <w:r w:rsidRPr="00131B28">
        <w:rPr>
          <w:rFonts w:cs="Arial"/>
          <w:szCs w:val="20"/>
          <w:lang w:val="sl-SI"/>
        </w:rPr>
        <w:t>Poslano:</w:t>
      </w:r>
    </w:p>
    <w:p w:rsidR="009A0699" w:rsidRPr="00131B28" w:rsidP="009A0699" w14:paraId="75EE5A1E"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A0699" w:rsidRPr="00086049" w:rsidP="00086049" w14:paraId="3E8961D7" w14:textId="0A16A3EF">
      <w:pPr>
        <w:pStyle w:val="podpisi"/>
        <w:numPr>
          <w:ilvl w:val="1"/>
          <w:numId w:val="18"/>
        </w:numPr>
        <w:tabs>
          <w:tab w:val="clear" w:pos="3402"/>
        </w:tabs>
        <w:ind w:left="360"/>
        <w:rPr>
          <w:rFonts w:cs="Arial"/>
          <w:szCs w:val="20"/>
          <w:lang w:val="sl-SI"/>
        </w:rPr>
      </w:pPr>
      <w:r>
        <w:rPr>
          <w:rFonts w:cs="Arial"/>
          <w:szCs w:val="20"/>
          <w:lang w:val="sl-SI"/>
        </w:rPr>
        <w:t>URSZR</w:t>
      </w:r>
    </w:p>
    <w:p w:rsidR="009A0699" w:rsidRPr="00131B28" w:rsidP="009A0699" w14:paraId="377B443B" w14:textId="77777777">
      <w:pPr>
        <w:pStyle w:val="Naslovpredpisa"/>
        <w:spacing w:before="0" w:after="0" w:line="260" w:lineRule="exact"/>
        <w:jc w:val="both"/>
        <w:rPr>
          <w:sz w:val="20"/>
          <w:szCs w:val="20"/>
        </w:rPr>
      </w:pPr>
    </w:p>
    <w:p w:rsidR="009A0699" w:rsidRPr="00131B28" w:rsidP="009A0699" w14:paraId="0EF55E15" w14:textId="77777777">
      <w:pPr>
        <w:pStyle w:val="Naslovpredpisa"/>
        <w:spacing w:before="0" w:after="0" w:line="260" w:lineRule="exact"/>
        <w:jc w:val="both"/>
        <w:rPr>
          <w:sz w:val="20"/>
          <w:szCs w:val="20"/>
        </w:rPr>
      </w:pPr>
    </w:p>
    <w:p w:rsidR="009A0699" w:rsidRPr="00131B28" w:rsidP="009A0699" w14:paraId="76270C84" w14:textId="77777777">
      <w:pPr>
        <w:pStyle w:val="Naslovpredpisa"/>
        <w:spacing w:before="0" w:after="0" w:line="260" w:lineRule="exact"/>
        <w:jc w:val="both"/>
        <w:rPr>
          <w:sz w:val="20"/>
          <w:szCs w:val="20"/>
        </w:rPr>
      </w:pPr>
    </w:p>
    <w:p w:rsidR="009A0699" w:rsidRPr="00E1055C" w:rsidP="00E1055C" w14:paraId="506B71AE" w14:textId="2D8C8C3A">
      <w:pPr>
        <w:spacing w:after="0" w:line="240" w:lineRule="auto"/>
        <w:rPr>
          <w:rFonts w:ascii="Arial" w:eastAsia="Times New Roman" w:hAnsi="Arial" w:cs="Arial"/>
          <w:b/>
          <w:sz w:val="20"/>
          <w:szCs w:val="20"/>
          <w:lang w:eastAsia="sl-SI"/>
        </w:rPr>
      </w:pPr>
      <w:r>
        <w:rPr>
          <w:sz w:val="20"/>
          <w:szCs w:val="20"/>
        </w:rPr>
        <w:br w:type="page"/>
      </w:r>
    </w:p>
    <w:p w:rsidR="00BF469E" w:rsidP="00BF469E" w14:paraId="59B0EAD5" w14:textId="4602F1BF">
      <w:pPr>
        <w:spacing w:after="0"/>
        <w:jc w:val="center"/>
        <w:rPr>
          <w:rFonts w:ascii="Arial" w:hAnsi="Arial" w:cs="Arial"/>
          <w:b/>
          <w:sz w:val="20"/>
          <w:szCs w:val="20"/>
        </w:rPr>
      </w:pPr>
      <w:bookmarkStart w:id="2" w:name="_GoBack"/>
      <w:bookmarkEnd w:id="2"/>
      <w:r w:rsidRPr="00BF469E">
        <w:rPr>
          <w:rFonts w:ascii="Arial" w:hAnsi="Arial" w:cs="Arial"/>
          <w:b/>
          <w:sz w:val="20"/>
          <w:szCs w:val="20"/>
        </w:rPr>
        <w:t>Informacija</w:t>
      </w:r>
    </w:p>
    <w:p w:rsidR="009A0699" w:rsidRPr="00BF469E" w:rsidP="00BF469E" w14:paraId="0814F4C6" w14:textId="22C11FA2">
      <w:pPr>
        <w:spacing w:after="0"/>
        <w:jc w:val="both"/>
        <w:rPr>
          <w:rFonts w:ascii="Arial" w:hAnsi="Arial" w:cs="Arial"/>
          <w:b/>
          <w:iCs/>
          <w:sz w:val="20"/>
          <w:szCs w:val="20"/>
        </w:rPr>
      </w:pPr>
      <w:r w:rsidRPr="00BF469E">
        <w:rPr>
          <w:rFonts w:ascii="Arial" w:hAnsi="Arial" w:cs="Arial"/>
          <w:b/>
          <w:sz w:val="20"/>
          <w:szCs w:val="20"/>
        </w:rPr>
        <w:t xml:space="preserve">o podaljšanju zaveze za vključitev slovenske enote za iskanje in reševanje v jamah </w:t>
      </w:r>
      <w:r w:rsidRPr="00BF469E">
        <w:rPr>
          <w:rFonts w:ascii="Arial" w:hAnsi="Arial" w:cs="Arial"/>
          <w:b/>
          <w:iCs/>
          <w:sz w:val="20"/>
          <w:szCs w:val="20"/>
        </w:rPr>
        <w:t>(</w:t>
      </w:r>
      <w:r w:rsidRPr="00BF469E">
        <w:rPr>
          <w:rFonts w:ascii="Arial" w:hAnsi="Arial" w:cs="Arial"/>
          <w:b/>
          <w:iCs/>
          <w:sz w:val="20"/>
          <w:szCs w:val="20"/>
        </w:rPr>
        <w:t>Cave</w:t>
      </w:r>
      <w:r w:rsidRPr="00BF469E">
        <w:rPr>
          <w:rFonts w:ascii="Arial" w:hAnsi="Arial" w:cs="Arial"/>
          <w:b/>
          <w:iCs/>
          <w:sz w:val="20"/>
          <w:szCs w:val="20"/>
        </w:rPr>
        <w:t xml:space="preserve"> SAR) </w:t>
      </w:r>
      <w:r w:rsidRPr="00BF469E">
        <w:rPr>
          <w:rFonts w:ascii="Arial" w:hAnsi="Arial" w:cs="Arial"/>
          <w:b/>
          <w:sz w:val="20"/>
          <w:szCs w:val="20"/>
        </w:rPr>
        <w:t>in slovenske enote za prečrpavanje večjih količin vode</w:t>
      </w:r>
      <w:r w:rsidRPr="00BF469E">
        <w:rPr>
          <w:rFonts w:ascii="Arial" w:hAnsi="Arial" w:cs="Arial"/>
          <w:b/>
          <w:iCs/>
          <w:sz w:val="20"/>
          <w:szCs w:val="20"/>
        </w:rPr>
        <w:t xml:space="preserve"> </w:t>
      </w:r>
      <w:r w:rsidR="00086049">
        <w:rPr>
          <w:rFonts w:ascii="Arial" w:hAnsi="Arial" w:cs="Arial"/>
          <w:b/>
          <w:iCs/>
          <w:sz w:val="20"/>
          <w:szCs w:val="20"/>
        </w:rPr>
        <w:t>(</w:t>
      </w:r>
      <w:r w:rsidRPr="00BF469E">
        <w:rPr>
          <w:rFonts w:ascii="Arial" w:hAnsi="Arial" w:cs="Arial"/>
          <w:b/>
          <w:iCs/>
          <w:sz w:val="20"/>
          <w:szCs w:val="20"/>
        </w:rPr>
        <w:t>SI HCP)</w:t>
      </w:r>
      <w:r w:rsidR="00A40AF9">
        <w:rPr>
          <w:rFonts w:ascii="Arial" w:hAnsi="Arial" w:cs="Arial"/>
          <w:b/>
          <w:sz w:val="20"/>
          <w:szCs w:val="20"/>
        </w:rPr>
        <w:t xml:space="preserve"> v evropskem</w:t>
      </w:r>
      <w:r w:rsidRPr="00BF469E">
        <w:rPr>
          <w:rFonts w:ascii="Arial" w:hAnsi="Arial" w:cs="Arial"/>
          <w:b/>
          <w:sz w:val="20"/>
          <w:szCs w:val="20"/>
        </w:rPr>
        <w:t xml:space="preserve"> nabor</w:t>
      </w:r>
      <w:r w:rsidR="00A40AF9">
        <w:rPr>
          <w:rFonts w:ascii="Arial" w:hAnsi="Arial" w:cs="Arial"/>
          <w:b/>
          <w:sz w:val="20"/>
          <w:szCs w:val="20"/>
        </w:rPr>
        <w:t>u</w:t>
      </w:r>
      <w:r w:rsidRPr="00BF469E">
        <w:rPr>
          <w:rFonts w:ascii="Arial" w:hAnsi="Arial" w:cs="Arial"/>
          <w:b/>
          <w:sz w:val="20"/>
          <w:szCs w:val="20"/>
        </w:rPr>
        <w:t xml:space="preserve"> civilne zaščite v okviru mehanizma Unije na področju civilne zaščite </w:t>
      </w:r>
      <w:r w:rsidRPr="00BF469E">
        <w:rPr>
          <w:rFonts w:ascii="Arial" w:hAnsi="Arial" w:cs="Arial"/>
          <w:b/>
          <w:iCs/>
          <w:sz w:val="20"/>
          <w:szCs w:val="20"/>
        </w:rPr>
        <w:t>za obdobje trajanja certifikacije oziroma ponovne certifikacije obeh enot</w:t>
      </w:r>
    </w:p>
    <w:p w:rsidR="00BF469E" w:rsidRPr="008C39B5" w:rsidP="00BF469E" w14:paraId="44BEBD4B" w14:textId="77777777">
      <w:pPr>
        <w:spacing w:after="0" w:line="240" w:lineRule="auto"/>
        <w:jc w:val="both"/>
        <w:rPr>
          <w:rFonts w:ascii="Arial" w:hAnsi="Arial" w:cs="Arial"/>
          <w:sz w:val="20"/>
          <w:szCs w:val="20"/>
        </w:rPr>
      </w:pPr>
    </w:p>
    <w:p w:rsidR="009A0699" w:rsidRPr="008C39B5" w:rsidP="009A0699" w14:paraId="26FF05A8" w14:textId="488163D1">
      <w:pPr>
        <w:jc w:val="both"/>
        <w:rPr>
          <w:rFonts w:ascii="Arial" w:hAnsi="Arial" w:cs="Arial"/>
          <w:iCs/>
          <w:color w:val="000000"/>
          <w:sz w:val="20"/>
          <w:szCs w:val="20"/>
        </w:rPr>
      </w:pPr>
      <w:r>
        <w:rPr>
          <w:rFonts w:ascii="Arial" w:hAnsi="Arial" w:cs="Arial"/>
          <w:iCs/>
          <w:color w:val="000000"/>
          <w:sz w:val="20"/>
          <w:szCs w:val="20"/>
        </w:rPr>
        <w:t>V skladu z drugim odstavkom 86.</w:t>
      </w:r>
      <w:r w:rsidRPr="008C39B5">
        <w:rPr>
          <w:rFonts w:ascii="Arial" w:hAnsi="Arial" w:cs="Arial"/>
          <w:iCs/>
          <w:color w:val="000000"/>
          <w:sz w:val="20"/>
          <w:szCs w:val="20"/>
        </w:rPr>
        <w:t xml:space="preserve">a člena Zakona o varstvu pred naravnimi in drugimi nesrečami je Uprava Republike Slovenije za zaščito in reševanje pristojna za uvrstitev določenih enot v evidence sil za zaščito, reševanje in pomoč, ki jih vodijo mednarodne organizacije, katerih članica je Republika Slovenija, za pomoč v drugih državah. </w:t>
      </w:r>
    </w:p>
    <w:p w:rsidR="009A0699" w:rsidRPr="008C39B5" w:rsidP="009A0699" w14:paraId="2088BA93" w14:textId="77265A76">
      <w:pPr>
        <w:jc w:val="both"/>
        <w:rPr>
          <w:rFonts w:ascii="Arial" w:hAnsi="Arial" w:cs="Arial"/>
          <w:iCs/>
          <w:sz w:val="20"/>
          <w:szCs w:val="20"/>
        </w:rPr>
      </w:pPr>
      <w:r w:rsidRPr="008C39B5">
        <w:rPr>
          <w:rFonts w:ascii="Arial" w:hAnsi="Arial" w:cs="Arial"/>
          <w:iCs/>
          <w:color w:val="000000"/>
          <w:sz w:val="20"/>
          <w:szCs w:val="20"/>
        </w:rPr>
        <w:t xml:space="preserve">Uprava Republike Slovenije za zaščito in reševanje je v evropski nabor civilne zaščite v okviru mehanizma Unije na področju civilne zaščite leta 2016 uvrstila </w:t>
      </w:r>
      <w:r w:rsidRPr="008C39B5">
        <w:rPr>
          <w:rFonts w:ascii="Arial" w:hAnsi="Arial" w:cs="Arial"/>
          <w:sz w:val="20"/>
          <w:szCs w:val="20"/>
        </w:rPr>
        <w:t xml:space="preserve">slovensko </w:t>
      </w:r>
      <w:r w:rsidRPr="008C39B5">
        <w:rPr>
          <w:rFonts w:ascii="Arial" w:hAnsi="Arial" w:cs="Arial"/>
          <w:iCs/>
          <w:sz w:val="20"/>
          <w:szCs w:val="20"/>
        </w:rPr>
        <w:t>enoto za iskanje in reševanje v jamah (</w:t>
      </w:r>
      <w:r w:rsidRPr="008C39B5">
        <w:rPr>
          <w:rFonts w:ascii="Arial" w:hAnsi="Arial" w:cs="Arial"/>
          <w:iCs/>
          <w:sz w:val="20"/>
          <w:szCs w:val="20"/>
        </w:rPr>
        <w:t>Cave</w:t>
      </w:r>
      <w:r w:rsidRPr="008C39B5">
        <w:rPr>
          <w:rFonts w:ascii="Arial" w:hAnsi="Arial" w:cs="Arial"/>
          <w:iCs/>
          <w:sz w:val="20"/>
          <w:szCs w:val="20"/>
        </w:rPr>
        <w:t xml:space="preserve"> </w:t>
      </w:r>
      <w:r w:rsidRPr="008C39B5">
        <w:rPr>
          <w:rFonts w:ascii="Arial" w:hAnsi="Arial" w:cs="Arial"/>
          <w:iCs/>
          <w:sz w:val="20"/>
          <w:szCs w:val="20"/>
        </w:rPr>
        <w:t>Search</w:t>
      </w:r>
      <w:r w:rsidRPr="008C39B5">
        <w:rPr>
          <w:rFonts w:ascii="Arial" w:hAnsi="Arial" w:cs="Arial"/>
          <w:iCs/>
          <w:sz w:val="20"/>
          <w:szCs w:val="20"/>
        </w:rPr>
        <w:t xml:space="preserve"> </w:t>
      </w:r>
      <w:r w:rsidRPr="008C39B5">
        <w:rPr>
          <w:rFonts w:ascii="Arial" w:hAnsi="Arial" w:cs="Arial"/>
          <w:iCs/>
          <w:sz w:val="20"/>
          <w:szCs w:val="20"/>
        </w:rPr>
        <w:t>and</w:t>
      </w:r>
      <w:r w:rsidRPr="008C39B5">
        <w:rPr>
          <w:rFonts w:ascii="Arial" w:hAnsi="Arial" w:cs="Arial"/>
          <w:iCs/>
          <w:sz w:val="20"/>
          <w:szCs w:val="20"/>
        </w:rPr>
        <w:t xml:space="preserve"> </w:t>
      </w:r>
      <w:r w:rsidRPr="008C39B5">
        <w:rPr>
          <w:rFonts w:ascii="Arial" w:hAnsi="Arial" w:cs="Arial"/>
          <w:iCs/>
          <w:sz w:val="20"/>
          <w:szCs w:val="20"/>
        </w:rPr>
        <w:t>Rescue</w:t>
      </w:r>
      <w:r w:rsidRPr="008C39B5">
        <w:rPr>
          <w:rFonts w:ascii="Arial" w:hAnsi="Arial" w:cs="Arial"/>
          <w:iCs/>
          <w:sz w:val="20"/>
          <w:szCs w:val="20"/>
        </w:rPr>
        <w:t xml:space="preserve"> Team </w:t>
      </w:r>
      <w:r w:rsidRPr="008C39B5">
        <w:rPr>
          <w:rFonts w:ascii="Arial" w:hAnsi="Arial" w:cs="Arial"/>
          <w:iCs/>
          <w:sz w:val="20"/>
          <w:szCs w:val="20"/>
        </w:rPr>
        <w:t>Slovenia</w:t>
      </w:r>
      <w:r w:rsidRPr="008C39B5">
        <w:rPr>
          <w:rFonts w:ascii="Arial" w:hAnsi="Arial" w:cs="Arial"/>
          <w:iCs/>
          <w:sz w:val="20"/>
          <w:szCs w:val="20"/>
        </w:rPr>
        <w:t xml:space="preserve"> – </w:t>
      </w:r>
      <w:r w:rsidRPr="008C39B5">
        <w:rPr>
          <w:rFonts w:ascii="Arial" w:hAnsi="Arial" w:cs="Arial"/>
          <w:iCs/>
          <w:sz w:val="20"/>
          <w:szCs w:val="20"/>
        </w:rPr>
        <w:t>Cave</w:t>
      </w:r>
      <w:r w:rsidRPr="008C39B5">
        <w:rPr>
          <w:rFonts w:ascii="Arial" w:hAnsi="Arial" w:cs="Arial"/>
          <w:iCs/>
          <w:sz w:val="20"/>
          <w:szCs w:val="20"/>
        </w:rPr>
        <w:t xml:space="preserve"> SAR), leta 2019 slovensko enoto za prečrpavanje večjih količin vode (</w:t>
      </w:r>
      <w:r w:rsidR="000D0E30">
        <w:rPr>
          <w:rFonts w:ascii="Arial" w:hAnsi="Arial" w:cs="Arial"/>
          <w:iCs/>
          <w:sz w:val="20"/>
          <w:szCs w:val="20"/>
        </w:rPr>
        <w:t>High</w:t>
      </w:r>
      <w:r w:rsidR="000D0E30">
        <w:rPr>
          <w:rFonts w:ascii="Arial" w:hAnsi="Arial" w:cs="Arial"/>
          <w:iCs/>
          <w:sz w:val="20"/>
          <w:szCs w:val="20"/>
        </w:rPr>
        <w:t xml:space="preserve"> </w:t>
      </w:r>
      <w:r w:rsidR="000D0E30">
        <w:rPr>
          <w:rFonts w:ascii="Arial" w:hAnsi="Arial" w:cs="Arial"/>
          <w:iCs/>
          <w:sz w:val="20"/>
          <w:szCs w:val="20"/>
        </w:rPr>
        <w:t>Capacity</w:t>
      </w:r>
      <w:r w:rsidR="000D0E30">
        <w:rPr>
          <w:rFonts w:ascii="Arial" w:hAnsi="Arial" w:cs="Arial"/>
          <w:iCs/>
          <w:sz w:val="20"/>
          <w:szCs w:val="20"/>
        </w:rPr>
        <w:t xml:space="preserve"> </w:t>
      </w:r>
      <w:r w:rsidR="000D0E30">
        <w:rPr>
          <w:rFonts w:ascii="Arial" w:hAnsi="Arial" w:cs="Arial"/>
          <w:iCs/>
          <w:sz w:val="20"/>
          <w:szCs w:val="20"/>
        </w:rPr>
        <w:t>Pumping</w:t>
      </w:r>
      <w:r w:rsidR="000D0E30">
        <w:rPr>
          <w:rFonts w:ascii="Arial" w:hAnsi="Arial" w:cs="Arial"/>
          <w:iCs/>
          <w:sz w:val="20"/>
          <w:szCs w:val="20"/>
        </w:rPr>
        <w:t xml:space="preserve"> – SI HCP) in</w:t>
      </w:r>
      <w:r w:rsidRPr="008C39B5">
        <w:rPr>
          <w:rFonts w:ascii="Arial" w:hAnsi="Arial" w:cs="Arial"/>
          <w:iCs/>
          <w:sz w:val="20"/>
          <w:szCs w:val="20"/>
        </w:rPr>
        <w:t xml:space="preserve"> leta 2025 pa slovensko enoto za gašenje požarov v naravnem okolju z vozili (</w:t>
      </w:r>
      <w:r w:rsidRPr="008C39B5">
        <w:rPr>
          <w:rFonts w:ascii="Arial" w:hAnsi="Arial" w:cs="Arial"/>
          <w:iCs/>
          <w:sz w:val="20"/>
          <w:szCs w:val="20"/>
        </w:rPr>
        <w:t>Ground</w:t>
      </w:r>
      <w:r w:rsidRPr="008C39B5">
        <w:rPr>
          <w:rFonts w:ascii="Arial" w:hAnsi="Arial" w:cs="Arial"/>
          <w:iCs/>
          <w:sz w:val="20"/>
          <w:szCs w:val="20"/>
        </w:rPr>
        <w:t xml:space="preserve"> </w:t>
      </w:r>
      <w:r w:rsidRPr="008C39B5">
        <w:rPr>
          <w:rFonts w:ascii="Arial" w:hAnsi="Arial" w:cs="Arial"/>
          <w:iCs/>
          <w:sz w:val="20"/>
          <w:szCs w:val="20"/>
        </w:rPr>
        <w:t>Forest</w:t>
      </w:r>
      <w:r w:rsidRPr="008C39B5">
        <w:rPr>
          <w:rFonts w:ascii="Arial" w:hAnsi="Arial" w:cs="Arial"/>
          <w:iCs/>
          <w:sz w:val="20"/>
          <w:szCs w:val="20"/>
        </w:rPr>
        <w:t xml:space="preserve"> </w:t>
      </w:r>
      <w:r w:rsidRPr="008C39B5">
        <w:rPr>
          <w:rFonts w:ascii="Arial" w:hAnsi="Arial" w:cs="Arial"/>
          <w:iCs/>
          <w:sz w:val="20"/>
          <w:szCs w:val="20"/>
        </w:rPr>
        <w:t>Fire</w:t>
      </w:r>
      <w:r w:rsidRPr="008C39B5">
        <w:rPr>
          <w:rFonts w:ascii="Arial" w:hAnsi="Arial" w:cs="Arial"/>
          <w:iCs/>
          <w:sz w:val="20"/>
          <w:szCs w:val="20"/>
        </w:rPr>
        <w:t xml:space="preserve"> </w:t>
      </w:r>
      <w:r w:rsidRPr="008C39B5">
        <w:rPr>
          <w:rFonts w:ascii="Arial" w:hAnsi="Arial" w:cs="Arial"/>
          <w:iCs/>
          <w:sz w:val="20"/>
          <w:szCs w:val="20"/>
        </w:rPr>
        <w:t>Fighting</w:t>
      </w:r>
      <w:r w:rsidRPr="008C39B5">
        <w:rPr>
          <w:rFonts w:ascii="Arial" w:hAnsi="Arial" w:cs="Arial"/>
          <w:iCs/>
          <w:sz w:val="20"/>
          <w:szCs w:val="20"/>
        </w:rPr>
        <w:t xml:space="preserve"> </w:t>
      </w:r>
      <w:r w:rsidRPr="008C39B5">
        <w:rPr>
          <w:rFonts w:ascii="Arial" w:hAnsi="Arial" w:cs="Arial"/>
          <w:iCs/>
          <w:sz w:val="20"/>
          <w:szCs w:val="20"/>
        </w:rPr>
        <w:t>using</w:t>
      </w:r>
      <w:r w:rsidRPr="008C39B5">
        <w:rPr>
          <w:rFonts w:ascii="Arial" w:hAnsi="Arial" w:cs="Arial"/>
          <w:iCs/>
          <w:sz w:val="20"/>
          <w:szCs w:val="20"/>
        </w:rPr>
        <w:t xml:space="preserve"> </w:t>
      </w:r>
      <w:r w:rsidRPr="008C39B5">
        <w:rPr>
          <w:rFonts w:ascii="Arial" w:hAnsi="Arial" w:cs="Arial"/>
          <w:iCs/>
          <w:sz w:val="20"/>
          <w:szCs w:val="20"/>
        </w:rPr>
        <w:t>Vehicles</w:t>
      </w:r>
      <w:r w:rsidRPr="008C39B5">
        <w:rPr>
          <w:rFonts w:ascii="Arial" w:hAnsi="Arial" w:cs="Arial"/>
          <w:iCs/>
          <w:sz w:val="20"/>
          <w:szCs w:val="20"/>
        </w:rPr>
        <w:t xml:space="preserve"> – GFFF-V). Evropski nabor civilne zaščite je prostovoljni nabor zmogljivosti držav članic, ki jih države članice dajo na voljo za odziv na nesreče v okviru mehanizma Unije na področju civilne zaščite. Enote, ki so uvrščene v evropski nabor civilne zaščite, so operativno pripravljene za posredovanje v okviru mehanizma Unije na področju civilne zaščite, pripravljenost za posredovanje v mednarodnem okolju pa pozitivno vpliva tudi na pripravljenost enot za posredovanje v Sloveniji. Ne glede na zavezo v okviru mehanizma Unije na področju civilne zaščite, so omenjene enote vedno na voljo za nacionalne namene. </w:t>
      </w:r>
    </w:p>
    <w:p w:rsidR="009A0699" w:rsidRPr="008C39B5" w:rsidP="009A0699" w14:paraId="386A6A40" w14:textId="27561F0F">
      <w:pPr>
        <w:jc w:val="both"/>
        <w:rPr>
          <w:rFonts w:ascii="Arial" w:hAnsi="Arial" w:cs="Arial"/>
          <w:iCs/>
          <w:sz w:val="20"/>
          <w:szCs w:val="20"/>
        </w:rPr>
      </w:pPr>
      <w:r w:rsidRPr="008C39B5">
        <w:rPr>
          <w:rFonts w:ascii="Arial" w:hAnsi="Arial" w:cs="Arial"/>
          <w:iCs/>
          <w:sz w:val="20"/>
          <w:szCs w:val="20"/>
        </w:rPr>
        <w:t>Omenjene enote so del Državne enote za hitre reševalne intervencije, ki so v skladu z Uredbo o organiziranju, opremljanju in usposabljanju sil za zaščito, reševanje in pomoč (Uradni</w:t>
      </w:r>
      <w:r w:rsidR="00673E3E">
        <w:rPr>
          <w:rFonts w:ascii="Arial" w:hAnsi="Arial" w:cs="Arial"/>
          <w:iCs/>
          <w:sz w:val="20"/>
          <w:szCs w:val="20"/>
        </w:rPr>
        <w:t xml:space="preserve"> list RS, št. </w:t>
      </w:r>
      <w:r w:rsidRPr="008C39B5">
        <w:rPr>
          <w:rFonts w:ascii="Arial" w:hAnsi="Arial" w:cs="Arial"/>
          <w:iCs/>
          <w:sz w:val="20"/>
          <w:szCs w:val="20"/>
        </w:rPr>
        <w:t xml:space="preserve">78/25) organizirane za opravljanje posebno zahtevnih nalog zaščite, reševanja in pomoči ter za pomoč drugim državam. Njihova uvrstitev v evropski nabor civilne zaščite zahteva operativno pripravljenost za posredovanje v mednarodnem okolju. Operativna pripravljenost se preverja na obdobni praktični mednarodni vaji, kjer enote ob vpisu v evropski nabor civilne zaščite opravijo tako imenovan postopek certifikacije. Certifikacija velja za obdobje pet let, nato imajo enote možnost re-certifikacije, s čimer ponovno dokažejo svojo operativno pripravljenost. </w:t>
      </w:r>
    </w:p>
    <w:p w:rsidR="009A0699" w:rsidRPr="008C39B5" w:rsidP="009A0699" w14:paraId="657AF2B6" w14:textId="2E4196CC">
      <w:pPr>
        <w:jc w:val="both"/>
        <w:rPr>
          <w:rFonts w:ascii="Arial" w:eastAsia="Times New Roman" w:hAnsi="Arial" w:cs="Arial"/>
          <w:iCs/>
          <w:sz w:val="20"/>
          <w:szCs w:val="20"/>
          <w:lang w:eastAsia="sl-SI"/>
        </w:rPr>
      </w:pPr>
      <w:r w:rsidRPr="008C39B5">
        <w:rPr>
          <w:rFonts w:ascii="Arial" w:hAnsi="Arial" w:cs="Arial"/>
          <w:iCs/>
          <w:sz w:val="20"/>
          <w:szCs w:val="20"/>
        </w:rPr>
        <w:t>Enoto za iskanje in reševanje v jamah popolnjuje Jamarska reševalna služba Slovenij</w:t>
      </w:r>
      <w:r w:rsidR="00A40AF9">
        <w:rPr>
          <w:rFonts w:ascii="Arial" w:hAnsi="Arial" w:cs="Arial"/>
          <w:iCs/>
          <w:sz w:val="20"/>
          <w:szCs w:val="20"/>
        </w:rPr>
        <w:t>e, ki ima status javne</w:t>
      </w:r>
      <w:r w:rsidRPr="008C39B5">
        <w:rPr>
          <w:rFonts w:ascii="Arial" w:hAnsi="Arial" w:cs="Arial"/>
          <w:iCs/>
          <w:sz w:val="20"/>
          <w:szCs w:val="20"/>
        </w:rPr>
        <w:t xml:space="preserve"> službe </w:t>
      </w:r>
      <w:r w:rsidR="000D0E30">
        <w:rPr>
          <w:rFonts w:ascii="Arial" w:hAnsi="Arial" w:cs="Arial"/>
          <w:iCs/>
          <w:sz w:val="20"/>
          <w:szCs w:val="20"/>
        </w:rPr>
        <w:t xml:space="preserve">za zaščito reševanje in pomoč </w:t>
      </w:r>
      <w:r w:rsidRPr="008C39B5">
        <w:rPr>
          <w:rFonts w:ascii="Arial" w:hAnsi="Arial" w:cs="Arial"/>
          <w:iCs/>
          <w:sz w:val="20"/>
          <w:szCs w:val="20"/>
        </w:rPr>
        <w:t xml:space="preserve">po Zakonu o varstvu pred naravnimi in drugimi nesrečami. Pri slovenski enoti za iskanje in reševanje v jamah gre za </w:t>
      </w:r>
      <w:r w:rsidRPr="008C39B5">
        <w:rPr>
          <w:rFonts w:ascii="Arial" w:hAnsi="Arial" w:cs="Arial"/>
          <w:iCs/>
          <w:sz w:val="20"/>
          <w:szCs w:val="20"/>
        </w:rPr>
        <w:t>nišno</w:t>
      </w:r>
      <w:r w:rsidRPr="008C39B5">
        <w:rPr>
          <w:rFonts w:ascii="Arial" w:hAnsi="Arial" w:cs="Arial"/>
          <w:iCs/>
          <w:sz w:val="20"/>
          <w:szCs w:val="20"/>
        </w:rPr>
        <w:t xml:space="preserve"> zmogljivost, ki jo je v EU težko zagotoviti in ima Slovenija tukaj primerjalno prednost. </w:t>
      </w:r>
      <w:r w:rsidRPr="008C39B5">
        <w:rPr>
          <w:rFonts w:ascii="Arial" w:eastAsia="Times New Roman" w:hAnsi="Arial" w:cs="Arial"/>
          <w:iCs/>
          <w:sz w:val="20"/>
          <w:szCs w:val="20"/>
          <w:lang w:eastAsia="sl-SI"/>
        </w:rPr>
        <w:t xml:space="preserve">Uprava Republike Slovenije za zaščito in reševanje Ministrstva za obrambo je enoto za </w:t>
      </w:r>
      <w:r w:rsidRPr="008C39B5">
        <w:rPr>
          <w:rFonts w:ascii="Arial" w:hAnsi="Arial" w:cs="Arial"/>
          <w:iCs/>
          <w:sz w:val="20"/>
          <w:szCs w:val="20"/>
        </w:rPr>
        <w:t>iskanje in reševanje v jamah</w:t>
      </w:r>
      <w:r w:rsidRPr="008C39B5">
        <w:rPr>
          <w:rFonts w:ascii="Arial" w:eastAsia="Times New Roman" w:hAnsi="Arial" w:cs="Arial"/>
          <w:iCs/>
          <w:sz w:val="20"/>
          <w:szCs w:val="20"/>
          <w:lang w:eastAsia="sl-SI"/>
        </w:rPr>
        <w:t xml:space="preserve"> v evropski nabor civilne zaščite uvrstila leta 2016 (Sklep Vlade Republike Slovenije številka 54000-1/2016/3 z dne 28. 1. 2016). Zavezo za njeno uvrstitev oz. registracijo je podaljšala leta 2020 (Sklep Vlade Republike Slovenije številka 54200-5/2020/3 z dne 12. 3. 2020). </w:t>
      </w:r>
    </w:p>
    <w:p w:rsidR="009A0699" w:rsidRPr="008C39B5" w:rsidP="009A0699" w14:paraId="38BE2BAD" w14:textId="77777777">
      <w:pPr>
        <w:jc w:val="both"/>
        <w:rPr>
          <w:rFonts w:ascii="Arial" w:eastAsia="Times New Roman" w:hAnsi="Arial" w:cs="Arial"/>
          <w:iCs/>
          <w:sz w:val="20"/>
          <w:szCs w:val="20"/>
          <w:lang w:eastAsia="sl-SI"/>
        </w:rPr>
      </w:pPr>
      <w:r w:rsidRPr="008C39B5">
        <w:rPr>
          <w:rFonts w:ascii="Arial" w:eastAsia="Times New Roman" w:hAnsi="Arial" w:cs="Arial"/>
          <w:iCs/>
          <w:sz w:val="20"/>
          <w:szCs w:val="20"/>
          <w:lang w:eastAsia="sl-SI"/>
        </w:rPr>
        <w:t xml:space="preserve">Enoto za prečrpavanje večjih količin vode popolnjujejo pripadniki regijskih enot za prečrpavanje vode Civilne zaščite. Uprava Republike Slovenije za zaščito in reševanje Ministrstva za obrambo je enoto za prečrpavanje večjih količin vode v evropski nabor civilne zaščite uvrstila leta 2019 (Sklep Vlade Republike Slovenije številka 84300-4/2019/3 z dne 11. 7. 2019). </w:t>
      </w:r>
    </w:p>
    <w:p w:rsidR="009A0699" w:rsidRPr="008C39B5" w:rsidP="009A0699" w14:paraId="729E537A" w14:textId="3A1CB770">
      <w:pPr>
        <w:jc w:val="both"/>
        <w:rPr>
          <w:rFonts w:ascii="Arial" w:eastAsia="Times New Roman" w:hAnsi="Arial" w:cs="Arial"/>
          <w:iCs/>
          <w:sz w:val="20"/>
          <w:szCs w:val="20"/>
          <w:lang w:eastAsia="sl-SI"/>
        </w:rPr>
      </w:pPr>
      <w:r w:rsidRPr="008C39B5">
        <w:rPr>
          <w:rFonts w:ascii="Arial" w:eastAsia="Times New Roman" w:hAnsi="Arial" w:cs="Arial"/>
          <w:iCs/>
          <w:sz w:val="20"/>
          <w:szCs w:val="20"/>
          <w:lang w:eastAsia="sl-SI"/>
        </w:rPr>
        <w:t xml:space="preserve">Zaveza za vključitev oz. registracijo enote za iskanje in reševanje v jamah v evropski </w:t>
      </w:r>
      <w:r w:rsidR="00A40AF9">
        <w:rPr>
          <w:rFonts w:ascii="Arial" w:eastAsia="Times New Roman" w:hAnsi="Arial" w:cs="Arial"/>
          <w:iCs/>
          <w:sz w:val="20"/>
          <w:szCs w:val="20"/>
          <w:lang w:eastAsia="sl-SI"/>
        </w:rPr>
        <w:t>nabor civilne zaščite je potekla</w:t>
      </w:r>
      <w:r w:rsidRPr="008C39B5">
        <w:rPr>
          <w:rFonts w:ascii="Arial" w:eastAsia="Times New Roman" w:hAnsi="Arial" w:cs="Arial"/>
          <w:iCs/>
          <w:sz w:val="20"/>
          <w:szCs w:val="20"/>
          <w:lang w:eastAsia="sl-SI"/>
        </w:rPr>
        <w:t xml:space="preserve"> 23. 2. 2026, zaveza za vključitev oz. registracijo enote za prečrpavanje večjih količin vode v evropski nabor civilne zaščite pa poteče 13. 12. 2026. Glede na navedeno je Uprava Republike Slovenije za zaščito in reševanje pripravila vse potrebno za podaljšanje zaveze oz. registracije, pri čemer se trajanje zaveze oz. registracije poenoti z obdobjem trajanja certifikacije oziroma ponovne certifikacije in s tem izkazovanja operativne pripravljenosti enot za posredovanje v mednarodnem okolju. </w:t>
      </w:r>
    </w:p>
    <w:p w:rsidR="009A0699" w:rsidRPr="008C39B5" w:rsidP="009A0699" w14:paraId="3EF56209" w14:textId="656BBA73">
      <w:pPr>
        <w:jc w:val="both"/>
        <w:rPr>
          <w:rFonts w:ascii="Arial" w:hAnsi="Arial" w:cs="Arial"/>
          <w:sz w:val="20"/>
          <w:szCs w:val="20"/>
        </w:rPr>
      </w:pPr>
      <w:r w:rsidRPr="008C39B5">
        <w:rPr>
          <w:rFonts w:ascii="Arial" w:eastAsia="Times New Roman" w:hAnsi="Arial" w:cs="Arial"/>
          <w:iCs/>
          <w:sz w:val="20"/>
          <w:szCs w:val="20"/>
          <w:lang w:eastAsia="sl-SI"/>
        </w:rPr>
        <w:t>Države članice in sodelujoče države v mehanizmu Unije na področju civilne zaščite, so do 15. 1. 2026 v evropski nabor civilne zaščite ponudile 153 odzivnih zmogljivosti. Država, ki v evropski nabor civilne zaščite ponudi odzivno zmogljivost, se zaveže, da bo ponujeno zmogljivost imela na razpolago za odziv na nesreče v Evropski uniji in izven nje</w:t>
      </w:r>
      <w:r w:rsidR="00A40AF9">
        <w:rPr>
          <w:rFonts w:ascii="Arial" w:eastAsia="Times New Roman" w:hAnsi="Arial" w:cs="Arial"/>
          <w:iCs/>
          <w:sz w:val="20"/>
          <w:szCs w:val="20"/>
          <w:lang w:eastAsia="sl-SI"/>
        </w:rPr>
        <w:t>,</w:t>
      </w:r>
      <w:r w:rsidRPr="008C39B5">
        <w:rPr>
          <w:rFonts w:ascii="Arial" w:eastAsia="Times New Roman" w:hAnsi="Arial" w:cs="Arial"/>
          <w:iCs/>
          <w:sz w:val="20"/>
          <w:szCs w:val="20"/>
          <w:lang w:eastAsia="sl-SI"/>
        </w:rPr>
        <w:t xml:space="preserve"> razen v primerih, ki jih določa 11. člen Sklepa (EU) 2019/420 </w:t>
      </w:r>
      <w:r w:rsidRPr="008C39B5">
        <w:rPr>
          <w:rFonts w:ascii="Arial" w:hAnsi="Arial" w:cs="Arial"/>
          <w:iCs/>
          <w:sz w:val="20"/>
          <w:szCs w:val="20"/>
        </w:rPr>
        <w:t>Evropskega Parlamenta in Sveta o spremembi Sklepa št. 1313/2013/EU o mehanizmu Unije na področju civilne zaščite</w:t>
      </w:r>
      <w:r w:rsidRPr="008C39B5">
        <w:rPr>
          <w:rFonts w:ascii="Arial" w:hAnsi="Arial" w:cs="Arial"/>
          <w:sz w:val="20"/>
          <w:szCs w:val="20"/>
        </w:rPr>
        <w:t xml:space="preserve"> (1313/2013/EU).</w:t>
      </w:r>
    </w:p>
    <w:p w:rsidR="009A0699" w:rsidP="007D4C8B" w14:paraId="20291E9D" w14:textId="53119047">
      <w:pPr>
        <w:jc w:val="both"/>
        <w:rPr>
          <w:rFonts w:ascii="Arial" w:hAnsi="Arial" w:cs="Arial"/>
          <w:sz w:val="20"/>
          <w:szCs w:val="20"/>
        </w:rPr>
      </w:pPr>
      <w:r w:rsidRPr="008C39B5">
        <w:rPr>
          <w:rFonts w:ascii="Arial" w:hAnsi="Arial" w:cs="Arial"/>
          <w:sz w:val="20"/>
          <w:szCs w:val="20"/>
        </w:rPr>
        <w:t>Finančnih posledic ponovne uvrstitve omenjenih enot v evropski nabor civil</w:t>
      </w:r>
      <w:r w:rsidR="00086049">
        <w:rPr>
          <w:rFonts w:ascii="Arial" w:hAnsi="Arial" w:cs="Arial"/>
          <w:sz w:val="20"/>
          <w:szCs w:val="20"/>
        </w:rPr>
        <w:t>ne zaščite ni. Stroški bodo nastali</w:t>
      </w:r>
      <w:r w:rsidRPr="008C39B5">
        <w:rPr>
          <w:rFonts w:ascii="Arial" w:hAnsi="Arial" w:cs="Arial"/>
          <w:sz w:val="20"/>
          <w:szCs w:val="20"/>
        </w:rPr>
        <w:t xml:space="preserve"> ob </w:t>
      </w:r>
      <w:r w:rsidR="00086049">
        <w:rPr>
          <w:rFonts w:ascii="Arial" w:hAnsi="Arial" w:cs="Arial"/>
          <w:sz w:val="20"/>
          <w:szCs w:val="20"/>
        </w:rPr>
        <w:t xml:space="preserve">morebitni </w:t>
      </w:r>
      <w:r w:rsidRPr="008C39B5">
        <w:rPr>
          <w:rFonts w:ascii="Arial" w:hAnsi="Arial" w:cs="Arial"/>
          <w:sz w:val="20"/>
          <w:szCs w:val="20"/>
        </w:rPr>
        <w:t>napotitvi enot na mednarodne reševalne intervencije, o čemer vsakokrat odloča Vlada Republike Slovenije.</w:t>
      </w:r>
    </w:p>
    <w:p w:rsidR="00673E3E" w:rsidRPr="007D4C8B" w:rsidP="007D4C8B" w14:paraId="519B0D0C" w14:textId="3FB69750">
      <w:pPr>
        <w:jc w:val="both"/>
        <w:rPr>
          <w:rFonts w:ascii="Arial" w:hAnsi="Arial" w:cs="Arial"/>
          <w:sz w:val="20"/>
          <w:szCs w:val="20"/>
        </w:rPr>
      </w:pPr>
      <w:r>
        <w:rPr>
          <w:rFonts w:ascii="Arial" w:hAnsi="Arial" w:cs="Arial"/>
          <w:sz w:val="20"/>
          <w:szCs w:val="20"/>
        </w:rPr>
        <w:t>Obravnava gradiva predstavlja opravljanje tekočih poslov vlade, saj gre za informacijo o nadaljevanju  sodelovanja slovenskih enot civilne zaščite v okviru mehanizma Unije na področju civilne zaščite. Gradivo tudi nima finančnih posledic.</w:t>
      </w:r>
    </w:p>
    <w:p w:rsidR="009A0699" w:rsidRPr="008C39B5" w:rsidP="009A0699" w14:paraId="648826E1" w14:textId="77777777">
      <w:pPr>
        <w:spacing w:after="0"/>
        <w:jc w:val="right"/>
        <w:rPr>
          <w:rFonts w:ascii="Arial" w:hAnsi="Arial" w:cs="Arial"/>
          <w:sz w:val="20"/>
          <w:szCs w:val="20"/>
        </w:rPr>
      </w:pPr>
      <w:r w:rsidRPr="008C39B5">
        <w:rPr>
          <w:rFonts w:ascii="Arial" w:hAnsi="Arial" w:cs="Arial"/>
          <w:sz w:val="20"/>
          <w:szCs w:val="20"/>
        </w:rPr>
        <w:t>MINISTRSTVO ZA OBRAMBO</w:t>
      </w: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666DCC62">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27116">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27116">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D5BB6DB">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40AF9">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40AF9">
      <w:rPr>
        <w:rFonts w:ascii="Arial" w:hAnsi="Arial" w:cs="Arial"/>
        <w:noProof/>
      </w:rPr>
      <w:t>6</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907F72"/>
    <w:multiLevelType w:val="hybridMultilevel"/>
    <w:tmpl w:val="1BF4A07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9242F4D"/>
    <w:multiLevelType w:val="hybridMultilevel"/>
    <w:tmpl w:val="1BF4A078"/>
    <w:lvl w:ilvl="0">
      <w:start w:val="1"/>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8">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2">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C45831"/>
    <w:multiLevelType w:val="hybridMultilevel"/>
    <w:tmpl w:val="41D8506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8F4E32"/>
    <w:multiLevelType w:val="hybridMultilevel"/>
    <w:tmpl w:val="1BF4A07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6">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5E355E"/>
    <w:multiLevelType w:val="hybridMultilevel"/>
    <w:tmpl w:val="227EA0A6"/>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26"/>
  </w:num>
  <w:num w:numId="5">
    <w:abstractNumId w:val="2"/>
  </w:num>
  <w:num w:numId="6">
    <w:abstractNumId w:val="10"/>
  </w:num>
  <w:num w:numId="7">
    <w:abstractNumId w:val="0"/>
  </w:num>
  <w:num w:numId="8">
    <w:abstractNumId w:val="23"/>
  </w:num>
  <w:num w:numId="9">
    <w:abstractNumId w:val="29"/>
  </w:num>
  <w:num w:numId="10">
    <w:abstractNumId w:val="15"/>
    <w:lvlOverride w:ilvl="0">
      <w:startOverride w:val="1"/>
    </w:lvlOverride>
  </w:num>
  <w:num w:numId="11">
    <w:abstractNumId w:val="16"/>
  </w:num>
  <w:num w:numId="12">
    <w:abstractNumId w:val="11"/>
  </w:num>
  <w:num w:numId="13">
    <w:abstractNumId w:val="24"/>
  </w:num>
  <w:num w:numId="14">
    <w:abstractNumId w:val="5"/>
  </w:num>
  <w:num w:numId="15">
    <w:abstractNumId w:val="19"/>
  </w:num>
  <w:num w:numId="16">
    <w:abstractNumId w:val="31"/>
  </w:num>
  <w:num w:numId="17">
    <w:abstractNumId w:val="27"/>
  </w:num>
  <w:num w:numId="18">
    <w:abstractNumId w:val="32"/>
  </w:num>
  <w:num w:numId="19">
    <w:abstractNumId w:val="33"/>
  </w:num>
  <w:num w:numId="20">
    <w:abstractNumId w:val="18"/>
  </w:num>
  <w:num w:numId="21">
    <w:abstractNumId w:val="12"/>
  </w:num>
  <w:num w:numId="22">
    <w:abstractNumId w:val="22"/>
  </w:num>
  <w:num w:numId="23">
    <w:abstractNumId w:val="8"/>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1"/>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7"/>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3"/>
  </w:num>
  <w:num w:numId="39">
    <w:abstractNumId w:val="18"/>
  </w:num>
  <w:num w:numId="40">
    <w:abstractNumId w:val="12"/>
  </w:num>
  <w:num w:numId="41">
    <w:abstractNumId w:val="21"/>
    <w:lvlOverride w:ilvl="0">
      <w:startOverride w:val="1"/>
    </w:lvlOverride>
    <w:lvlOverride w:ilvl="1"/>
    <w:lvlOverride w:ilvl="2"/>
    <w:lvlOverride w:ilvl="3"/>
    <w:lvlOverride w:ilvl="4"/>
    <w:lvlOverride w:ilvl="5"/>
    <w:lvlOverride w:ilvl="6"/>
    <w:lvlOverride w:ilvl="7"/>
    <w:lvlOverride w:ilvl="8"/>
  </w:num>
  <w:num w:numId="42">
    <w:abstractNumId w:val="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27116"/>
    <w:rsid w:val="00053139"/>
    <w:rsid w:val="00072F34"/>
    <w:rsid w:val="00086049"/>
    <w:rsid w:val="000A2FA1"/>
    <w:rsid w:val="000A4BA7"/>
    <w:rsid w:val="000C0B87"/>
    <w:rsid w:val="000D0E30"/>
    <w:rsid w:val="000F18DE"/>
    <w:rsid w:val="00131B28"/>
    <w:rsid w:val="001D4854"/>
    <w:rsid w:val="002126C5"/>
    <w:rsid w:val="00220B63"/>
    <w:rsid w:val="002907CC"/>
    <w:rsid w:val="002C278B"/>
    <w:rsid w:val="002C6EC4"/>
    <w:rsid w:val="002E081E"/>
    <w:rsid w:val="002F26AD"/>
    <w:rsid w:val="002F78E3"/>
    <w:rsid w:val="00305C84"/>
    <w:rsid w:val="003A3B1D"/>
    <w:rsid w:val="003D556F"/>
    <w:rsid w:val="003E035F"/>
    <w:rsid w:val="00464982"/>
    <w:rsid w:val="004A7DC1"/>
    <w:rsid w:val="004B08C2"/>
    <w:rsid w:val="004C3FCB"/>
    <w:rsid w:val="004E293C"/>
    <w:rsid w:val="004F6962"/>
    <w:rsid w:val="005623A5"/>
    <w:rsid w:val="00580548"/>
    <w:rsid w:val="00597C12"/>
    <w:rsid w:val="005C0FD4"/>
    <w:rsid w:val="005E329B"/>
    <w:rsid w:val="005E6A88"/>
    <w:rsid w:val="00623F16"/>
    <w:rsid w:val="0066462F"/>
    <w:rsid w:val="00673E3E"/>
    <w:rsid w:val="00695AEF"/>
    <w:rsid w:val="006E30C0"/>
    <w:rsid w:val="007123B4"/>
    <w:rsid w:val="00715D72"/>
    <w:rsid w:val="00723116"/>
    <w:rsid w:val="007326FF"/>
    <w:rsid w:val="007578AE"/>
    <w:rsid w:val="007851AF"/>
    <w:rsid w:val="007B1642"/>
    <w:rsid w:val="007B4C47"/>
    <w:rsid w:val="007D4C8B"/>
    <w:rsid w:val="008011AD"/>
    <w:rsid w:val="00821419"/>
    <w:rsid w:val="00842FB7"/>
    <w:rsid w:val="00876D8D"/>
    <w:rsid w:val="008941CD"/>
    <w:rsid w:val="008B4243"/>
    <w:rsid w:val="008B734D"/>
    <w:rsid w:val="008C39B5"/>
    <w:rsid w:val="00913E94"/>
    <w:rsid w:val="00950971"/>
    <w:rsid w:val="009A0699"/>
    <w:rsid w:val="009E10A8"/>
    <w:rsid w:val="009F1E59"/>
    <w:rsid w:val="009F77C7"/>
    <w:rsid w:val="00A174D5"/>
    <w:rsid w:val="00A40AF9"/>
    <w:rsid w:val="00A452FF"/>
    <w:rsid w:val="00A701F9"/>
    <w:rsid w:val="00A92E83"/>
    <w:rsid w:val="00AB228C"/>
    <w:rsid w:val="00AB65D9"/>
    <w:rsid w:val="00AE3A35"/>
    <w:rsid w:val="00B27A2C"/>
    <w:rsid w:val="00B35734"/>
    <w:rsid w:val="00BF469E"/>
    <w:rsid w:val="00C10360"/>
    <w:rsid w:val="00C14725"/>
    <w:rsid w:val="00C57CFB"/>
    <w:rsid w:val="00CB7264"/>
    <w:rsid w:val="00D07917"/>
    <w:rsid w:val="00D61DC2"/>
    <w:rsid w:val="00D86976"/>
    <w:rsid w:val="00DF18E9"/>
    <w:rsid w:val="00E1055C"/>
    <w:rsid w:val="00E50831"/>
    <w:rsid w:val="00EA539F"/>
    <w:rsid w:val="00EC1D65"/>
    <w:rsid w:val="00ED6207"/>
    <w:rsid w:val="00FA6654"/>
    <w:rsid w:val="00FB3C81"/>
    <w:rsid w:val="00FB3D8B"/>
    <w:rsid w:val="00FE66C5"/>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53BB-D466-42CA-9B55-D9DD5380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1757</Words>
  <Characters>10804</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25</cp:revision>
  <dcterms:created xsi:type="dcterms:W3CDTF">2024-11-29T10:46:00Z</dcterms:created>
  <dcterms:modified xsi:type="dcterms:W3CDTF">2026-05-04T08:59:00Z</dcterms:modified>
</cp:coreProperties>
</file>