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FD06" w14:textId="30F4A0BB" w:rsidR="00F80F40" w:rsidRDefault="00F80F40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2413DC89" wp14:editId="39AD800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5654597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6012E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</w:t>
      </w:r>
      <w:bookmarkStart w:id="0" w:name="_Hlk220926984"/>
      <w:r w:rsidRPr="00A45802">
        <w:rPr>
          <w:rFonts w:cs="Arial"/>
          <w:sz w:val="16"/>
          <w:lang w:val="sl-SI"/>
        </w:rPr>
        <w:t xml:space="preserve">Župančičeva ulica 3, </w:t>
      </w:r>
      <w:proofErr w:type="spellStart"/>
      <w:r w:rsidRPr="00A45802">
        <w:rPr>
          <w:rFonts w:cs="Arial"/>
          <w:sz w:val="16"/>
          <w:lang w:val="sl-SI"/>
        </w:rPr>
        <w:t>p.p</w:t>
      </w:r>
      <w:proofErr w:type="spellEnd"/>
      <w:r w:rsidRPr="00A45802">
        <w:rPr>
          <w:rFonts w:cs="Arial"/>
          <w:sz w:val="16"/>
          <w:lang w:val="sl-SI"/>
        </w:rPr>
        <w:t>. 644a, 1001 Ljubljana</w:t>
      </w:r>
      <w:r w:rsidRPr="00A45802">
        <w:rPr>
          <w:rFonts w:cs="Arial"/>
          <w:sz w:val="16"/>
          <w:lang w:val="sl-SI"/>
        </w:rPr>
        <w:tab/>
        <w:t>T: 01-369-6600</w:t>
      </w:r>
    </w:p>
    <w:p w14:paraId="74382DE8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F: 01-369-6609</w:t>
      </w:r>
    </w:p>
    <w:p w14:paraId="2A460236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E: gp.mf@gov.si</w:t>
      </w:r>
    </w:p>
    <w:p w14:paraId="5ACF9EDE" w14:textId="2C36EED3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ab/>
      </w:r>
      <w:r w:rsidRPr="00A45802">
        <w:rPr>
          <w:rFonts w:cs="Arial"/>
          <w:sz w:val="16"/>
          <w:lang w:val="sl-SI"/>
        </w:rPr>
        <w:t>www.mf.gov.si</w:t>
      </w:r>
    </w:p>
    <w:bookmarkEnd w:id="0"/>
    <w:p w14:paraId="5403ADE7" w14:textId="34188966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01D2FD6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3563A0"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4103-1/2026-1611</w:t>
            </w:r>
            <w:r w:rsidR="00BA67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-1</w:t>
            </w:r>
            <w:r w:rsidR="00CD38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="003929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690A8371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C34E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C34E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74C9586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3563A0" w:rsidRPr="003563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Prerazporeditev pravic porabe – predlog za obravnavo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2C39077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Na podlagi šestega odstavka 21. člena Zakona o Vladi Republike Slovenije (Uradni list RS, št. 24/05 – uradno prečiščeno besedilo, 109/08, 38/10 – ZUKN, 8/12, 21/13, 47/13 – ZDU-1G, 65/14, 55/17, 163/22 in 57/25 – ZF) in 28. člena Zakona o izvrševanju proračunov Republike Slovenije za leti 2026 in 2027 (Uradni list RS, št. 95/25 in 112/25 – ZJF-K) je Vlada Republike Slovenije na seji ... dne ... pod točko ... sprejela naslednji</w:t>
            </w:r>
          </w:p>
          <w:p w14:paraId="22E08334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1617FE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A3244B" w14:textId="77777777" w:rsidR="002D325A" w:rsidRPr="002D325A" w:rsidRDefault="002D325A" w:rsidP="002D325A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K L E P</w:t>
            </w:r>
          </w:p>
          <w:p w14:paraId="79B433D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360D8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Vlada Republike Slovenije je odločila, da se prerazporedijo pravice porabe v proračunu države za leto 2026, kot izhaja iz Priloge tega sklepa.</w:t>
            </w:r>
          </w:p>
          <w:p w14:paraId="61B2046E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60CAA1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4A2DB8" w14:textId="77777777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19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Barbara Kolenko </w:t>
            </w:r>
            <w:proofErr w:type="spellStart"/>
            <w:r w:rsidRPr="002D325A">
              <w:rPr>
                <w:rFonts w:ascii="Arial" w:eastAsia="Calibri" w:hAnsi="Arial" w:cs="Arial"/>
                <w:sz w:val="20"/>
                <w:szCs w:val="20"/>
              </w:rPr>
              <w:t>Helbl</w:t>
            </w:r>
            <w:proofErr w:type="spellEnd"/>
          </w:p>
          <w:p w14:paraId="51C8E4A1" w14:textId="77777777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20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generalna sekretarka</w:t>
            </w:r>
          </w:p>
          <w:p w14:paraId="22F7C6D6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93CB1F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E433C3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 xml:space="preserve">Priloga: </w:t>
            </w:r>
          </w:p>
          <w:p w14:paraId="53A28EF7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Prerazporeditev pravic porabe</w:t>
            </w:r>
          </w:p>
          <w:p w14:paraId="1E536C6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171862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7B335F00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11B455FD" w14:textId="65D52A79" w:rsidR="00AE1F83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Vlade Republike Slovenije za komuniciranje</w:t>
            </w: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098957EF" w14:textId="77777777" w:rsidR="0009076D" w:rsidRPr="00025DE2" w:rsidRDefault="0009076D" w:rsidP="0009076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25DE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Mojca Pirnat, generalna direktorica Direktorata za proračun</w:t>
            </w:r>
          </w:p>
          <w:p w14:paraId="0369F08A" w14:textId="74FF116F" w:rsidR="009059DD" w:rsidRPr="00025DE2" w:rsidRDefault="0009076D" w:rsidP="0009076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Zoran Barjaktarević</w:t>
            </w:r>
            <w:r w:rsidRPr="003A7DB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namestnik </w:t>
            </w:r>
            <w:r w:rsidRPr="003A7DB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vodj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3A7DB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Sektorja za proračun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2AAE1815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3DB09C20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bookmarkStart w:id="1" w:name="_Hlk227152724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09F97BE6" w14:textId="7148F466" w:rsidR="00EF7AC6" w:rsidRPr="00BC4A51" w:rsidRDefault="00EF7AC6" w:rsidP="00EF7AC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Predlaga</w:t>
            </w:r>
            <w:r w:rsidR="00AC0FF8"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jo</w:t>
            </w: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prerazporedit</w:t>
            </w:r>
            <w:r w:rsidR="00AC0FF8"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</w:t>
            </w: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pravic porabe v skladu z 28. členom ZIPRS2627 kot izhaja iz priloge k sklepu.</w:t>
            </w:r>
          </w:p>
          <w:p w14:paraId="7FFD399B" w14:textId="6E2E86E2" w:rsidR="00EF7AC6" w:rsidRPr="00BC4A51" w:rsidRDefault="00EF7AC6" w:rsidP="00EF7AC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bookmarkStart w:id="2" w:name="_Hlk227155446"/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Obrazložitev, zakaj se gradivo lahko obravnava v času opravljanje tekočih poslov: </w:t>
            </w:r>
          </w:p>
          <w:p w14:paraId="3523491D" w14:textId="77777777" w:rsidR="00AE1F83" w:rsidRDefault="00C768C7" w:rsidP="00EF7AC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vladnega gradiva predstavlja tekoči posel, ker se predlaga prerazporeditev pravic porabe za pokrivanje zakonskih obveznosti oziroma nemoteno izvrševanje državnega proračuna.</w:t>
            </w:r>
            <w:bookmarkEnd w:id="2"/>
          </w:p>
          <w:p w14:paraId="69893AC2" w14:textId="3ABD5F1A" w:rsidR="006927AA" w:rsidRPr="00AE1F83" w:rsidRDefault="006927AA" w:rsidP="00EF7AC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bookmarkEnd w:id="1"/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02128B6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6CCE7D6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6F06C4C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9993E0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2110316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7EC022DA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74F71D0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668491C8" w:rsidR="00AE1F83" w:rsidRPr="00AE1F83" w:rsidRDefault="003563A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Sredstva so zagotovljena v okviru PFN-jev.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D75F50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593A4A1F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05980B59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E6C5BE4" w:rsidR="00AE1F83" w:rsidRPr="00AE1F83" w:rsidRDefault="003563A0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Gradiva ni potrebno predhodno objaviti na spletni strani.</w:t>
            </w:r>
          </w:p>
        </w:tc>
      </w:tr>
      <w:tr w:rsidR="00AE1F83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E7CAF09" w14:textId="77777777" w:rsidR="0009076D" w:rsidRPr="002D325A" w:rsidRDefault="0009076D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AEFB240" w14:textId="745B48F2" w:rsidR="002D325A" w:rsidRDefault="00795926" w:rsidP="000907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141"/>
              <w:jc w:val="center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Klemen</w:t>
            </w:r>
            <w:r w:rsidR="00200C0E" w:rsidRPr="00105FA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Boš</w:t>
            </w:r>
            <w:r w:rsidRPr="0079592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tja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nčič</w:t>
            </w:r>
          </w:p>
          <w:p w14:paraId="47E6FD39" w14:textId="77777777" w:rsidR="0009076D" w:rsidRPr="00105FA2" w:rsidRDefault="0009076D" w:rsidP="000907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141"/>
              <w:jc w:val="center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  <w:p w14:paraId="1625DAB3" w14:textId="402DF753" w:rsidR="00AE1F83" w:rsidRPr="002D325A" w:rsidRDefault="00795926" w:rsidP="000907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141"/>
              <w:jc w:val="center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79592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minister</w:t>
            </w:r>
          </w:p>
        </w:tc>
      </w:tr>
    </w:tbl>
    <w:p w14:paraId="552EDA53" w14:textId="1B0DB585" w:rsidR="002D325A" w:rsidRDefault="002D325A"/>
    <w:p w14:paraId="77F97E83" w14:textId="77777777" w:rsidR="002D325A" w:rsidRDefault="002D325A">
      <w:r>
        <w:br w:type="page"/>
      </w:r>
    </w:p>
    <w:p w14:paraId="46F92C6D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4"/>
        </w:rPr>
        <w:lastRenderedPageBreak/>
        <w:t>PREDLOG</w:t>
      </w:r>
    </w:p>
    <w:p w14:paraId="602A230B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</w:p>
    <w:p w14:paraId="4B8F47D8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65/14, 55/17, 163/22 in 57/25 – ZF) in 28. člena Zakona o izvrševanju proračunov Republike Slovenije za leti 2026 in 2027 (Uradni list RS, št. 95/25 in 112/25 – ZJF-K) je Vlada Republike Slovenije na seji ... dne ... pod točko ... sprejela naslednji</w:t>
      </w:r>
    </w:p>
    <w:p w14:paraId="52C4040E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4DC7E14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59DD9BCE" w14:textId="77777777" w:rsidR="002D325A" w:rsidRPr="002D325A" w:rsidRDefault="002D325A" w:rsidP="002D325A">
      <w:pPr>
        <w:spacing w:after="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D325A">
        <w:rPr>
          <w:rFonts w:ascii="Arial" w:eastAsia="Times New Roman" w:hAnsi="Arial" w:cs="Arial"/>
          <w:b/>
          <w:bCs/>
          <w:sz w:val="20"/>
          <w:szCs w:val="20"/>
        </w:rPr>
        <w:t>S K L E P</w:t>
      </w:r>
    </w:p>
    <w:p w14:paraId="25AF262C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B5834E2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Vlada Republike Slovenije je odločila, da se prerazporedijo pravice porabe v proračunu države za leto 2026, kot izhaja iz Priloge tega sklepa.</w:t>
      </w:r>
    </w:p>
    <w:p w14:paraId="11F1A635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7E820C8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5E26951E" w14:textId="77777777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19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Barbara Kolenko </w:t>
      </w:r>
      <w:proofErr w:type="spellStart"/>
      <w:r w:rsidRPr="002D325A">
        <w:rPr>
          <w:rFonts w:ascii="Arial" w:eastAsia="Calibri" w:hAnsi="Arial" w:cs="Arial"/>
          <w:sz w:val="20"/>
          <w:szCs w:val="20"/>
        </w:rPr>
        <w:t>Helbl</w:t>
      </w:r>
      <w:proofErr w:type="spellEnd"/>
    </w:p>
    <w:p w14:paraId="09337B3D" w14:textId="77777777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20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generalna sekretarka</w:t>
      </w:r>
    </w:p>
    <w:p w14:paraId="170B96C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32A2F115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0078859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 xml:space="preserve">Priloga: </w:t>
      </w:r>
    </w:p>
    <w:p w14:paraId="2C069061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Prerazporeditev pravic porabe</w:t>
      </w:r>
    </w:p>
    <w:p w14:paraId="12DDAF1C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D937ECA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Prejmejo:</w:t>
      </w:r>
    </w:p>
    <w:p w14:paraId="7E73FF5E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Ministrstvo za finance</w:t>
      </w:r>
    </w:p>
    <w:p w14:paraId="4318C03F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Urad Vlade Republike Slovenije za komuniciranje</w:t>
      </w:r>
    </w:p>
    <w:p w14:paraId="2793F78C" w14:textId="77777777" w:rsidR="002D325A" w:rsidRPr="002D325A" w:rsidRDefault="002D325A" w:rsidP="002D32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28C7459" w14:textId="77777777" w:rsidR="002D325A" w:rsidRPr="002D325A" w:rsidRDefault="002D325A" w:rsidP="002D325A">
      <w:pPr>
        <w:tabs>
          <w:tab w:val="center" w:pos="7088"/>
        </w:tabs>
        <w:suppressAutoHyphens/>
        <w:spacing w:after="0" w:line="312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15CBE2D" w14:textId="152A5817" w:rsidR="00475BC7" w:rsidRDefault="002D325A" w:rsidP="00E069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0"/>
        </w:rPr>
        <w:br w:type="page"/>
      </w:r>
      <w:bookmarkStart w:id="3" w:name="_Hlk111809111"/>
      <w:bookmarkStart w:id="4" w:name="_Hlk121479397"/>
      <w:bookmarkStart w:id="5" w:name="_Hlk141698403"/>
      <w:bookmarkStart w:id="6" w:name="_Hlk219101443"/>
      <w:r w:rsidRPr="002D325A">
        <w:rPr>
          <w:rFonts w:ascii="Arial" w:eastAsia="Times New Roman" w:hAnsi="Arial" w:cs="Arial"/>
          <w:b/>
          <w:bCs/>
          <w:sz w:val="20"/>
          <w:szCs w:val="24"/>
        </w:rPr>
        <w:lastRenderedPageBreak/>
        <w:t>OBRAZLOŽITE</w:t>
      </w:r>
      <w:bookmarkEnd w:id="3"/>
      <w:bookmarkEnd w:id="4"/>
      <w:bookmarkEnd w:id="5"/>
      <w:r w:rsidRPr="002D325A">
        <w:rPr>
          <w:rFonts w:ascii="Arial" w:eastAsia="Times New Roman" w:hAnsi="Arial" w:cs="Arial"/>
          <w:b/>
          <w:bCs/>
          <w:sz w:val="20"/>
          <w:szCs w:val="24"/>
        </w:rPr>
        <w:t>V</w:t>
      </w:r>
      <w:bookmarkStart w:id="7" w:name="_Hlk226461234"/>
      <w:bookmarkStart w:id="8" w:name="_Hlk223353153"/>
    </w:p>
    <w:bookmarkEnd w:id="6"/>
    <w:bookmarkEnd w:id="7"/>
    <w:bookmarkEnd w:id="8"/>
    <w:p w14:paraId="65B0B61D" w14:textId="5A561336" w:rsidR="00845546" w:rsidRDefault="00845546" w:rsidP="00845546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</w:p>
    <w:p w14:paraId="1D902E28" w14:textId="7420411D" w:rsidR="0009076D" w:rsidRPr="00845546" w:rsidRDefault="0009076D" w:rsidP="0009076D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24631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P1700-2026-0012 in P1700-2026-0013</w:t>
      </w:r>
    </w:p>
    <w:p w14:paraId="343EFF23" w14:textId="4C4760C1" w:rsidR="0009076D" w:rsidRDefault="0009076D" w:rsidP="00E7696F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84554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Ministrstvo za notranje zadeve predlaga prerazporeditev pravic porabe v skupni višini </w:t>
      </w:r>
      <w:r w:rsidR="00E7696F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48</w:t>
      </w:r>
      <w:r w:rsidRPr="0084554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.</w:t>
      </w:r>
      <w:r w:rsidR="00E7696F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295</w:t>
      </w:r>
      <w:r w:rsidRPr="0084554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,7</w:t>
      </w:r>
      <w:r w:rsidR="00E7696F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0</w:t>
      </w:r>
      <w:r w:rsidRPr="0084554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  EUR. </w:t>
      </w:r>
      <w:r w:rsidRPr="009C4A5A">
        <w:rPr>
          <w:rFonts w:ascii="Arial" w:eastAsia="Aptos" w:hAnsi="Arial" w:cs="Arial"/>
          <w:sz w:val="20"/>
          <w:szCs w:val="20"/>
          <w14:ligatures w14:val="standardContextual"/>
        </w:rPr>
        <w:t>Na podlagi sklenjenega Sporazuma o prenosu ene dovoljene zaposlitve v kadrovski načrt in o prenosu finančnih sredstev za to zaposlitev iz Ministrstva za notranje zadeve v Generalni sekretariat Vlade RS z dne 25.</w:t>
      </w:r>
      <w:r w:rsidR="00E7696F" w:rsidRPr="00E7696F">
        <w:rPr>
          <w:rFonts w:ascii="Arial" w:eastAsia="Aptos" w:hAnsi="Arial" w:cs="Arial"/>
          <w:sz w:val="20"/>
          <w:szCs w:val="20"/>
          <w14:ligatures w14:val="standardContextual"/>
        </w:rPr>
        <w:t xml:space="preserve"> </w:t>
      </w:r>
      <w:r w:rsidRPr="009C4A5A">
        <w:rPr>
          <w:rFonts w:ascii="Arial" w:eastAsia="Aptos" w:hAnsi="Arial" w:cs="Arial"/>
          <w:sz w:val="20"/>
          <w:szCs w:val="20"/>
          <w14:ligatures w14:val="standardContextual"/>
        </w:rPr>
        <w:t>3.</w:t>
      </w:r>
      <w:r w:rsidR="00E7696F">
        <w:rPr>
          <w:rFonts w:ascii="Arial" w:eastAsia="Aptos" w:hAnsi="Arial" w:cs="Arial"/>
          <w:sz w:val="20"/>
          <w:szCs w:val="20"/>
          <w14:ligatures w14:val="standardContextual"/>
        </w:rPr>
        <w:t xml:space="preserve"> </w:t>
      </w:r>
      <w:r w:rsidRPr="009C4A5A">
        <w:rPr>
          <w:rFonts w:ascii="Arial" w:eastAsia="Aptos" w:hAnsi="Arial" w:cs="Arial"/>
          <w:sz w:val="20"/>
          <w:szCs w:val="20"/>
          <w14:ligatures w14:val="standardContextual"/>
        </w:rPr>
        <w:t>2026 (MNZ - MFERAC št. C1711-26-420002; GSV RS št. 10000-4/2026/6) se za leto 2026 prerazporejajo sredstva za plače v višini 45.895,70 EUR</w:t>
      </w:r>
      <w:r w:rsidR="00E7696F">
        <w:rPr>
          <w:rFonts w:ascii="Arial" w:eastAsia="Aptos" w:hAnsi="Arial" w:cs="Arial"/>
          <w:sz w:val="20"/>
          <w:szCs w:val="20"/>
          <w14:ligatures w14:val="standardContextual"/>
        </w:rPr>
        <w:t xml:space="preserve"> in</w:t>
      </w:r>
      <w:r w:rsidRPr="009C4A5A">
        <w:rPr>
          <w:rFonts w:ascii="Arial" w:eastAsia="Aptos" w:hAnsi="Arial" w:cs="Arial"/>
          <w:sz w:val="20"/>
          <w:szCs w:val="20"/>
          <w14:ligatures w14:val="standardContextual"/>
        </w:rPr>
        <w:t xml:space="preserve"> za materialne stroške v višini 2.400 EUR.</w:t>
      </w:r>
    </w:p>
    <w:p w14:paraId="65DEEC35" w14:textId="77777777" w:rsidR="0009076D" w:rsidRPr="00845546" w:rsidRDefault="0009076D" w:rsidP="00845546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</w:p>
    <w:p w14:paraId="4D36CF79" w14:textId="3941773E" w:rsidR="00845546" w:rsidRPr="00C238CC" w:rsidRDefault="00845546" w:rsidP="00845546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C238CC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P1700-2026-0014 in P1700-2026-0015</w:t>
      </w:r>
    </w:p>
    <w:p w14:paraId="4AC23DC8" w14:textId="0128F20F" w:rsidR="00845546" w:rsidRPr="00845546" w:rsidRDefault="00845546" w:rsidP="00845546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  <w:r w:rsidRPr="0084554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Ministrstvo za notranje zadeve/Policija predlaga prerazporeditev pravic porabe v skupni višini 100.341,72  EUR.  </w:t>
      </w:r>
      <w:r w:rsidRPr="00845546">
        <w:rPr>
          <w:rFonts w:ascii="Arial" w:eastAsia="Aptos" w:hAnsi="Arial" w:cs="Arial"/>
          <w:sz w:val="20"/>
          <w:szCs w:val="20"/>
          <w14:ligatures w14:val="standardContextual"/>
        </w:rPr>
        <w:t>Na podlagi sklenjenega Sporazuma o trajnem prenosu dveh dovoljenih zaposlitev in začasnem prenosu ene dovoljene zaposlitve v kadrovskem načrtu in o prenosu finančnih sredstev za tri zaposlitve iz Ministrstva za notranje zadeve, Policije v Generalni sekretariat Vlade RS z dne 24.</w:t>
      </w:r>
      <w:r w:rsidR="00E7696F">
        <w:rPr>
          <w:rFonts w:ascii="Arial" w:eastAsia="Aptos" w:hAnsi="Arial" w:cs="Arial"/>
          <w:sz w:val="20"/>
          <w:szCs w:val="20"/>
          <w14:ligatures w14:val="standardContextual"/>
        </w:rPr>
        <w:t xml:space="preserve"> </w:t>
      </w:r>
      <w:r w:rsidRPr="00845546">
        <w:rPr>
          <w:rFonts w:ascii="Arial" w:eastAsia="Aptos" w:hAnsi="Arial" w:cs="Arial"/>
          <w:sz w:val="20"/>
          <w:szCs w:val="20"/>
          <w14:ligatures w14:val="standardContextual"/>
        </w:rPr>
        <w:t>3.</w:t>
      </w:r>
      <w:r w:rsidR="00E7696F">
        <w:rPr>
          <w:rFonts w:ascii="Arial" w:eastAsia="Aptos" w:hAnsi="Arial" w:cs="Arial"/>
          <w:sz w:val="20"/>
          <w:szCs w:val="20"/>
          <w14:ligatures w14:val="standardContextual"/>
        </w:rPr>
        <w:t xml:space="preserve"> </w:t>
      </w:r>
      <w:r w:rsidRPr="00845546">
        <w:rPr>
          <w:rFonts w:ascii="Arial" w:eastAsia="Aptos" w:hAnsi="Arial" w:cs="Arial"/>
          <w:sz w:val="20"/>
          <w:szCs w:val="20"/>
          <w14:ligatures w14:val="standardContextual"/>
        </w:rPr>
        <w:t>2026 (MNZ - MFERAC št. C1714-26-409000; GSV RS št. 10000-4/2026/5) se za leto 2026 prerazporejajo sredstva za plače v višini 93.141,72 EUR in sredstva za materialne stroške v višini 7.200 EUR.</w:t>
      </w:r>
    </w:p>
    <w:p w14:paraId="1689FD0C" w14:textId="77777777" w:rsidR="00845546" w:rsidRDefault="00845546" w:rsidP="009059DD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</w:p>
    <w:p w14:paraId="2C3642AA" w14:textId="60400FD2" w:rsidR="00E7696F" w:rsidRPr="00E7696F" w:rsidRDefault="00E7696F" w:rsidP="009059DD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8C167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P1900-2026-0070 in P1900-2026-0080 </w:t>
      </w:r>
    </w:p>
    <w:p w14:paraId="2C2129C8" w14:textId="51AB403C" w:rsidR="00E7696F" w:rsidRPr="00E7696F" w:rsidRDefault="00E7696F" w:rsidP="009059DD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E7696F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Ministrstvo za obrambo/Uprava RS za zaščito in reševanje predlaga prerazporeditev pravic porabe v skupni višini 41.015,83 EUR.</w:t>
      </w:r>
    </w:p>
    <w:p w14:paraId="4BEE3EBC" w14:textId="48D52C7E" w:rsidR="009A7474" w:rsidRDefault="00E7696F" w:rsidP="009A7474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E7696F">
        <w:rPr>
          <w:rFonts w:ascii="Arial" w:eastAsia="Aptos" w:hAnsi="Arial" w:cs="Arial"/>
          <w:sz w:val="20"/>
          <w:szCs w:val="20"/>
          <w14:ligatures w14:val="standardContextual"/>
        </w:rPr>
        <w:t>Prerazporeditev sredstev na podlagi Sporazuma o prenosu ene dovoljene zaposlitve v kadrovskem načrtu in o prenosu finančnih sredstev stroškov za to zaposlitev iz MORS, URSZR v Generalni sekretariat Vlade RS. Sporazum št. 100-286/2025-13 z dne 26.</w:t>
      </w:r>
      <w:r>
        <w:rPr>
          <w:rFonts w:ascii="Arial" w:eastAsia="Aptos" w:hAnsi="Arial" w:cs="Arial"/>
          <w:sz w:val="20"/>
          <w:szCs w:val="20"/>
          <w14:ligatures w14:val="standardContextual"/>
        </w:rPr>
        <w:t xml:space="preserve"> </w:t>
      </w:r>
      <w:r w:rsidRPr="00E7696F">
        <w:rPr>
          <w:rFonts w:ascii="Arial" w:eastAsia="Aptos" w:hAnsi="Arial" w:cs="Arial"/>
          <w:sz w:val="20"/>
          <w:szCs w:val="20"/>
          <w14:ligatures w14:val="standardContextual"/>
        </w:rPr>
        <w:t>3.</w:t>
      </w:r>
      <w:r>
        <w:rPr>
          <w:rFonts w:ascii="Arial" w:eastAsia="Aptos" w:hAnsi="Arial" w:cs="Arial"/>
          <w:sz w:val="20"/>
          <w:szCs w:val="20"/>
          <w14:ligatures w14:val="standardContextual"/>
        </w:rPr>
        <w:t xml:space="preserve"> </w:t>
      </w:r>
      <w:r w:rsidRPr="00E7696F">
        <w:rPr>
          <w:rFonts w:ascii="Arial" w:eastAsia="Aptos" w:hAnsi="Arial" w:cs="Arial"/>
          <w:sz w:val="20"/>
          <w:szCs w:val="20"/>
          <w14:ligatures w14:val="standardContextual"/>
        </w:rPr>
        <w:t>2026 (MORS) in 10000-4/2026/4 z dne 18.</w:t>
      </w:r>
      <w:r>
        <w:rPr>
          <w:rFonts w:ascii="Arial" w:eastAsia="Aptos" w:hAnsi="Arial" w:cs="Arial"/>
          <w:sz w:val="20"/>
          <w:szCs w:val="20"/>
          <w14:ligatures w14:val="standardContextual"/>
        </w:rPr>
        <w:t xml:space="preserve"> </w:t>
      </w:r>
      <w:r w:rsidRPr="00E7696F">
        <w:rPr>
          <w:rFonts w:ascii="Arial" w:eastAsia="Aptos" w:hAnsi="Arial" w:cs="Arial"/>
          <w:sz w:val="20"/>
          <w:szCs w:val="20"/>
          <w14:ligatures w14:val="standardContextual"/>
        </w:rPr>
        <w:t>3.</w:t>
      </w:r>
      <w:r>
        <w:rPr>
          <w:rFonts w:ascii="Arial" w:eastAsia="Aptos" w:hAnsi="Arial" w:cs="Arial"/>
          <w:sz w:val="20"/>
          <w:szCs w:val="20"/>
          <w14:ligatures w14:val="standardContextual"/>
        </w:rPr>
        <w:t xml:space="preserve"> </w:t>
      </w:r>
      <w:r w:rsidRPr="00E7696F">
        <w:rPr>
          <w:rFonts w:ascii="Arial" w:eastAsia="Aptos" w:hAnsi="Arial" w:cs="Arial"/>
          <w:sz w:val="20"/>
          <w:szCs w:val="20"/>
          <w14:ligatures w14:val="standardContextual"/>
        </w:rPr>
        <w:t>2026 (GSV)</w:t>
      </w:r>
      <w:r w:rsidR="009A7474">
        <w:rPr>
          <w:rFonts w:ascii="Arial" w:eastAsia="Aptos" w:hAnsi="Arial" w:cs="Arial"/>
          <w:sz w:val="20"/>
          <w:szCs w:val="20"/>
          <w14:ligatures w14:val="standardContextual"/>
        </w:rPr>
        <w:t xml:space="preserve"> in sicer, </w:t>
      </w:r>
      <w:r w:rsidR="009A7474" w:rsidRPr="009C4A5A">
        <w:rPr>
          <w:rFonts w:ascii="Arial" w:eastAsia="Aptos" w:hAnsi="Arial" w:cs="Arial"/>
          <w:sz w:val="20"/>
          <w:szCs w:val="20"/>
          <w14:ligatures w14:val="standardContextual"/>
        </w:rPr>
        <w:t xml:space="preserve">sredstva za plače v višini </w:t>
      </w:r>
      <w:r w:rsidR="009A7474" w:rsidRPr="009A7474">
        <w:rPr>
          <w:rFonts w:ascii="Arial" w:eastAsia="Aptos" w:hAnsi="Arial" w:cs="Arial"/>
          <w:sz w:val="20"/>
          <w:szCs w:val="20"/>
          <w14:ligatures w14:val="standardContextual"/>
        </w:rPr>
        <w:t>38.615,83</w:t>
      </w:r>
      <w:r w:rsidR="009A7474">
        <w:rPr>
          <w:rFonts w:ascii="Arial" w:eastAsia="Aptos" w:hAnsi="Arial" w:cs="Arial"/>
          <w:sz w:val="20"/>
          <w:szCs w:val="20"/>
          <w14:ligatures w14:val="standardContextual"/>
        </w:rPr>
        <w:t xml:space="preserve"> </w:t>
      </w:r>
      <w:r w:rsidR="009A7474" w:rsidRPr="009C4A5A">
        <w:rPr>
          <w:rFonts w:ascii="Arial" w:eastAsia="Aptos" w:hAnsi="Arial" w:cs="Arial"/>
          <w:sz w:val="20"/>
          <w:szCs w:val="20"/>
          <w14:ligatures w14:val="standardContextual"/>
        </w:rPr>
        <w:t>EUR</w:t>
      </w:r>
      <w:r w:rsidR="009A7474">
        <w:rPr>
          <w:rFonts w:ascii="Arial" w:eastAsia="Aptos" w:hAnsi="Arial" w:cs="Arial"/>
          <w:sz w:val="20"/>
          <w:szCs w:val="20"/>
          <w14:ligatures w14:val="standardContextual"/>
        </w:rPr>
        <w:t xml:space="preserve"> in</w:t>
      </w:r>
      <w:r w:rsidR="009A7474" w:rsidRPr="009C4A5A">
        <w:rPr>
          <w:rFonts w:ascii="Arial" w:eastAsia="Aptos" w:hAnsi="Arial" w:cs="Arial"/>
          <w:sz w:val="20"/>
          <w:szCs w:val="20"/>
          <w14:ligatures w14:val="standardContextual"/>
        </w:rPr>
        <w:t xml:space="preserve"> za materialne stroške v višini 2.400 EUR.</w:t>
      </w:r>
    </w:p>
    <w:p w14:paraId="4C95652F" w14:textId="77777777" w:rsidR="00E7696F" w:rsidRPr="00845546" w:rsidRDefault="00E7696F" w:rsidP="009059DD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</w:p>
    <w:p w14:paraId="0E4F8BD2" w14:textId="1FF56676" w:rsidR="009059DD" w:rsidRPr="009059DD" w:rsidRDefault="009059DD" w:rsidP="009059DD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9059D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P2180-2026-0382</w:t>
      </w:r>
    </w:p>
    <w:p w14:paraId="1CB3B781" w14:textId="1D69F270" w:rsidR="009059DD" w:rsidRDefault="009059DD" w:rsidP="009059DD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  <w:r w:rsidRPr="009059D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Ministrstvo za gospodarstvo, turizem in šport predlaga prerazporeditev pravic porabe na Ministrstvo za zunanje in evropske zadeve v višini 175.620 EUR. </w:t>
      </w:r>
      <w:r w:rsidRPr="009059DD">
        <w:rPr>
          <w:rFonts w:ascii="Arial" w:eastAsia="Aptos" w:hAnsi="Arial" w:cs="Arial"/>
          <w:sz w:val="20"/>
          <w:szCs w:val="20"/>
          <w14:ligatures w14:val="standardContextual"/>
        </w:rPr>
        <w:t>Sredstva se prerazporejajo na podlagi Dogovora o prenosu sredstev z namenom sofinanciranja izvedbe projekta mednarodnega razvojnega sodelovanja na področju izgradnje in optimizacije vodovodnega sistema v Bosni in Hercegovini, podpisanega oktobra 2025.</w:t>
      </w:r>
    </w:p>
    <w:p w14:paraId="22F3F9BE" w14:textId="77777777" w:rsidR="002C720B" w:rsidRDefault="002C720B" w:rsidP="009059DD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</w:p>
    <w:p w14:paraId="7FE701A3" w14:textId="2468851A" w:rsidR="002C720B" w:rsidRPr="002C720B" w:rsidRDefault="002C720B" w:rsidP="002C720B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2C720B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P2720-2026-0241</w:t>
      </w:r>
      <w:r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 </w:t>
      </w:r>
    </w:p>
    <w:p w14:paraId="5C36BE6D" w14:textId="3D0EC0E0" w:rsidR="002C720B" w:rsidRPr="002C720B" w:rsidRDefault="002C720B" w:rsidP="002C720B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  <w:r w:rsidRPr="002C720B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Ministrstvo za solidarno prihodnost predlaga prerazporeditev pravic porabe znotraj svojega finančnega načrta </w:t>
      </w:r>
      <w:r w:rsidR="00C238CC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v višini 454 tisoč EUR </w:t>
      </w:r>
      <w:r w:rsidRPr="002C720B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za zagotovitev rednega mesečnega izplačevanja pravic oskrbovalcev družinskih članov (ODČ) na podlagi Zakona o dolgotrajni oskrbi (ZDOsk-1). </w:t>
      </w:r>
      <w:r w:rsidRPr="002C720B">
        <w:rPr>
          <w:rFonts w:ascii="Arial" w:eastAsia="Aptos" w:hAnsi="Arial" w:cs="Arial"/>
          <w:sz w:val="20"/>
          <w:szCs w:val="20"/>
          <w14:ligatures w14:val="standardContextual"/>
        </w:rPr>
        <w:t>Sredstva so namenjena izplačevanju delnega plačila za izgubljeni dohodek oskrbovalca družinskega člana v višini 1,2-kratnika minimalne plače v Republiki Sloveniji oziroma v primeru oskrbe dveh oseb v višini 1,8-kratnika minimalne plače. Zaradi naraščanja števila upravičencev do pravice ODČ, se mesečno povečuje tudi obseg potrebnih sredstev.</w:t>
      </w:r>
    </w:p>
    <w:p w14:paraId="6CF4FDB0" w14:textId="77777777" w:rsidR="002C720B" w:rsidRDefault="002C720B" w:rsidP="009059DD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</w:p>
    <w:p w14:paraId="24120175" w14:textId="1B7DAC7B" w:rsidR="00845546" w:rsidRPr="00845546" w:rsidRDefault="00845546" w:rsidP="00845546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84554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P2720-2026-0306</w:t>
      </w:r>
    </w:p>
    <w:p w14:paraId="61CE9B3A" w14:textId="77777777" w:rsidR="00845546" w:rsidRDefault="00845546" w:rsidP="00845546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  <w:r w:rsidRPr="0084554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Ministrstvo za solidarno prihodnost predlaga prerazporeditev pravic porabe iz svojega finančnega načrta v finančni načrt Ministrstva za kulturo v višini 2.102.331,32 EUR </w:t>
      </w:r>
      <w:r w:rsidRPr="00845546">
        <w:rPr>
          <w:rFonts w:ascii="Arial" w:eastAsia="Aptos" w:hAnsi="Arial" w:cs="Arial"/>
          <w:sz w:val="20"/>
          <w:szCs w:val="20"/>
          <w14:ligatures w14:val="standardContextual"/>
        </w:rPr>
        <w:t>za zagotovitev sredstev za financiranje glasbene produkcije RTV Slovenija kot dela javne službe posebnega javnega, kulturnega in nacionalnega pomena, ki se skladno z Zakonom o Radioteleviziji Slovenija financira iz državnega proračuna.</w:t>
      </w:r>
    </w:p>
    <w:p w14:paraId="4640E3A3" w14:textId="77777777" w:rsidR="002C720B" w:rsidRDefault="002C720B" w:rsidP="00845546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</w:p>
    <w:p w14:paraId="4C5C4D32" w14:textId="302BD00E" w:rsidR="007B1B7D" w:rsidRPr="003743BF" w:rsidRDefault="003743BF" w:rsidP="007B1B7D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3743BF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P3150-2026-0418</w:t>
      </w:r>
      <w:r w:rsidR="007B1B7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 in </w:t>
      </w:r>
      <w:r w:rsidR="007B1B7D" w:rsidRPr="003743BF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P3150-2026-0419</w:t>
      </w:r>
    </w:p>
    <w:p w14:paraId="17038AD3" w14:textId="004470B2" w:rsidR="003743BF" w:rsidRPr="003743BF" w:rsidRDefault="003743BF" w:rsidP="003743BF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  <w:r w:rsidRPr="003743BF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Ministrstvo za digitalno preobrazbo predlaga prerazporeditev pravic porabe iz svojega finančnega načrta v finančni načrt Ministrstva za obrambo v </w:t>
      </w:r>
      <w:r w:rsidR="007B1B7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skupni </w:t>
      </w:r>
      <w:r w:rsidRPr="003743BF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višini 4</w:t>
      </w:r>
      <w:r w:rsidR="007B1B7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7.390</w:t>
      </w:r>
      <w:r w:rsidRPr="003743BF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,60 EUR </w:t>
      </w:r>
      <w:r w:rsidRPr="003743BF">
        <w:rPr>
          <w:rFonts w:ascii="Arial" w:eastAsia="Aptos" w:hAnsi="Arial" w:cs="Arial"/>
          <w:sz w:val="20"/>
          <w:szCs w:val="20"/>
          <w14:ligatures w14:val="standardContextual"/>
        </w:rPr>
        <w:t>za zagotovitev sredstev na podlagi sporazuma o prenosu 1 dovoljene zaposlitve v kadrovskem načrtu in prenosu finančnih sredstev stroškov za to zaposlitev iz MDP na MORS</w:t>
      </w:r>
      <w:r w:rsidR="007B1B7D">
        <w:rPr>
          <w:rFonts w:ascii="Arial" w:eastAsia="Aptos" w:hAnsi="Arial" w:cs="Arial"/>
          <w:sz w:val="20"/>
          <w:szCs w:val="20"/>
          <w14:ligatures w14:val="standardContextual"/>
        </w:rPr>
        <w:t>, in sicer: za plače</w:t>
      </w:r>
      <w:r w:rsidR="007B1B7D" w:rsidRPr="003743BF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 46.890,60</w:t>
      </w:r>
      <w:r w:rsidR="007B1B7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 E</w:t>
      </w:r>
      <w:r w:rsidR="007B1B7D" w:rsidRPr="003743BF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UR</w:t>
      </w:r>
      <w:r w:rsidR="007B1B7D">
        <w:rPr>
          <w:rFonts w:ascii="Arial" w:eastAsia="Aptos" w:hAnsi="Arial" w:cs="Arial"/>
          <w:sz w:val="20"/>
          <w:szCs w:val="20"/>
          <w14:ligatures w14:val="standardContextual"/>
        </w:rPr>
        <w:t xml:space="preserve"> in </w:t>
      </w:r>
      <w:r w:rsidR="007B1B7D" w:rsidRPr="007B1B7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500 EUR</w:t>
      </w:r>
      <w:r w:rsidR="007B1B7D">
        <w:rPr>
          <w:rFonts w:ascii="Arial" w:eastAsia="Aptos" w:hAnsi="Arial" w:cs="Arial"/>
          <w:sz w:val="20"/>
          <w:szCs w:val="20"/>
          <w14:ligatures w14:val="standardContextual"/>
        </w:rPr>
        <w:t xml:space="preserve"> materialnih stroškov za delovanje</w:t>
      </w:r>
      <w:r w:rsidRPr="003743BF">
        <w:rPr>
          <w:rFonts w:ascii="Arial" w:eastAsia="Aptos" w:hAnsi="Arial" w:cs="Arial"/>
          <w:sz w:val="20"/>
          <w:szCs w:val="20"/>
          <w14:ligatures w14:val="standardContextual"/>
        </w:rPr>
        <w:t>.</w:t>
      </w:r>
    </w:p>
    <w:p w14:paraId="1A9962F2" w14:textId="77777777" w:rsidR="007B1B7D" w:rsidRPr="003743BF" w:rsidRDefault="007B1B7D" w:rsidP="003743BF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</w:p>
    <w:p w14:paraId="13094D3F" w14:textId="77777777" w:rsidR="0024631D" w:rsidRPr="0024631D" w:rsidRDefault="0024631D" w:rsidP="0024631D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24631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P3150-2026-0426</w:t>
      </w:r>
    </w:p>
    <w:p w14:paraId="66E52E4B" w14:textId="77777777" w:rsidR="0024631D" w:rsidRPr="0024631D" w:rsidRDefault="0024631D" w:rsidP="0024631D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  <w:r w:rsidRPr="0024631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Ministrstvo za digitalno preobrazbo predlaga prerazporeditev pravic porabe iz svojega finančnega načrta v finančni načrt Ministrstva za zunanje in evropske zadeve v višini 4.590,85 </w:t>
      </w:r>
      <w:r w:rsidRPr="0024631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lastRenderedPageBreak/>
        <w:t>EUR</w:t>
      </w:r>
      <w:r w:rsidRPr="0024631D">
        <w:rPr>
          <w:rFonts w:ascii="Arial" w:eastAsia="Aptos" w:hAnsi="Arial" w:cs="Arial"/>
          <w:sz w:val="20"/>
          <w:szCs w:val="20"/>
          <w14:ligatures w14:val="standardContextual"/>
        </w:rPr>
        <w:t xml:space="preserve"> za zagotovitev sredstev za stroške naročnine za internet na SPBR (Stalno predstavništvo Republike Slovenije pri Evropski uniji v Bruslju).</w:t>
      </w:r>
    </w:p>
    <w:p w14:paraId="012DED3C" w14:textId="77777777" w:rsidR="0024631D" w:rsidRPr="0024631D" w:rsidRDefault="0024631D" w:rsidP="0024631D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:highlight w:val="yellow"/>
          <w14:ligatures w14:val="standardContextual"/>
        </w:rPr>
      </w:pPr>
    </w:p>
    <w:p w14:paraId="5D4FC7A9" w14:textId="03274370" w:rsidR="0024631D" w:rsidRPr="0024631D" w:rsidRDefault="0024631D" w:rsidP="0024631D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24631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P3340-2026-0513</w:t>
      </w:r>
    </w:p>
    <w:p w14:paraId="58AB83FF" w14:textId="77777777" w:rsidR="0024631D" w:rsidRPr="0024631D" w:rsidRDefault="0024631D" w:rsidP="0024631D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  <w:r w:rsidRPr="0024631D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Ministrstvo za kulturo predlaga prerazporeditev pravic porabe znotraj svojega finančnega načrta v višini 1.365.612,88</w:t>
      </w:r>
      <w:r w:rsidRPr="0024631D">
        <w:rPr>
          <w:rFonts w:ascii="Arial" w:eastAsia="Aptos" w:hAnsi="Arial" w:cs="Arial"/>
          <w:sz w:val="20"/>
          <w:szCs w:val="20"/>
          <w14:ligatures w14:val="standardContextual"/>
        </w:rPr>
        <w:t xml:space="preserve"> EUR za zagotovitev sredstev za financiranje glasbene produkcije RTV Slovenija kot dela javne službe posebnega javnega, kulturnega in nacionalnega pomena, ki se skladno z Zakonom o Radioteleviziji Slovenija financira iz državnega proračuna.</w:t>
      </w:r>
    </w:p>
    <w:p w14:paraId="67E9E61B" w14:textId="77777777" w:rsidR="0024631D" w:rsidRPr="003743BF" w:rsidRDefault="0024631D" w:rsidP="003743BF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</w:p>
    <w:sectPr w:rsidR="0024631D" w:rsidRPr="0037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D2A84"/>
    <w:multiLevelType w:val="hybridMultilevel"/>
    <w:tmpl w:val="E6363170"/>
    <w:lvl w:ilvl="0" w:tplc="550AF8E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D36"/>
    <w:multiLevelType w:val="hybridMultilevel"/>
    <w:tmpl w:val="0EE6FBA0"/>
    <w:lvl w:ilvl="0" w:tplc="0ACEC6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30198">
    <w:abstractNumId w:val="0"/>
  </w:num>
  <w:num w:numId="2" w16cid:durableId="1701785584">
    <w:abstractNumId w:val="7"/>
  </w:num>
  <w:num w:numId="3" w16cid:durableId="947588116">
    <w:abstractNumId w:val="6"/>
  </w:num>
  <w:num w:numId="4" w16cid:durableId="507868166">
    <w:abstractNumId w:val="8"/>
  </w:num>
  <w:num w:numId="5" w16cid:durableId="2052220649">
    <w:abstractNumId w:val="9"/>
  </w:num>
  <w:num w:numId="6" w16cid:durableId="805273455">
    <w:abstractNumId w:val="3"/>
  </w:num>
  <w:num w:numId="7" w16cid:durableId="1896624188">
    <w:abstractNumId w:val="1"/>
  </w:num>
  <w:num w:numId="8" w16cid:durableId="426464080">
    <w:abstractNumId w:val="4"/>
  </w:num>
  <w:num w:numId="9" w16cid:durableId="1759595027">
    <w:abstractNumId w:val="2"/>
  </w:num>
  <w:num w:numId="10" w16cid:durableId="1853062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425E"/>
    <w:rsid w:val="00012FD1"/>
    <w:rsid w:val="000155B2"/>
    <w:rsid w:val="00016D01"/>
    <w:rsid w:val="00020C40"/>
    <w:rsid w:val="00025CA0"/>
    <w:rsid w:val="00025DE2"/>
    <w:rsid w:val="0006489C"/>
    <w:rsid w:val="00071B64"/>
    <w:rsid w:val="0007502B"/>
    <w:rsid w:val="0008116C"/>
    <w:rsid w:val="0008649E"/>
    <w:rsid w:val="0009076D"/>
    <w:rsid w:val="000924B3"/>
    <w:rsid w:val="000A0DBE"/>
    <w:rsid w:val="000A5835"/>
    <w:rsid w:val="000D091E"/>
    <w:rsid w:val="000D4F1F"/>
    <w:rsid w:val="000D7C06"/>
    <w:rsid w:val="000E6D58"/>
    <w:rsid w:val="000F365E"/>
    <w:rsid w:val="000F526D"/>
    <w:rsid w:val="001024C7"/>
    <w:rsid w:val="00105FA2"/>
    <w:rsid w:val="00106975"/>
    <w:rsid w:val="001075DF"/>
    <w:rsid w:val="00153066"/>
    <w:rsid w:val="001613C0"/>
    <w:rsid w:val="0017663D"/>
    <w:rsid w:val="0018631E"/>
    <w:rsid w:val="001915B6"/>
    <w:rsid w:val="001973E4"/>
    <w:rsid w:val="001C17E4"/>
    <w:rsid w:val="001C4E62"/>
    <w:rsid w:val="001D0ECC"/>
    <w:rsid w:val="001D4672"/>
    <w:rsid w:val="001D63C9"/>
    <w:rsid w:val="001E00FA"/>
    <w:rsid w:val="001E41D0"/>
    <w:rsid w:val="00200C0E"/>
    <w:rsid w:val="00203EC6"/>
    <w:rsid w:val="002060FE"/>
    <w:rsid w:val="00212BD2"/>
    <w:rsid w:val="002156D3"/>
    <w:rsid w:val="00215D64"/>
    <w:rsid w:val="00220564"/>
    <w:rsid w:val="00226824"/>
    <w:rsid w:val="0023249F"/>
    <w:rsid w:val="002362CB"/>
    <w:rsid w:val="00245FD3"/>
    <w:rsid w:val="0024631D"/>
    <w:rsid w:val="00251949"/>
    <w:rsid w:val="00260974"/>
    <w:rsid w:val="00266C50"/>
    <w:rsid w:val="00281B22"/>
    <w:rsid w:val="002A2C84"/>
    <w:rsid w:val="002A6A82"/>
    <w:rsid w:val="002B1182"/>
    <w:rsid w:val="002B5889"/>
    <w:rsid w:val="002C4934"/>
    <w:rsid w:val="002C720B"/>
    <w:rsid w:val="002D182C"/>
    <w:rsid w:val="002D325A"/>
    <w:rsid w:val="002D6B74"/>
    <w:rsid w:val="002D6FF7"/>
    <w:rsid w:val="002E14F0"/>
    <w:rsid w:val="002E54A6"/>
    <w:rsid w:val="002F2825"/>
    <w:rsid w:val="002F42EE"/>
    <w:rsid w:val="002F4954"/>
    <w:rsid w:val="002F65B7"/>
    <w:rsid w:val="00321A64"/>
    <w:rsid w:val="00323FB4"/>
    <w:rsid w:val="0032623C"/>
    <w:rsid w:val="00337048"/>
    <w:rsid w:val="00343927"/>
    <w:rsid w:val="003505D9"/>
    <w:rsid w:val="003563A0"/>
    <w:rsid w:val="00364269"/>
    <w:rsid w:val="00365230"/>
    <w:rsid w:val="003743BF"/>
    <w:rsid w:val="0037725A"/>
    <w:rsid w:val="00384E5B"/>
    <w:rsid w:val="0038726D"/>
    <w:rsid w:val="0039290B"/>
    <w:rsid w:val="003A0D04"/>
    <w:rsid w:val="003A1D0C"/>
    <w:rsid w:val="003A7DB1"/>
    <w:rsid w:val="003B266C"/>
    <w:rsid w:val="003B6704"/>
    <w:rsid w:val="003E19ED"/>
    <w:rsid w:val="003F01B1"/>
    <w:rsid w:val="003F47F0"/>
    <w:rsid w:val="003F76A3"/>
    <w:rsid w:val="00421971"/>
    <w:rsid w:val="00432AE7"/>
    <w:rsid w:val="00437B60"/>
    <w:rsid w:val="004406EB"/>
    <w:rsid w:val="004424B3"/>
    <w:rsid w:val="004513E8"/>
    <w:rsid w:val="00465A50"/>
    <w:rsid w:val="00475BC7"/>
    <w:rsid w:val="004821EB"/>
    <w:rsid w:val="004842E4"/>
    <w:rsid w:val="004873D7"/>
    <w:rsid w:val="00493F3E"/>
    <w:rsid w:val="00494D6D"/>
    <w:rsid w:val="004A3D3E"/>
    <w:rsid w:val="004A65C0"/>
    <w:rsid w:val="004B057F"/>
    <w:rsid w:val="004B2195"/>
    <w:rsid w:val="004B6D2C"/>
    <w:rsid w:val="004C2BDF"/>
    <w:rsid w:val="004C410D"/>
    <w:rsid w:val="004D00DE"/>
    <w:rsid w:val="004E6B1B"/>
    <w:rsid w:val="004F6670"/>
    <w:rsid w:val="00501DCB"/>
    <w:rsid w:val="00505891"/>
    <w:rsid w:val="00525017"/>
    <w:rsid w:val="005328EC"/>
    <w:rsid w:val="00540AED"/>
    <w:rsid w:val="00541DE9"/>
    <w:rsid w:val="00544674"/>
    <w:rsid w:val="00560B08"/>
    <w:rsid w:val="00570ADC"/>
    <w:rsid w:val="0058069C"/>
    <w:rsid w:val="00586E7C"/>
    <w:rsid w:val="00596CFF"/>
    <w:rsid w:val="00597BDE"/>
    <w:rsid w:val="005A374F"/>
    <w:rsid w:val="005A5E12"/>
    <w:rsid w:val="005B058A"/>
    <w:rsid w:val="005B4265"/>
    <w:rsid w:val="005C140D"/>
    <w:rsid w:val="005C1ED7"/>
    <w:rsid w:val="005D19F4"/>
    <w:rsid w:val="005D300A"/>
    <w:rsid w:val="005D7915"/>
    <w:rsid w:val="005E0986"/>
    <w:rsid w:val="005F29D4"/>
    <w:rsid w:val="00600E50"/>
    <w:rsid w:val="0062126D"/>
    <w:rsid w:val="00621936"/>
    <w:rsid w:val="00624F0F"/>
    <w:rsid w:val="00627382"/>
    <w:rsid w:val="00636924"/>
    <w:rsid w:val="006420E3"/>
    <w:rsid w:val="00655687"/>
    <w:rsid w:val="00660A39"/>
    <w:rsid w:val="006849B6"/>
    <w:rsid w:val="006927AA"/>
    <w:rsid w:val="00695EC3"/>
    <w:rsid w:val="006A2DC6"/>
    <w:rsid w:val="006B156E"/>
    <w:rsid w:val="006B4E0A"/>
    <w:rsid w:val="006C27AB"/>
    <w:rsid w:val="006C2917"/>
    <w:rsid w:val="006C384E"/>
    <w:rsid w:val="006E3A80"/>
    <w:rsid w:val="00700758"/>
    <w:rsid w:val="007017B9"/>
    <w:rsid w:val="00702D2F"/>
    <w:rsid w:val="00713CCD"/>
    <w:rsid w:val="0072038C"/>
    <w:rsid w:val="0072699F"/>
    <w:rsid w:val="007275BC"/>
    <w:rsid w:val="00741223"/>
    <w:rsid w:val="00744ADC"/>
    <w:rsid w:val="00750F46"/>
    <w:rsid w:val="007513F5"/>
    <w:rsid w:val="00754B44"/>
    <w:rsid w:val="00760777"/>
    <w:rsid w:val="00787DC3"/>
    <w:rsid w:val="00792E6B"/>
    <w:rsid w:val="00795926"/>
    <w:rsid w:val="007A347E"/>
    <w:rsid w:val="007B1B7D"/>
    <w:rsid w:val="007B520D"/>
    <w:rsid w:val="007B633B"/>
    <w:rsid w:val="007C05C9"/>
    <w:rsid w:val="007C765D"/>
    <w:rsid w:val="007C7CCD"/>
    <w:rsid w:val="007D06C3"/>
    <w:rsid w:val="007D56FE"/>
    <w:rsid w:val="00830CE8"/>
    <w:rsid w:val="00845546"/>
    <w:rsid w:val="008509CC"/>
    <w:rsid w:val="008607AC"/>
    <w:rsid w:val="00864A76"/>
    <w:rsid w:val="00870938"/>
    <w:rsid w:val="00890AD6"/>
    <w:rsid w:val="008A1D77"/>
    <w:rsid w:val="008C1676"/>
    <w:rsid w:val="008C4B6A"/>
    <w:rsid w:val="008E4D4B"/>
    <w:rsid w:val="008F210F"/>
    <w:rsid w:val="008F65EB"/>
    <w:rsid w:val="008F7A8B"/>
    <w:rsid w:val="009059DD"/>
    <w:rsid w:val="009130F8"/>
    <w:rsid w:val="00947590"/>
    <w:rsid w:val="00950B6F"/>
    <w:rsid w:val="0095492C"/>
    <w:rsid w:val="0096112A"/>
    <w:rsid w:val="00990888"/>
    <w:rsid w:val="00990936"/>
    <w:rsid w:val="00991AAC"/>
    <w:rsid w:val="009A14FD"/>
    <w:rsid w:val="009A7474"/>
    <w:rsid w:val="009B1E42"/>
    <w:rsid w:val="009C3FDB"/>
    <w:rsid w:val="009C4A5A"/>
    <w:rsid w:val="009D6A3B"/>
    <w:rsid w:val="009E10BF"/>
    <w:rsid w:val="009E5D8E"/>
    <w:rsid w:val="00A049F9"/>
    <w:rsid w:val="00A13AB1"/>
    <w:rsid w:val="00A163D2"/>
    <w:rsid w:val="00A20B2D"/>
    <w:rsid w:val="00A22508"/>
    <w:rsid w:val="00A26C31"/>
    <w:rsid w:val="00A30A4D"/>
    <w:rsid w:val="00A30F28"/>
    <w:rsid w:val="00A37433"/>
    <w:rsid w:val="00A537E7"/>
    <w:rsid w:val="00A55D88"/>
    <w:rsid w:val="00A5725B"/>
    <w:rsid w:val="00A70F8A"/>
    <w:rsid w:val="00A840FD"/>
    <w:rsid w:val="00A87E0A"/>
    <w:rsid w:val="00A977BC"/>
    <w:rsid w:val="00A978BC"/>
    <w:rsid w:val="00AA2D0F"/>
    <w:rsid w:val="00AB0436"/>
    <w:rsid w:val="00AB2060"/>
    <w:rsid w:val="00AC0154"/>
    <w:rsid w:val="00AC0FF8"/>
    <w:rsid w:val="00AC69DF"/>
    <w:rsid w:val="00AE0659"/>
    <w:rsid w:val="00AE11EA"/>
    <w:rsid w:val="00AE1F83"/>
    <w:rsid w:val="00AE5998"/>
    <w:rsid w:val="00AF004F"/>
    <w:rsid w:val="00AF4EE9"/>
    <w:rsid w:val="00AF519F"/>
    <w:rsid w:val="00B02139"/>
    <w:rsid w:val="00B0355B"/>
    <w:rsid w:val="00B123D0"/>
    <w:rsid w:val="00B162F4"/>
    <w:rsid w:val="00B20C22"/>
    <w:rsid w:val="00B25BAA"/>
    <w:rsid w:val="00B379A0"/>
    <w:rsid w:val="00B504BE"/>
    <w:rsid w:val="00B52E8A"/>
    <w:rsid w:val="00B55B74"/>
    <w:rsid w:val="00B64622"/>
    <w:rsid w:val="00B65E9A"/>
    <w:rsid w:val="00B71B05"/>
    <w:rsid w:val="00B772CF"/>
    <w:rsid w:val="00B94B22"/>
    <w:rsid w:val="00BA0810"/>
    <w:rsid w:val="00BA62D1"/>
    <w:rsid w:val="00BA6715"/>
    <w:rsid w:val="00BB0363"/>
    <w:rsid w:val="00BB79E6"/>
    <w:rsid w:val="00BC03F4"/>
    <w:rsid w:val="00BC1355"/>
    <w:rsid w:val="00BC2B68"/>
    <w:rsid w:val="00BC4A51"/>
    <w:rsid w:val="00BC4D36"/>
    <w:rsid w:val="00BE2B04"/>
    <w:rsid w:val="00C0746B"/>
    <w:rsid w:val="00C11AA5"/>
    <w:rsid w:val="00C1732B"/>
    <w:rsid w:val="00C20109"/>
    <w:rsid w:val="00C238CC"/>
    <w:rsid w:val="00C24B2C"/>
    <w:rsid w:val="00C27281"/>
    <w:rsid w:val="00C34E04"/>
    <w:rsid w:val="00C34EE8"/>
    <w:rsid w:val="00C4004E"/>
    <w:rsid w:val="00C44C5F"/>
    <w:rsid w:val="00C46DEF"/>
    <w:rsid w:val="00C57917"/>
    <w:rsid w:val="00C6482E"/>
    <w:rsid w:val="00C64949"/>
    <w:rsid w:val="00C768C7"/>
    <w:rsid w:val="00C92677"/>
    <w:rsid w:val="00CA3360"/>
    <w:rsid w:val="00CA5769"/>
    <w:rsid w:val="00CA6246"/>
    <w:rsid w:val="00CA6D43"/>
    <w:rsid w:val="00CA6DEE"/>
    <w:rsid w:val="00CB018F"/>
    <w:rsid w:val="00CB7DE6"/>
    <w:rsid w:val="00CD3806"/>
    <w:rsid w:val="00CF058E"/>
    <w:rsid w:val="00D10228"/>
    <w:rsid w:val="00D31741"/>
    <w:rsid w:val="00D56765"/>
    <w:rsid w:val="00D5748F"/>
    <w:rsid w:val="00D57652"/>
    <w:rsid w:val="00D606DF"/>
    <w:rsid w:val="00D61BDD"/>
    <w:rsid w:val="00D66E42"/>
    <w:rsid w:val="00D66EA4"/>
    <w:rsid w:val="00D96DBB"/>
    <w:rsid w:val="00D97520"/>
    <w:rsid w:val="00DB7110"/>
    <w:rsid w:val="00DD6580"/>
    <w:rsid w:val="00E03494"/>
    <w:rsid w:val="00E06958"/>
    <w:rsid w:val="00E24A03"/>
    <w:rsid w:val="00E25016"/>
    <w:rsid w:val="00E25B15"/>
    <w:rsid w:val="00E30B7E"/>
    <w:rsid w:val="00E5015A"/>
    <w:rsid w:val="00E7696F"/>
    <w:rsid w:val="00E87096"/>
    <w:rsid w:val="00E8796F"/>
    <w:rsid w:val="00ED0AA8"/>
    <w:rsid w:val="00ED3AD3"/>
    <w:rsid w:val="00ED5483"/>
    <w:rsid w:val="00EE2070"/>
    <w:rsid w:val="00EE3A40"/>
    <w:rsid w:val="00EF78C1"/>
    <w:rsid w:val="00EF7AC6"/>
    <w:rsid w:val="00F03EB7"/>
    <w:rsid w:val="00F04343"/>
    <w:rsid w:val="00F062B9"/>
    <w:rsid w:val="00F1692B"/>
    <w:rsid w:val="00F31D6B"/>
    <w:rsid w:val="00F322B6"/>
    <w:rsid w:val="00F3474F"/>
    <w:rsid w:val="00F35A97"/>
    <w:rsid w:val="00F65C1E"/>
    <w:rsid w:val="00F73CC3"/>
    <w:rsid w:val="00F80F40"/>
    <w:rsid w:val="00F842A8"/>
    <w:rsid w:val="00F84EE8"/>
    <w:rsid w:val="00F935BB"/>
    <w:rsid w:val="00F945E2"/>
    <w:rsid w:val="00FA133B"/>
    <w:rsid w:val="00FB1404"/>
    <w:rsid w:val="00FB20CB"/>
    <w:rsid w:val="00FB397B"/>
    <w:rsid w:val="00FC0553"/>
    <w:rsid w:val="00FC1BCB"/>
    <w:rsid w:val="00FC5FB8"/>
    <w:rsid w:val="00FC7849"/>
    <w:rsid w:val="00FD34CE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B7D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F80F4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F80F40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seznama1">
    <w:name w:val="Odstavek seznama1"/>
    <w:basedOn w:val="Navaden"/>
    <w:qFormat/>
    <w:rsid w:val="00F80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563A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3563A0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563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C1BC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C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gs@gov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Teja Bevc</cp:lastModifiedBy>
  <cp:revision>16</cp:revision>
  <cp:lastPrinted>2026-05-20T08:51:00Z</cp:lastPrinted>
  <dcterms:created xsi:type="dcterms:W3CDTF">2026-05-27T06:36:00Z</dcterms:created>
  <dcterms:modified xsi:type="dcterms:W3CDTF">2026-06-01T11:25:00Z</dcterms:modified>
</cp:coreProperties>
</file>