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02618" w14:textId="77777777" w:rsidR="00223506" w:rsidRDefault="00A97F7A" w:rsidP="00223506">
      <w:pPr>
        <w:pStyle w:val="TechnicalBlock"/>
        <w:ind w:left="-1134" w:right="-1134"/>
      </w:pPr>
      <w:bookmarkStart w:id="0" w:name="DW_BM_COVERPAGE"/>
      <w:bookmarkStart w:id="1" w:name="LW_BM_COVERPAGE"/>
      <w:bookmarkStart w:id="2" w:name="_GoBack"/>
      <w:bookmarkEnd w:id="2"/>
      <w:r>
        <w:pict w14:anchorId="3DD17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0649/22.&#10;Subject Codes: POLCOM 68 WTO 126 SERVICES 8 FDI 9 COMER 81 ENV 664 SOC 402 COMPET 543 DEVGEN 131 RELEX 883.&#10;Heading: SPREMNI DOPIS.&#10;Originator: za generalno sekretarko Evropske komisije: direktorica Martine DEPREZ.&#10;Recipient: Generalni sekretariat Sveta.&#10;Subject: SPOROČILO KOMISIJE EVROPSKEMU PARLAMENTU, SVETU, EVROPSKEMU EKONOMSKO-SOCIALNEMU ODBORU IN ODBORU REGIJ Moč trgovinskih partnerstev: skupaj za zeleno in pravično gospodarsko rast.&#10;Commission Document Number: COM(2022) 409 final.&#10;Preceeding Document Number: Not Set.&#10;Location: Bruselj.&#10;Date: 23. junij 2022.&#10;Interinstitutional Files: Not Set.&#10;Institutional Framework: Svet Evropske unije.&#10;Language: SL.&#10;Distribution Code: PUBLIC.&#10;GUID: 5610343178963826270_0" style="width:568.5pt;height:474pt">
            <v:imagedata r:id="rId8" o:title=""/>
          </v:shape>
        </w:pict>
      </w:r>
      <w:bookmarkEnd w:id="0"/>
    </w:p>
    <w:p w14:paraId="4EB1CD50" w14:textId="6364869B" w:rsidR="00223506" w:rsidRDefault="00223506" w:rsidP="00223506">
      <w:pPr>
        <w:pStyle w:val="EntText"/>
        <w:spacing w:before="480"/>
      </w:pPr>
      <w:r w:rsidRPr="00223506">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223506">
        <w:instrText>COM(2022) 409 final</w:instrText>
      </w:r>
      <w:r>
        <w:instrText xml:space="preserve">" </w:instrText>
      </w:r>
      <w:r>
        <w:fldChar w:fldCharType="separate"/>
      </w:r>
      <w:r w:rsidRPr="00223506">
        <w:t>COM(2022) 409 final</w:t>
      </w:r>
      <w:r>
        <w:fldChar w:fldCharType="end"/>
      </w:r>
      <w:r w:rsidRPr="00223506">
        <w:t>.</w:t>
      </w:r>
    </w:p>
    <w:p w14:paraId="27223D9B" w14:textId="77777777" w:rsidR="00223506" w:rsidRDefault="00223506" w:rsidP="00223506">
      <w:pPr>
        <w:pStyle w:val="Lignefinal"/>
      </w:pPr>
    </w:p>
    <w:p w14:paraId="5B4240C2" w14:textId="1CD34142" w:rsidR="00223506" w:rsidRDefault="00223506" w:rsidP="00223506">
      <w:pPr>
        <w:pStyle w:val="pj"/>
        <w:spacing w:before="120"/>
      </w:pPr>
      <w:r w:rsidRPr="00223506">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223506">
        <w:instrText>COM(2022) 409 final</w:instrText>
      </w:r>
      <w:r>
        <w:instrText xml:space="preserve">" </w:instrText>
      </w:r>
      <w:r>
        <w:fldChar w:fldCharType="separate"/>
      </w:r>
      <w:r w:rsidRPr="00223506">
        <w:t>COM(2022) 409 final</w:t>
      </w:r>
      <w:r>
        <w:fldChar w:fldCharType="end"/>
      </w:r>
    </w:p>
    <w:p w14:paraId="15396DEE" w14:textId="77777777" w:rsidR="00223506" w:rsidRDefault="00223506" w:rsidP="00223506">
      <w:pPr>
        <w:rPr>
          <w:noProof/>
        </w:rPr>
        <w:sectPr w:rsidR="00223506" w:rsidSect="00223506">
          <w:headerReference w:type="default" r:id="rId9"/>
          <w:footerReference w:type="default" r:id="rId10"/>
          <w:headerReference w:type="first" r:id="rId11"/>
          <w:footerReference w:type="first" r:id="rId12"/>
          <w:pgSz w:w="11900" w:h="16840"/>
          <w:pgMar w:top="624" w:right="1134" w:bottom="1134" w:left="1134" w:header="567" w:footer="567" w:gutter="0"/>
          <w:pgNumType w:start="0"/>
          <w:cols w:space="720"/>
          <w:titlePg/>
          <w:docGrid w:linePitch="326"/>
        </w:sectPr>
      </w:pPr>
    </w:p>
    <w:p w14:paraId="58B4D3FE" w14:textId="5BC7A608" w:rsidR="00EF4B8E" w:rsidRPr="005E2190" w:rsidRDefault="000F2426" w:rsidP="006F7A5A">
      <w:pPr>
        <w:pStyle w:val="Pagedecouverture"/>
        <w:rPr>
          <w:noProof/>
        </w:rPr>
      </w:pPr>
      <w:r>
        <w:rPr>
          <w:noProof/>
          <w:lang w:val="en-GB" w:eastAsia="en-GB"/>
        </w:rPr>
        <w:lastRenderedPageBreak/>
        <w:drawing>
          <wp:inline distT="0" distB="0" distL="0" distR="0" wp14:anchorId="5DE0F92E" wp14:editId="2EFE67E5">
            <wp:extent cx="5781675" cy="3943350"/>
            <wp:effectExtent l="0" t="0" r="9525" b="0"/>
            <wp:docPr id="1" name="Picture 1" descr="3D6ACDFA-1EAE-4840-921D-D42CB9D7EF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6ACDFA-1EAE-4840-921D-D42CB9D7EF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1675" cy="3943350"/>
                    </a:xfrm>
                    <a:prstGeom prst="rect">
                      <a:avLst/>
                    </a:prstGeom>
                    <a:noFill/>
                    <a:ln>
                      <a:noFill/>
                    </a:ln>
                  </pic:spPr>
                </pic:pic>
              </a:graphicData>
            </a:graphic>
          </wp:inline>
        </w:drawing>
      </w:r>
    </w:p>
    <w:bookmarkEnd w:id="1"/>
    <w:p w14:paraId="412ED0CA" w14:textId="77777777" w:rsidR="00EF4B8E" w:rsidRPr="005E2190" w:rsidRDefault="00EF4B8E" w:rsidP="00EF4B8E">
      <w:pPr>
        <w:rPr>
          <w:noProof/>
        </w:rPr>
        <w:sectPr w:rsidR="00EF4B8E" w:rsidRPr="005E2190" w:rsidSect="006F7A5A">
          <w:headerReference w:type="even" r:id="rId14"/>
          <w:headerReference w:type="default" r:id="rId15"/>
          <w:footerReference w:type="even" r:id="rId16"/>
          <w:footerReference w:type="default" r:id="rId17"/>
          <w:headerReference w:type="first" r:id="rId18"/>
          <w:footerReference w:type="first" r:id="rId19"/>
          <w:pgSz w:w="11900" w:h="16840"/>
          <w:pgMar w:top="1134" w:right="1417" w:bottom="1134" w:left="1417" w:header="709" w:footer="709" w:gutter="0"/>
          <w:pgNumType w:start="0"/>
          <w:cols w:space="720"/>
          <w:docGrid w:linePitch="326"/>
        </w:sectPr>
      </w:pPr>
    </w:p>
    <w:p w14:paraId="721BB145" w14:textId="5374C177" w:rsidR="007E6F5E" w:rsidRPr="005E2190" w:rsidRDefault="00336C0A" w:rsidP="006475C1">
      <w:pPr>
        <w:pStyle w:val="ListParagraph"/>
        <w:numPr>
          <w:ilvl w:val="0"/>
          <w:numId w:val="2"/>
        </w:numPr>
        <w:spacing w:after="240"/>
        <w:ind w:left="714" w:hanging="357"/>
        <w:jc w:val="both"/>
        <w:rPr>
          <w:rFonts w:ascii="Times New Roman" w:hAnsi="Times New Roman" w:cs="Times New Roman"/>
          <w:b/>
          <w:smallCaps/>
          <w:noProof/>
          <w:sz w:val="24"/>
          <w:szCs w:val="24"/>
        </w:rPr>
      </w:pPr>
      <w:r w:rsidRPr="005E2190">
        <w:rPr>
          <w:rFonts w:ascii="Times New Roman" w:hAnsi="Times New Roman"/>
          <w:b/>
          <w:smallCaps/>
          <w:noProof/>
          <w:sz w:val="24"/>
        </w:rPr>
        <w:lastRenderedPageBreak/>
        <w:t>Uvod</w:t>
      </w:r>
    </w:p>
    <w:p w14:paraId="48F32541" w14:textId="77777777" w:rsidR="00365171" w:rsidRPr="005E2190" w:rsidRDefault="00CD63F0" w:rsidP="003D6C12">
      <w:pPr>
        <w:pStyle w:val="gmail-body"/>
        <w:shd w:val="clear" w:color="auto" w:fill="FFFFFF"/>
        <w:spacing w:before="0" w:after="160" w:line="235" w:lineRule="atLeast"/>
        <w:jc w:val="both"/>
        <w:rPr>
          <w:rFonts w:cs="Times New Roman"/>
          <w:bCs/>
          <w:noProof/>
        </w:rPr>
      </w:pPr>
      <w:r w:rsidRPr="005E2190">
        <w:rPr>
          <w:b/>
          <w:noProof/>
        </w:rPr>
        <w:t>EU je odločno zavezana spodbujanju trajnostnosti s svojimi trgovinskimi sporazumi</w:t>
      </w:r>
      <w:r w:rsidRPr="005E2190">
        <w:rPr>
          <w:noProof/>
        </w:rPr>
        <w:t xml:space="preserve">, da bi gospodarsko rast spremljalo varstvo človekovih pravic, dostojnega dela, podnebja in okolja ter da bi se obenem v celoti spoštovale vrednote in prioritete Unije. V sedanjih geopolitičnih razmerah, ki jih zaznamuje povečana nestabilnost, mora EU kot zanesljiva partnerica okrepiti sodelovanje s tretjimi državami. Trgovinska politika EU je trden okvir za sodelovanje s trgovinskimi partnerji pri vprašanjih trajnostnosti, povezanih s trgovino. Ta pristop temelji na mednarodnih delovnih in okoljskih pravilih ter strukturiranih in preglednih postopkih, v katere je vključena civilna družba. </w:t>
      </w:r>
    </w:p>
    <w:p w14:paraId="25003E9E" w14:textId="3844F837" w:rsidR="003D6C12" w:rsidRPr="005E2190" w:rsidRDefault="00336C0A" w:rsidP="003D6C12">
      <w:pPr>
        <w:pStyle w:val="gmail-body"/>
        <w:shd w:val="clear" w:color="auto" w:fill="FFFFFF"/>
        <w:spacing w:before="0" w:after="160" w:line="235" w:lineRule="atLeast"/>
        <w:jc w:val="both"/>
        <w:rPr>
          <w:rStyle w:val="None"/>
          <w:rFonts w:cs="Times New Roman"/>
          <w:noProof/>
        </w:rPr>
      </w:pPr>
      <w:r w:rsidRPr="005E2190">
        <w:rPr>
          <w:b/>
          <w:noProof/>
        </w:rPr>
        <w:t>To sporočilo opisuje, kako lahko trgovinski sporazumi še bolj prispevajo k trajnostnemu razvoju</w:t>
      </w:r>
      <w:r w:rsidRPr="005E2190">
        <w:rPr>
          <w:noProof/>
        </w:rPr>
        <w:t>. Vsi sodobni trgovinski sporazumi EU že vključujejo poglavja o trgovini in trajnostnem razvoju. Akcijski načrt v 15 točkah od leta 2018 usmerja njihovo okrepljeno izvajanje in izvrševanje</w:t>
      </w:r>
      <w:r w:rsidRPr="005E2190">
        <w:rPr>
          <w:rFonts w:cs="Times New Roman"/>
          <w:noProof/>
          <w:vertAlign w:val="superscript"/>
        </w:rPr>
        <w:footnoteReference w:id="2"/>
      </w:r>
      <w:r w:rsidRPr="005E2190">
        <w:rPr>
          <w:noProof/>
        </w:rPr>
        <w:t xml:space="preserve">. Komisija je junija 2021 začela </w:t>
      </w:r>
      <w:r w:rsidRPr="005E2190">
        <w:rPr>
          <w:b/>
          <w:noProof/>
        </w:rPr>
        <w:t>poglobljeni pregled</w:t>
      </w:r>
      <w:r w:rsidRPr="005E2190">
        <w:rPr>
          <w:noProof/>
        </w:rPr>
        <w:t xml:space="preserve">, da bi </w:t>
      </w:r>
      <w:r w:rsidRPr="005E2190">
        <w:rPr>
          <w:b/>
          <w:noProof/>
        </w:rPr>
        <w:t>okrepila zmožnost celotnih trgovinskih sporazumov</w:t>
      </w:r>
      <w:r w:rsidRPr="005E2190">
        <w:rPr>
          <w:noProof/>
        </w:rPr>
        <w:t xml:space="preserve"> (in ne le njihovih poglavij o trgovini in trajnostnem razvoju) </w:t>
      </w:r>
      <w:r w:rsidRPr="005E2190">
        <w:rPr>
          <w:b/>
          <w:noProof/>
        </w:rPr>
        <w:t>za podpiranje trajnostne trgovine v sodelovanju s trgovinskimi partnerji</w:t>
      </w:r>
      <w:r w:rsidRPr="005E2190">
        <w:rPr>
          <w:noProof/>
        </w:rPr>
        <w:t xml:space="preserve"> in </w:t>
      </w:r>
      <w:r w:rsidRPr="005E2190">
        <w:rPr>
          <w:b/>
          <w:noProof/>
        </w:rPr>
        <w:t>v ubranosti z drugimi ustreznimi instrumenti politike EU, vključno z evropskim zelenim dogovorom</w:t>
      </w:r>
      <w:r w:rsidRPr="005E2190">
        <w:rPr>
          <w:rStyle w:val="FootnoteReference"/>
          <w:rFonts w:cs="Times New Roman"/>
          <w:noProof/>
        </w:rPr>
        <w:footnoteReference w:id="3"/>
      </w:r>
      <w:r w:rsidRPr="005E2190">
        <w:rPr>
          <w:rStyle w:val="FootnoteReference"/>
          <w:rFonts w:cs="Times New Roman"/>
          <w:noProof/>
        </w:rPr>
        <w:footnoteReference w:id="4"/>
      </w:r>
      <w:r w:rsidRPr="005E2190">
        <w:rPr>
          <w:noProof/>
        </w:rPr>
        <w:t>.</w:t>
      </w:r>
    </w:p>
    <w:p w14:paraId="22D4C2FC" w14:textId="50E1F737" w:rsidR="007E6F5E" w:rsidRPr="005E2190" w:rsidRDefault="51664043" w:rsidP="00784DDB">
      <w:pPr>
        <w:pStyle w:val="gmail-body"/>
        <w:shd w:val="clear" w:color="auto" w:fill="FFFFFF" w:themeFill="background1"/>
        <w:spacing w:after="160" w:line="235" w:lineRule="atLeast"/>
        <w:jc w:val="both"/>
        <w:rPr>
          <w:rFonts w:cs="Times New Roman"/>
          <w:noProof/>
        </w:rPr>
      </w:pPr>
      <w:r w:rsidRPr="005E2190">
        <w:rPr>
          <w:rStyle w:val="None"/>
          <w:noProof/>
        </w:rPr>
        <w:t xml:space="preserve">Komisija je v okviru pregleda naročila </w:t>
      </w:r>
      <w:r w:rsidRPr="005E2190">
        <w:rPr>
          <w:rStyle w:val="None"/>
          <w:b/>
          <w:noProof/>
        </w:rPr>
        <w:t>neodvisno primerjalno študijo</w:t>
      </w:r>
      <w:r w:rsidRPr="005E2190">
        <w:rPr>
          <w:rStyle w:val="None"/>
          <w:noProof/>
        </w:rPr>
        <w:t xml:space="preserve"> praks na področju trgovine in trajnostnega razvoja v trgovinskih sporazumih tretjih držav, v kateri je bilo potrjeno, da je EU ena od pionirk in ključnih vodilnih akterk pri spodbujanju trajnostnosti prek svojih trgovinskih sporazumov</w:t>
      </w:r>
      <w:r w:rsidRPr="005E2190">
        <w:rPr>
          <w:rStyle w:val="None"/>
          <w:rFonts w:cs="Times New Roman"/>
          <w:noProof/>
          <w:vertAlign w:val="superscript"/>
        </w:rPr>
        <w:footnoteReference w:id="5"/>
      </w:r>
      <w:r w:rsidRPr="005E2190">
        <w:rPr>
          <w:rStyle w:val="None"/>
          <w:noProof/>
        </w:rPr>
        <w:t xml:space="preserve">. Da bi zbrala prispevke čim širšega kroga državljank in državljanov ter deležnikov, je Komisija izvedla tudi </w:t>
      </w:r>
      <w:r w:rsidRPr="005E2190">
        <w:rPr>
          <w:rStyle w:val="None"/>
          <w:b/>
          <w:noProof/>
        </w:rPr>
        <w:t>odprto javno posvetovanje</w:t>
      </w:r>
      <w:r w:rsidRPr="005E2190">
        <w:rPr>
          <w:rStyle w:val="None"/>
          <w:noProof/>
        </w:rPr>
        <w:t>, v okviru katerega so bili zbrani številni prispevki podjetij in sindikatov, pa tudi skupin za varstvo okolja, skupin za varstvo človekovih pravic ter socialnih partnerjev</w:t>
      </w:r>
      <w:r w:rsidRPr="005E2190">
        <w:rPr>
          <w:rStyle w:val="None"/>
          <w:rFonts w:cs="Times New Roman"/>
          <w:noProof/>
          <w:vertAlign w:val="superscript"/>
        </w:rPr>
        <w:footnoteReference w:id="6"/>
      </w:r>
      <w:r w:rsidRPr="005E2190">
        <w:rPr>
          <w:rStyle w:val="None"/>
          <w:noProof/>
        </w:rPr>
        <w:t xml:space="preserve">. To je spremljala obširna izmenjava mnenj z državami članicami, Evropskim parlamentom in Evropskim ekonomsko-socialnim odborom. </w:t>
      </w:r>
    </w:p>
    <w:p w14:paraId="6DAE6FA0" w14:textId="0CADBD56" w:rsidR="007E6F5E" w:rsidRPr="005E2190" w:rsidRDefault="00336C0A" w:rsidP="0080719A">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Komisija je na podlagi prispevkov in priporočil, prejetih med postopkom pregleda trgovine in trajnostnega razvoja, opredelila sklop </w:t>
      </w:r>
      <w:r w:rsidRPr="005E2190">
        <w:rPr>
          <w:rStyle w:val="None"/>
          <w:rFonts w:ascii="Times New Roman" w:hAnsi="Times New Roman"/>
          <w:b/>
          <w:noProof/>
          <w:sz w:val="24"/>
        </w:rPr>
        <w:t>prednostnih nalog politike</w:t>
      </w:r>
      <w:r w:rsidRPr="005E2190">
        <w:rPr>
          <w:rStyle w:val="None"/>
          <w:rFonts w:ascii="Times New Roman" w:hAnsi="Times New Roman"/>
          <w:noProof/>
          <w:sz w:val="24"/>
        </w:rPr>
        <w:t xml:space="preserve"> in </w:t>
      </w:r>
      <w:r w:rsidRPr="005E2190">
        <w:rPr>
          <w:rStyle w:val="None"/>
          <w:rFonts w:ascii="Times New Roman" w:hAnsi="Times New Roman"/>
          <w:b/>
          <w:noProof/>
          <w:sz w:val="24"/>
        </w:rPr>
        <w:t>ključnih glavnih ukrepov</w:t>
      </w:r>
      <w:r w:rsidRPr="005E2190">
        <w:rPr>
          <w:rStyle w:val="None"/>
          <w:rFonts w:ascii="Times New Roman" w:hAnsi="Times New Roman"/>
          <w:noProof/>
          <w:sz w:val="24"/>
        </w:rPr>
        <w:t xml:space="preserve">, ki bodo s strožjimi pravili o izvrševanju dodatno povečali učinkovitost sedanjega pristopa k trgovini in trajnostnemu razvoju, ki temelji na sodelovanju ter mednarodnem </w:t>
      </w:r>
      <w:r w:rsidRPr="005E2190">
        <w:rPr>
          <w:rStyle w:val="None"/>
          <w:rFonts w:ascii="Times New Roman" w:hAnsi="Times New Roman"/>
          <w:noProof/>
          <w:sz w:val="24"/>
        </w:rPr>
        <w:lastRenderedPageBreak/>
        <w:t xml:space="preserve">okviru in standardih. Novi pristop, opisan v nadaljevanju, vključuje celovito fazo skladnosti in uporabo trgovinskih sankcij v specifičnih in natančno opredeljenih primerih. </w:t>
      </w:r>
    </w:p>
    <w:p w14:paraId="57FD38DF" w14:textId="77777777" w:rsidR="007E6F5E" w:rsidRPr="005E2190" w:rsidRDefault="00336C0A" w:rsidP="006475C1">
      <w:pPr>
        <w:pStyle w:val="ListParagraph"/>
        <w:numPr>
          <w:ilvl w:val="0"/>
          <w:numId w:val="2"/>
        </w:numPr>
        <w:spacing w:after="240"/>
        <w:ind w:left="714" w:hanging="357"/>
        <w:jc w:val="both"/>
        <w:rPr>
          <w:rFonts w:ascii="Times New Roman" w:hAnsi="Times New Roman" w:cs="Times New Roman"/>
          <w:b/>
          <w:smallCaps/>
          <w:noProof/>
          <w:sz w:val="24"/>
          <w:szCs w:val="24"/>
        </w:rPr>
      </w:pPr>
      <w:r w:rsidRPr="005E2190">
        <w:rPr>
          <w:rFonts w:ascii="Times New Roman" w:hAnsi="Times New Roman"/>
          <w:b/>
          <w:smallCaps/>
          <w:noProof/>
          <w:sz w:val="24"/>
        </w:rPr>
        <w:t>Kako trgovinski sporazumi EU prispevajo k agendi za trajnostni razvoj</w:t>
      </w:r>
    </w:p>
    <w:p w14:paraId="451E6CEA" w14:textId="4F924888" w:rsidR="00271445" w:rsidRPr="005E2190" w:rsidRDefault="51664043" w:rsidP="00271445">
      <w:pPr>
        <w:pStyle w:val="BodyA"/>
        <w:jc w:val="both"/>
        <w:rPr>
          <w:rStyle w:val="None"/>
          <w:rFonts w:ascii="Times New Roman" w:hAnsi="Times New Roman" w:cs="Times New Roman"/>
          <w:noProof/>
          <w:sz w:val="24"/>
          <w:szCs w:val="24"/>
        </w:rPr>
      </w:pPr>
      <w:r w:rsidRPr="005E2190">
        <w:rPr>
          <w:rStyle w:val="None"/>
          <w:rFonts w:ascii="Times New Roman" w:hAnsi="Times New Roman"/>
          <w:b/>
          <w:noProof/>
          <w:sz w:val="24"/>
        </w:rPr>
        <w:t>Trgovinski sporazumi so pomembno gonilo trajnostne rasti v EU in partnerskih državah</w:t>
      </w:r>
      <w:r w:rsidRPr="005E2190">
        <w:rPr>
          <w:rStyle w:val="None"/>
          <w:rFonts w:ascii="Times New Roman" w:hAnsi="Times New Roman"/>
          <w:noProof/>
          <w:sz w:val="24"/>
        </w:rPr>
        <w:t>. Aktivna trgovinska agenda je ključnega pomena za gospodarsko blaginjo in konkurenčnost Evrope. Trgovinski sporazumi pomagajo ustvarjati delovna mesta, širiti trge ter spodbujati gospodarsko rast in inovacije</w:t>
      </w:r>
      <w:r w:rsidRPr="005E2190">
        <w:rPr>
          <w:rStyle w:val="FootnoteReference"/>
          <w:rFonts w:ascii="Times New Roman" w:hAnsi="Times New Roman" w:cs="Times New Roman"/>
          <w:noProof/>
          <w:sz w:val="24"/>
          <w:szCs w:val="24"/>
        </w:rPr>
        <w:footnoteReference w:id="7"/>
      </w:r>
      <w:r w:rsidRPr="005E2190">
        <w:rPr>
          <w:rStyle w:val="None"/>
          <w:rFonts w:ascii="Times New Roman" w:hAnsi="Times New Roman"/>
          <w:noProof/>
          <w:sz w:val="24"/>
        </w:rPr>
        <w:t xml:space="preserve">. Z odpravo ovir za dostop na trg tudi znižujejo stroške in lajšajo uvajanje in uporabo podnebju prijaznih tehnologij ter povezanega blaga in storitev, ki prispevajo k zmanjševanju ravni emisij toplogrednih plinov po vsem svetu in prilagajanju podnebnim spremembam. Trgovinski sporazumi poleg tega pomagajo zagotoviti oskrbo s potrebnimi surovinami, vključno s tistimi, ki se uporabljajo v nizkoogljičnih tehnologijah. Hkrati lahko tudi svetovna trgovina vpliva na podnebje, biotsko raznovrstnost in delovne pogoje. Da bi zagotovili, da ima odprta trgovina pozitivne učinke, morata liberalizacijo trgovine spremljati spodbujanje mednarodnih delovnih standardov ter odločno ukrepanje na področju podnebja in okolja. Trgovinski sporazumi kot instrumenti privilegiranega partnerstva zagotavljajo platformo za dialog o politikah in sodelovanje s partnerskimi državami na področju trajnostnosti. To je ključnega pomena, saj lahko svetovne izzive rešujemo le s skupnimi prizadevanji na svetovni ravni. </w:t>
      </w:r>
    </w:p>
    <w:p w14:paraId="26D9915E" w14:textId="39F564F8" w:rsidR="007E6F5E" w:rsidRPr="005E2190" w:rsidRDefault="0053053E" w:rsidP="00044BA2">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S </w:t>
      </w:r>
      <w:r w:rsidRPr="005E2190">
        <w:rPr>
          <w:rStyle w:val="None"/>
          <w:rFonts w:ascii="Times New Roman" w:hAnsi="Times New Roman"/>
          <w:b/>
          <w:noProof/>
          <w:sz w:val="24"/>
        </w:rPr>
        <w:t>pregledom trgovinske politike</w:t>
      </w:r>
      <w:r w:rsidRPr="005E2190">
        <w:rPr>
          <w:rStyle w:val="None"/>
          <w:rFonts w:ascii="Times New Roman" w:hAnsi="Times New Roman"/>
          <w:noProof/>
          <w:sz w:val="24"/>
        </w:rPr>
        <w:t xml:space="preserve"> je podpora zelenemu in pravičnemu prehodu postala eden od stebrov trgovinske politike EU, poleg odprtosti in odločnosti</w:t>
      </w:r>
      <w:r w:rsidRPr="005E2190">
        <w:rPr>
          <w:rStyle w:val="None"/>
          <w:rFonts w:ascii="Times New Roman" w:hAnsi="Times New Roman" w:cs="Times New Roman"/>
          <w:noProof/>
          <w:sz w:val="24"/>
          <w:szCs w:val="24"/>
          <w:vertAlign w:val="superscript"/>
        </w:rPr>
        <w:footnoteReference w:id="8"/>
      </w:r>
      <w:r w:rsidRPr="005E2190">
        <w:rPr>
          <w:rStyle w:val="None"/>
          <w:rFonts w:ascii="Times New Roman" w:hAnsi="Times New Roman"/>
          <w:noProof/>
          <w:sz w:val="24"/>
        </w:rPr>
        <w:t>. To je v skladu z</w:t>
      </w:r>
      <w:r w:rsidRPr="005E2190">
        <w:rPr>
          <w:rFonts w:ascii="Times New Roman" w:hAnsi="Times New Roman"/>
          <w:noProof/>
          <w:sz w:val="24"/>
        </w:rPr>
        <w:t xml:space="preserve"> </w:t>
      </w:r>
      <w:r w:rsidRPr="005E2190">
        <w:rPr>
          <w:rFonts w:ascii="Times New Roman" w:hAnsi="Times New Roman"/>
          <w:b/>
          <w:noProof/>
          <w:sz w:val="24"/>
        </w:rPr>
        <w:t>evropskim zelenim dogovorom</w:t>
      </w:r>
      <w:r w:rsidRPr="005E2190">
        <w:rPr>
          <w:rFonts w:ascii="Times New Roman" w:hAnsi="Times New Roman"/>
          <w:noProof/>
          <w:sz w:val="24"/>
        </w:rPr>
        <w:t xml:space="preserve"> in </w:t>
      </w:r>
      <w:r w:rsidRPr="005E2190">
        <w:rPr>
          <w:rFonts w:ascii="Times New Roman" w:hAnsi="Times New Roman"/>
          <w:b/>
          <w:noProof/>
          <w:sz w:val="24"/>
        </w:rPr>
        <w:t>sporočilom o dostojnem delu po vsem svetu</w:t>
      </w:r>
      <w:r w:rsidRPr="005E2190">
        <w:rPr>
          <w:rFonts w:ascii="Times New Roman" w:hAnsi="Times New Roman" w:cs="Times New Roman"/>
          <w:noProof/>
          <w:sz w:val="24"/>
          <w:szCs w:val="24"/>
          <w:vertAlign w:val="superscript"/>
        </w:rPr>
        <w:footnoteReference w:id="9"/>
      </w:r>
      <w:r w:rsidRPr="005E2190">
        <w:rPr>
          <w:rFonts w:ascii="Times New Roman" w:hAnsi="Times New Roman"/>
          <w:noProof/>
          <w:sz w:val="24"/>
        </w:rPr>
        <w:t xml:space="preserve">, ki trajnostni razvoj postavljata v središče oblikovanja politik in ukrepanja EU. </w:t>
      </w:r>
      <w:r w:rsidRPr="005E2190">
        <w:rPr>
          <w:rStyle w:val="None"/>
          <w:rFonts w:ascii="Times New Roman" w:hAnsi="Times New Roman"/>
          <w:noProof/>
          <w:sz w:val="24"/>
        </w:rPr>
        <w:t xml:space="preserve">Prednostne naloge in cilji trajnostnega razvoja so bili vključeni v vse politike EU v skladu z </w:t>
      </w:r>
      <w:r w:rsidRPr="005E2190">
        <w:rPr>
          <w:rStyle w:val="None"/>
          <w:rFonts w:ascii="Times New Roman" w:hAnsi="Times New Roman"/>
          <w:b/>
          <w:noProof/>
          <w:sz w:val="24"/>
        </w:rPr>
        <w:t>Agendo 2030 Združenih narodov</w:t>
      </w:r>
      <w:r w:rsidRPr="005E2190">
        <w:rPr>
          <w:rStyle w:val="None"/>
          <w:rFonts w:ascii="Times New Roman" w:hAnsi="Times New Roman"/>
          <w:noProof/>
          <w:sz w:val="24"/>
        </w:rPr>
        <w:t xml:space="preserve"> in njenimi </w:t>
      </w:r>
      <w:r w:rsidRPr="005E2190">
        <w:rPr>
          <w:rStyle w:val="None"/>
          <w:rFonts w:ascii="Times New Roman" w:hAnsi="Times New Roman"/>
          <w:b/>
          <w:noProof/>
          <w:sz w:val="24"/>
        </w:rPr>
        <w:t>17 cilji trajnostnega razvoja</w:t>
      </w:r>
      <w:r w:rsidRPr="005E2190">
        <w:rPr>
          <w:rStyle w:val="None"/>
          <w:rFonts w:ascii="Times New Roman" w:hAnsi="Times New Roman"/>
          <w:noProof/>
          <w:sz w:val="24"/>
        </w:rPr>
        <w:t xml:space="preserve">, </w:t>
      </w:r>
      <w:r w:rsidRPr="005E2190">
        <w:rPr>
          <w:rStyle w:val="None"/>
          <w:rFonts w:ascii="Times New Roman" w:hAnsi="Times New Roman"/>
          <w:b/>
          <w:noProof/>
          <w:sz w:val="24"/>
        </w:rPr>
        <w:t>Pariškim sporazumom o podnebnih spremembah</w:t>
      </w:r>
      <w:r w:rsidRPr="005E2190">
        <w:rPr>
          <w:rStyle w:val="None"/>
          <w:rFonts w:ascii="Times New Roman" w:hAnsi="Times New Roman"/>
          <w:noProof/>
          <w:sz w:val="24"/>
        </w:rPr>
        <w:t xml:space="preserve"> ter drugimi </w:t>
      </w:r>
      <w:r w:rsidRPr="005E2190">
        <w:rPr>
          <w:rStyle w:val="None"/>
          <w:rFonts w:ascii="Times New Roman" w:hAnsi="Times New Roman"/>
          <w:b/>
          <w:noProof/>
          <w:sz w:val="24"/>
        </w:rPr>
        <w:t>večstranskimi sporazumi o varstvu okolja in delovnih standardih</w:t>
      </w:r>
      <w:r w:rsidRPr="005E2190">
        <w:rPr>
          <w:rStyle w:val="None"/>
          <w:rFonts w:ascii="Times New Roman" w:hAnsi="Times New Roman"/>
          <w:noProof/>
          <w:sz w:val="24"/>
        </w:rPr>
        <w:t>.</w:t>
      </w:r>
      <w:r w:rsidRPr="005E2190">
        <w:rPr>
          <w:rStyle w:val="None"/>
          <w:rFonts w:ascii="Times New Roman" w:hAnsi="Times New Roman"/>
          <w:b/>
          <w:noProof/>
          <w:sz w:val="24"/>
        </w:rPr>
        <w:t xml:space="preserve"> </w:t>
      </w:r>
      <w:r w:rsidRPr="005E2190">
        <w:rPr>
          <w:rStyle w:val="None"/>
          <w:rFonts w:ascii="Times New Roman" w:hAnsi="Times New Roman"/>
          <w:noProof/>
          <w:sz w:val="24"/>
        </w:rPr>
        <w:t>Ti večstranski sporazumi in konvencije so postali svetovni okvir za mednarodno sodelovanje in ukrepe na področju trajnostnega razvoja ter služijo kot vodilo za zaveze glede trajnostnega razvoja tudi v trgovinskih sporazumih EU.</w:t>
      </w:r>
    </w:p>
    <w:p w14:paraId="2BE1ED62" w14:textId="31197FD3" w:rsidR="003A4708" w:rsidRPr="005E2190" w:rsidRDefault="003A4708" w:rsidP="003A4708">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noProof/>
          <w:color w:val="000000"/>
          <w:u w:color="000000"/>
          <w:bdr w:val="none" w:sz="0" w:space="0" w:color="auto"/>
          <w14:textOutline w14:w="12700" w14:cap="flat" w14:cmpd="sng" w14:algn="ctr">
            <w14:noFill/>
            <w14:prstDash w14:val="solid"/>
            <w14:miter w14:lim="100000"/>
          </w14:textOutline>
        </w:rPr>
      </w:pPr>
      <w:r w:rsidRPr="005E2190">
        <w:rPr>
          <w:noProof/>
          <w:color w:val="000000"/>
          <w:u w:color="000000"/>
          <w:bdr w:val="none" w:sz="0" w:space="0" w:color="auto"/>
          <w14:textOutline w14:w="0" w14:cap="flat" w14:cmpd="sng" w14:algn="ctr">
            <w14:noFill/>
            <w14:prstDash w14:val="solid"/>
            <w14:bevel/>
          </w14:textOutline>
        </w:rPr>
        <w:t>Pristop EU k trgovini in trajnostnemu razvoju, temelječ na vrednotah, si prizadeva za širše</w:t>
      </w:r>
      <w:r w:rsidRPr="005E2190">
        <w:rPr>
          <w:noProof/>
          <w:color w:val="000000"/>
          <w:u w:color="000000"/>
          <w:bdr w:val="none" w:sz="0" w:space="0" w:color="auto"/>
        </w:rPr>
        <w:t xml:space="preserve"> </w:t>
      </w:r>
      <w:r w:rsidRPr="005E2190">
        <w:rPr>
          <w:b/>
          <w:noProof/>
          <w:color w:val="000000"/>
          <w:u w:color="000000"/>
          <w:bdr w:val="none" w:sz="0" w:space="0" w:color="auto"/>
        </w:rPr>
        <w:t>zaveze partnerskih držav od tistih, ki jih vključujejo trgovinski sporazumi drugih mednarodnih akterjev</w:t>
      </w:r>
      <w:r w:rsidRPr="005E2190">
        <w:rPr>
          <w:noProof/>
          <w:color w:val="000000"/>
          <w:u w:color="000000"/>
          <w:bdr w:val="none" w:sz="0" w:space="0" w:color="auto"/>
          <w14:textOutline w14:w="12700" w14:cap="flat" w14:cmpd="sng" w14:algn="ctr">
            <w14:noFill/>
            <w14:prstDash w14:val="solid"/>
            <w14:miter w14:lim="100000"/>
          </w14:textOutline>
        </w:rPr>
        <w:t xml:space="preserve">. Poglavja o trgovini in trajnostnem razvoju v trgovinskih sporazumih EU zlasti zahtevajo </w:t>
      </w:r>
      <w:r w:rsidRPr="005E2190">
        <w:rPr>
          <w:b/>
          <w:noProof/>
          <w:color w:val="000000"/>
          <w:u w:color="000000"/>
          <w:bdr w:val="none" w:sz="0" w:space="0" w:color="auto"/>
          <w14:textOutline w14:w="12700" w14:cap="flat" w14:cmpd="sng" w14:algn="ctr">
            <w14:noFill/>
            <w14:prstDash w14:val="solid"/>
            <w14:miter w14:lim="100000"/>
          </w14:textOutline>
        </w:rPr>
        <w:t>učinkovito izvajanje</w:t>
      </w:r>
      <w:r w:rsidRPr="005E2190">
        <w:rPr>
          <w:noProof/>
          <w:color w:val="000000"/>
          <w:u w:color="000000"/>
          <w:bdr w:val="none" w:sz="0" w:space="0" w:color="auto"/>
          <w14:textOutline w14:w="12700" w14:cap="flat" w14:cmpd="sng" w14:algn="ctr">
            <w14:noFill/>
            <w14:prstDash w14:val="solid"/>
            <w14:miter w14:lim="100000"/>
          </w14:textOutline>
        </w:rPr>
        <w:t xml:space="preserve"> konvencij Mednarodne organizacije dela (MOD) in večstranskih okoljskih sporazumov, ki jih je ratificirala posamezna pogodbenica, kot sta Pariški sporazum o podnebnih spremembah in Konvencija o biološki raznovrstnosti. </w:t>
      </w:r>
    </w:p>
    <w:p w14:paraId="155CA0DF" w14:textId="2F6D1D2E" w:rsidR="003A4708" w:rsidRPr="005E2190" w:rsidRDefault="003A4708" w:rsidP="003A4708">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noProof/>
          <w:color w:val="000000"/>
          <w:u w:color="000000"/>
          <w:bdr w:val="none" w:sz="0" w:space="0" w:color="auto"/>
          <w14:textOutline w14:w="0" w14:cap="flat" w14:cmpd="sng" w14:algn="ctr">
            <w14:noFill/>
            <w14:prstDash w14:val="solid"/>
            <w14:bevel/>
          </w14:textOutline>
        </w:rPr>
      </w:pPr>
      <w:r w:rsidRPr="005E2190">
        <w:rPr>
          <w:noProof/>
        </w:rPr>
        <w:t xml:space="preserve">Poglavja o trgovini in trajnostnem razvoju v trgovinskih sporazumih EU prav tako zahtevajo </w:t>
      </w:r>
      <w:r w:rsidRPr="005E2190">
        <w:rPr>
          <w:b/>
          <w:noProof/>
        </w:rPr>
        <w:t>spoštovanje temeljnih načel MOD</w:t>
      </w:r>
      <w:r w:rsidRPr="005E2190">
        <w:rPr>
          <w:noProof/>
        </w:rPr>
        <w:t xml:space="preserve">, kot so določena v Deklaraciji MOD o temeljnih načelih </w:t>
      </w:r>
      <w:r w:rsidRPr="005E2190">
        <w:rPr>
          <w:noProof/>
        </w:rPr>
        <w:lastRenderedPageBreak/>
        <w:t>in pravicah pri delu iz leta 1998</w:t>
      </w:r>
      <w:r w:rsidRPr="005E2190">
        <w:rPr>
          <w:rStyle w:val="FootnoteReference"/>
          <w:noProof/>
          <w:color w:val="000000"/>
          <w:u w:color="000000"/>
          <w:bdr w:val="none" w:sz="0" w:space="0" w:color="auto"/>
          <w:lang w:eastAsia="en-IE"/>
        </w:rPr>
        <w:footnoteReference w:id="10"/>
      </w:r>
      <w:r w:rsidRPr="005E2190">
        <w:rPr>
          <w:noProof/>
        </w:rPr>
        <w:t>.</w:t>
      </w:r>
      <w:r w:rsidRPr="005E2190">
        <w:rPr>
          <w:noProof/>
          <w:color w:val="000000"/>
          <w:u w:color="000000"/>
          <w:bdr w:val="none" w:sz="0" w:space="0" w:color="auto"/>
          <w14:textOutline w14:w="12700" w14:cap="flat" w14:cmpd="sng" w14:algn="ctr">
            <w14:noFill/>
            <w14:prstDash w14:val="solid"/>
            <w14:miter w14:lim="100000"/>
          </w14:textOutline>
        </w:rPr>
        <w:t xml:space="preserve"> V zvezi s tem Komisija pozdravlja delo MOD in njenih članic za krepitev in razširitev teh temeljnih načel, nazadnje z odločitvijo o vključitvi varnosti in zdravja pri delu, ter meni, da bi morala poglavja o trgovini in trajnostnem razvoju ustrezno odražati tak razvoj.</w:t>
      </w:r>
    </w:p>
    <w:p w14:paraId="017FB4A0" w14:textId="1A0C5912" w:rsidR="003A4708" w:rsidRPr="005E2190" w:rsidRDefault="003A4708" w:rsidP="003A4708">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Style w:val="None"/>
          <w:noProof/>
          <w:color w:val="000000"/>
          <w:u w:color="000000"/>
          <w:bdr w:val="none" w:sz="0" w:space="0" w:color="auto"/>
          <w14:textOutline w14:w="12700" w14:cap="flat" w14:cmpd="sng" w14:algn="ctr">
            <w14:noFill/>
            <w14:prstDash w14:val="solid"/>
            <w14:miter w14:lim="100000"/>
          </w14:textOutline>
        </w:rPr>
      </w:pPr>
      <w:r w:rsidRPr="005E2190">
        <w:rPr>
          <w:noProof/>
          <w:color w:val="000000"/>
          <w:u w:color="000000"/>
          <w:bdr w:val="none" w:sz="0" w:space="0" w:color="auto"/>
          <w14:textOutline w14:w="12700" w14:cap="flat" w14:cmpd="sng" w14:algn="ctr">
            <w14:noFill/>
            <w14:prstDash w14:val="solid"/>
            <w14:miter w14:lim="100000"/>
          </w14:textOutline>
        </w:rPr>
        <w:t xml:space="preserve">Poglavja o trgovini in trajnostnem razvoju poleg tega </w:t>
      </w:r>
      <w:r w:rsidRPr="005E2190">
        <w:rPr>
          <w:b/>
          <w:noProof/>
          <w:color w:val="000000"/>
          <w:u w:color="000000"/>
          <w:bdr w:val="none" w:sz="0" w:space="0" w:color="auto"/>
          <w14:textOutline w14:w="12700" w14:cap="flat" w14:cmpd="sng" w14:algn="ctr">
            <w14:noFill/>
            <w14:prstDash w14:val="solid"/>
            <w14:miter w14:lim="100000"/>
          </w14:textOutline>
        </w:rPr>
        <w:t>spodbujajo ratifikacijo neratificiranih temeljnih konvencij MOD</w:t>
      </w:r>
      <w:r w:rsidRPr="005E2190">
        <w:rPr>
          <w:noProof/>
          <w:color w:val="000000"/>
          <w:u w:color="000000"/>
          <w:bdr w:val="none" w:sz="0" w:space="0" w:color="auto"/>
          <w14:textOutline w14:w="12700" w14:cap="flat" w14:cmpd="sng" w14:algn="ctr">
            <w14:noFill/>
            <w14:prstDash w14:val="solid"/>
            <w14:miter w14:lim="100000"/>
          </w14:textOutline>
        </w:rPr>
        <w:t xml:space="preserve"> ter vsebujejo </w:t>
      </w:r>
      <w:r w:rsidRPr="005E2190">
        <w:rPr>
          <w:b/>
          <w:noProof/>
          <w:color w:val="000000"/>
          <w:u w:color="000000"/>
          <w:bdr w:val="none" w:sz="0" w:space="0" w:color="auto"/>
          <w14:textOutline w14:w="12700" w14:cap="flat" w14:cmpd="sng" w14:algn="ctr">
            <w14:noFill/>
            <w14:prstDash w14:val="solid"/>
            <w14:miter w14:lim="100000"/>
          </w14:textOutline>
        </w:rPr>
        <w:t>širok nabor zavez in določb o sodelovanju</w:t>
      </w:r>
      <w:r w:rsidRPr="005E2190">
        <w:rPr>
          <w:noProof/>
          <w:color w:val="000000"/>
          <w:u w:color="000000"/>
          <w:bdr w:val="none" w:sz="0" w:space="0" w:color="auto"/>
          <w14:textOutline w14:w="12700" w14:cap="flat" w14:cmpd="sng" w14:algn="ctr">
            <w14:noFill/>
            <w14:prstDash w14:val="solid"/>
            <w14:miter w14:lim="100000"/>
          </w14:textOutline>
        </w:rPr>
        <w:t xml:space="preserve"> na področju vprašanj, kot so pravice delavcev, socialni dialog, dostojni delovni pogoji, vključno z inšpekcijo dela, trajnostno gospodarjenje z naravnimi viri, gozdarstvo, ribištvo, akvakultura in upravljanje oceanov ter spodbujanje odgovornega ravnanja podjetij</w:t>
      </w:r>
      <w:r w:rsidRPr="005E2190">
        <w:rPr>
          <w:rFonts w:cs="Arial Unicode MS"/>
          <w:noProof/>
          <w:color w:val="000000"/>
          <w:u w:color="000000"/>
          <w:bdr w:val="none" w:sz="0" w:space="0" w:color="auto"/>
          <w:vertAlign w:val="superscript"/>
          <w:lang w:eastAsia="en-IE"/>
        </w:rPr>
        <w:footnoteReference w:id="11"/>
      </w:r>
      <w:r w:rsidRPr="005E2190">
        <w:rPr>
          <w:noProof/>
          <w:color w:val="000000"/>
          <w:u w:color="000000"/>
          <w:bdr w:val="none" w:sz="0" w:space="0" w:color="auto"/>
          <w14:textOutline w14:w="12700" w14:cap="flat" w14:cmpd="sng" w14:algn="ctr">
            <w14:noFill/>
            <w14:prstDash w14:val="solid"/>
            <w14:miter w14:lim="100000"/>
          </w14:textOutline>
        </w:rPr>
        <w:t xml:space="preserve">. Trgovinski sporazumi EU zdaj spodbujajo tudi sodelovanje pri prehodu na krožno in z viri gospodarno gospodarstvo ali dobavne verige brez krčenja gozdov ter mednarodno okoljsko upravljanje. Nedavni trgovinski sporazumi EU vsebujejo tudi določbe o ustreznih konvencijah ZN in MOD, ki podpirajo </w:t>
      </w:r>
      <w:r w:rsidRPr="005E2190">
        <w:rPr>
          <w:b/>
          <w:noProof/>
          <w:color w:val="000000"/>
          <w:u w:color="000000"/>
          <w:bdr w:val="none" w:sz="0" w:space="0" w:color="auto"/>
          <w14:textOutline w14:w="12700" w14:cap="flat" w14:cmpd="sng" w14:algn="ctr">
            <w14:noFill/>
            <w14:prstDash w14:val="solid"/>
            <w14:miter w14:lim="100000"/>
          </w14:textOutline>
        </w:rPr>
        <w:t>ekonomsko opolnomočenje žensk in enakost spolov</w:t>
      </w:r>
      <w:r w:rsidRPr="005E2190">
        <w:rPr>
          <w:noProof/>
          <w:color w:val="000000"/>
          <w:u w:color="000000"/>
          <w:bdr w:val="none" w:sz="0" w:space="0" w:color="auto"/>
          <w14:textOutline w14:w="12700" w14:cap="flat" w14:cmpd="sng" w14:algn="ctr">
            <w14:noFill/>
            <w14:prstDash w14:val="solid"/>
            <w14:miter w14:lim="100000"/>
          </w14:textOutline>
        </w:rPr>
        <w:t xml:space="preserve">, vključno s spodbujanjem sodelovanja v mednarodnih forumih za uresničevanje teh ciljev, na primer v STO. </w:t>
      </w:r>
    </w:p>
    <w:p w14:paraId="3BBB6E5D" w14:textId="5BDC274D" w:rsidR="00FA57E0" w:rsidRPr="005E2190" w:rsidRDefault="00FA57E0" w:rsidP="005B48CA">
      <w:pPr>
        <w:pStyle w:val="BodyA"/>
        <w:jc w:val="both"/>
        <w:rPr>
          <w:rStyle w:val="None"/>
          <w:rFonts w:ascii="Times New Roman" w:hAnsi="Times New Roman" w:cs="Times New Roman"/>
          <w:i/>
          <w:noProof/>
          <w:sz w:val="24"/>
          <w:szCs w:val="24"/>
          <w:u w:val="single"/>
        </w:rPr>
      </w:pPr>
      <w:r w:rsidRPr="005E2190">
        <w:rPr>
          <w:rStyle w:val="None"/>
          <w:rFonts w:ascii="Times New Roman" w:hAnsi="Times New Roman"/>
          <w:i/>
          <w:noProof/>
          <w:sz w:val="24"/>
          <w:u w:val="single"/>
        </w:rPr>
        <w:t>Skupno delovanje z drugimi orodji politike</w:t>
      </w:r>
    </w:p>
    <w:p w14:paraId="03AA9460" w14:textId="6DCDB8ED" w:rsidR="007E6F5E" w:rsidRPr="005E2190" w:rsidRDefault="51664043" w:rsidP="005B48CA">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Trgovinski sporazumi EU niso samostojni instrumenti za spodbujanje in krepitev agende Unije za trajnostni razvoj s tretjimi državami. Zaveze o trgovini in trajnostnem razvoju, ki jih ti sporazumi vsebujejo, delujejo skupaj s </w:t>
      </w:r>
      <w:r w:rsidRPr="005E2190">
        <w:rPr>
          <w:rStyle w:val="None"/>
          <w:rFonts w:ascii="Times New Roman" w:hAnsi="Times New Roman"/>
          <w:b/>
          <w:noProof/>
          <w:sz w:val="24"/>
        </w:rPr>
        <w:t>širšim sklopom instrumentov politike</w:t>
      </w:r>
      <w:r w:rsidRPr="005E2190">
        <w:rPr>
          <w:rStyle w:val="None"/>
          <w:rFonts w:ascii="Times New Roman" w:hAnsi="Times New Roman"/>
          <w:noProof/>
          <w:sz w:val="24"/>
        </w:rPr>
        <w:t xml:space="preserve">, </w:t>
      </w:r>
      <w:r w:rsidRPr="005E2190">
        <w:rPr>
          <w:rStyle w:val="None"/>
          <w:rFonts w:ascii="Times New Roman" w:hAnsi="Times New Roman"/>
          <w:b/>
          <w:noProof/>
          <w:sz w:val="24"/>
        </w:rPr>
        <w:t>večstranskih prizadevanj</w:t>
      </w:r>
      <w:r w:rsidRPr="005E2190">
        <w:rPr>
          <w:rStyle w:val="None"/>
          <w:rFonts w:ascii="Times New Roman" w:hAnsi="Times New Roman"/>
          <w:noProof/>
          <w:sz w:val="24"/>
        </w:rPr>
        <w:t xml:space="preserve"> in </w:t>
      </w:r>
      <w:r w:rsidRPr="005E2190">
        <w:rPr>
          <w:rStyle w:val="None"/>
          <w:rFonts w:ascii="Times New Roman" w:hAnsi="Times New Roman"/>
          <w:b/>
          <w:noProof/>
          <w:sz w:val="24"/>
        </w:rPr>
        <w:t>orodij za razvojno sodelovanje</w:t>
      </w:r>
      <w:r w:rsidRPr="005E2190">
        <w:rPr>
          <w:rStyle w:val="None"/>
          <w:rFonts w:ascii="Times New Roman" w:hAnsi="Times New Roman"/>
          <w:noProof/>
          <w:sz w:val="24"/>
        </w:rPr>
        <w:t xml:space="preserve"> v okviru vseobsegajočega pristopa. Skupaj z avtonomnimi instrumenti EU nam pomagajo čim bolje izkoristiti pozitivne učinke trgovine na trajnostni razvoj in, nasprotno, zagotoviti, da se negativni učinki omejijo. </w:t>
      </w:r>
    </w:p>
    <w:p w14:paraId="71AC3465" w14:textId="46CC311B" w:rsidR="009277D0" w:rsidRPr="005E2190" w:rsidRDefault="51664043" w:rsidP="005B48CA">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Pričakuje se, da bo imela EU do konca sedanjega mandata Komisije </w:t>
      </w:r>
      <w:r w:rsidRPr="005E2190">
        <w:rPr>
          <w:rStyle w:val="None"/>
          <w:rFonts w:ascii="Times New Roman" w:hAnsi="Times New Roman"/>
          <w:b/>
          <w:noProof/>
          <w:sz w:val="24"/>
        </w:rPr>
        <w:t>ambiciozen sklop dodatnih avtonomnih instrumentov za podporo trajnostni trgovini</w:t>
      </w:r>
      <w:r w:rsidRPr="005E2190">
        <w:rPr>
          <w:rStyle w:val="None"/>
          <w:rFonts w:ascii="Times New Roman" w:hAnsi="Times New Roman"/>
          <w:noProof/>
          <w:sz w:val="24"/>
        </w:rPr>
        <w:t>. Komisija je leta 2021 predstavila predlog za vzpostavitev mehanizma za ogljično prilagoditev na mejah, da bi preprečila selitev virov CO</w:t>
      </w:r>
      <w:r w:rsidRPr="005E2190">
        <w:rPr>
          <w:rStyle w:val="None"/>
          <w:rFonts w:ascii="Times New Roman" w:hAnsi="Times New Roman"/>
          <w:noProof/>
          <w:sz w:val="24"/>
          <w:vertAlign w:val="subscript"/>
        </w:rPr>
        <w:t>2</w:t>
      </w:r>
      <w:r w:rsidRPr="005E2190">
        <w:rPr>
          <w:rStyle w:val="None"/>
          <w:rFonts w:ascii="Times New Roman" w:hAnsi="Times New Roman"/>
          <w:noProof/>
          <w:sz w:val="24"/>
        </w:rPr>
        <w:t xml:space="preserve"> in povečala učinkovitost svetovnih podnebnih ukrepov</w:t>
      </w:r>
      <w:r w:rsidRPr="005E2190">
        <w:rPr>
          <w:rStyle w:val="None"/>
          <w:rFonts w:ascii="Times New Roman" w:hAnsi="Times New Roman" w:cs="Times New Roman"/>
          <w:noProof/>
          <w:sz w:val="24"/>
          <w:szCs w:val="24"/>
          <w:vertAlign w:val="superscript"/>
        </w:rPr>
        <w:footnoteReference w:id="12"/>
      </w:r>
      <w:r w:rsidRPr="005E2190">
        <w:rPr>
          <w:rStyle w:val="None"/>
          <w:rFonts w:ascii="Times New Roman" w:hAnsi="Times New Roman"/>
          <w:noProof/>
          <w:sz w:val="24"/>
        </w:rPr>
        <w:t>, ter predlog o proizvodih, ki ne povzročajo krčenja gozdov, da bi okrepila prizadevanja za boj proti krčenju in degradaciji gozdov</w:t>
      </w:r>
      <w:r w:rsidRPr="005E2190">
        <w:rPr>
          <w:rStyle w:val="None"/>
          <w:rFonts w:ascii="Times New Roman" w:hAnsi="Times New Roman" w:cs="Times New Roman"/>
          <w:noProof/>
          <w:sz w:val="24"/>
          <w:szCs w:val="24"/>
          <w:vertAlign w:val="superscript"/>
        </w:rPr>
        <w:footnoteReference w:id="13"/>
      </w:r>
      <w:r w:rsidRPr="005E2190">
        <w:rPr>
          <w:rStyle w:val="None"/>
          <w:rFonts w:ascii="Times New Roman" w:hAnsi="Times New Roman"/>
          <w:noProof/>
          <w:sz w:val="24"/>
        </w:rPr>
        <w:t>. Istega leta je sprejela tudi strategijo z ambicioznim in celovitim svežnjem ukrepov za izboljšanje tokov denarja v financiranje prehoda na trajnostno gospodarstvo</w:t>
      </w:r>
      <w:r w:rsidRPr="005E2190">
        <w:rPr>
          <w:rStyle w:val="FootnoteReference"/>
          <w:rFonts w:ascii="Times New Roman" w:hAnsi="Times New Roman" w:cs="Times New Roman"/>
          <w:noProof/>
          <w:sz w:val="24"/>
          <w:szCs w:val="24"/>
        </w:rPr>
        <w:footnoteReference w:id="14"/>
      </w:r>
      <w:r w:rsidRPr="005E2190">
        <w:rPr>
          <w:rStyle w:val="None"/>
          <w:rFonts w:ascii="Times New Roman" w:hAnsi="Times New Roman"/>
          <w:noProof/>
          <w:sz w:val="24"/>
        </w:rPr>
        <w:t>. Na začetku leta 2022 je Komisija predstavila predlog o skrbnem pregledu v podjetjih glede trajnostnosti, ki spodbuja trajnostno in odgovorno ravnanje podjetij vzdolž celotnih svetovnih vrednostnih verig</w:t>
      </w:r>
      <w:r w:rsidRPr="005E2190">
        <w:rPr>
          <w:rStyle w:val="None"/>
          <w:rFonts w:ascii="Times New Roman" w:hAnsi="Times New Roman" w:cs="Times New Roman"/>
          <w:noProof/>
          <w:sz w:val="24"/>
          <w:szCs w:val="24"/>
          <w:vertAlign w:val="superscript"/>
        </w:rPr>
        <w:footnoteReference w:id="15"/>
      </w:r>
      <w:r w:rsidRPr="005E2190">
        <w:rPr>
          <w:rStyle w:val="None"/>
          <w:rFonts w:ascii="Times New Roman" w:hAnsi="Times New Roman"/>
          <w:noProof/>
          <w:sz w:val="24"/>
        </w:rPr>
        <w:t>.</w:t>
      </w:r>
      <w:r w:rsidRPr="005E2190">
        <w:rPr>
          <w:rFonts w:ascii="Times New Roman" w:hAnsi="Times New Roman"/>
          <w:noProof/>
          <w:sz w:val="24"/>
        </w:rPr>
        <w:t xml:space="preserve"> Sprejela je tudi predlog okvira, ki naj bi zagotovil, da </w:t>
      </w:r>
      <w:r w:rsidRPr="005E2190">
        <w:rPr>
          <w:rFonts w:ascii="Times New Roman" w:hAnsi="Times New Roman"/>
          <w:noProof/>
          <w:sz w:val="24"/>
        </w:rPr>
        <w:lastRenderedPageBreak/>
        <w:t>bodo vsi proizvodi, dani na trg Unije, postali okoljsko bolj trajnostni in krožni</w:t>
      </w:r>
      <w:r w:rsidRPr="005E2190">
        <w:rPr>
          <w:rStyle w:val="FootnoteReference"/>
          <w:rFonts w:ascii="Times New Roman" w:hAnsi="Times New Roman" w:cs="Times New Roman"/>
          <w:noProof/>
          <w:sz w:val="24"/>
          <w:szCs w:val="24"/>
        </w:rPr>
        <w:footnoteReference w:id="16"/>
      </w:r>
      <w:r w:rsidRPr="005E2190">
        <w:rPr>
          <w:rFonts w:ascii="Times New Roman" w:hAnsi="Times New Roman"/>
          <w:noProof/>
          <w:sz w:val="24"/>
        </w:rPr>
        <w:t xml:space="preserve">. </w:t>
      </w:r>
      <w:r w:rsidRPr="005E2190">
        <w:rPr>
          <w:rStyle w:val="None"/>
          <w:rFonts w:ascii="Times New Roman" w:hAnsi="Times New Roman"/>
          <w:noProof/>
          <w:sz w:val="24"/>
        </w:rPr>
        <w:t>Kot je bilo napovedano v sporočilu o dostojnem delu po vsem svetu, bo Komisija pozneje tega leta predstavila tudi novo zakonodajno pobudo za učinkovito prepoved dajanja na trg proizvodov, ki so rezultat prisilnega dela</w:t>
      </w:r>
      <w:r w:rsidRPr="005E2190">
        <w:rPr>
          <w:rStyle w:val="None"/>
          <w:rFonts w:ascii="Times New Roman" w:hAnsi="Times New Roman" w:cs="Times New Roman"/>
          <w:noProof/>
          <w:sz w:val="24"/>
          <w:szCs w:val="24"/>
          <w:vertAlign w:val="superscript"/>
        </w:rPr>
        <w:footnoteReference w:id="17"/>
      </w:r>
      <w:r w:rsidRPr="005E2190">
        <w:rPr>
          <w:rStyle w:val="None"/>
          <w:rFonts w:ascii="Times New Roman" w:hAnsi="Times New Roman"/>
          <w:noProof/>
          <w:sz w:val="24"/>
        </w:rPr>
        <w:t xml:space="preserve">. </w:t>
      </w:r>
    </w:p>
    <w:p w14:paraId="08289B32" w14:textId="2BB5189B" w:rsidR="007E6F5E" w:rsidRPr="005E2190" w:rsidRDefault="000E6D3E" w:rsidP="005B48CA">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Komisija je v svojem predlogu nove </w:t>
      </w:r>
      <w:r w:rsidRPr="005E2190">
        <w:rPr>
          <w:rStyle w:val="None"/>
          <w:rFonts w:ascii="Times New Roman" w:hAnsi="Times New Roman"/>
          <w:b/>
          <w:noProof/>
          <w:sz w:val="24"/>
        </w:rPr>
        <w:t>uredbe EU o splošni shemi preferencialov</w:t>
      </w:r>
      <w:r w:rsidRPr="005E2190">
        <w:rPr>
          <w:rStyle w:val="None"/>
          <w:rFonts w:ascii="Times New Roman" w:hAnsi="Times New Roman"/>
          <w:noProof/>
          <w:sz w:val="24"/>
        </w:rPr>
        <w:t xml:space="preserve"> povečala prispevek sheme za spodbujanje trajnostnega razvoja, med drugim z vključitvijo vrste mednarodnih instrumentov na področjih človekovih pravic, dobrega upravljanja, dela in varstva okolja. Novi instrumenti vključujejo Pariški sporazum o podnebnih spremembah, Konvencijo ZN proti mednarodnemu organiziranemu kriminalu in dve novi konvenciji MOD ter zajemajo tudi urejene mednarodne migracije, ki prispevajo k trajnostnemu razvoju. Cilj predloga je tudi zagotoviti, da bo izvoz blaga, ki je rezultat mednarodno prepovedanega dela otrok in prisilnega dela, razlog za morebiten preklic trgovinskih preferencialov</w:t>
      </w:r>
      <w:r w:rsidRPr="005E2190">
        <w:rPr>
          <w:rStyle w:val="None"/>
          <w:rFonts w:ascii="Times New Roman" w:eastAsia="Times New Roman" w:hAnsi="Times New Roman" w:cs="Times New Roman"/>
          <w:noProof/>
          <w:sz w:val="24"/>
          <w:szCs w:val="24"/>
          <w:vertAlign w:val="superscript"/>
        </w:rPr>
        <w:footnoteReference w:id="18"/>
      </w:r>
      <w:r w:rsidRPr="005E2190">
        <w:rPr>
          <w:rStyle w:val="None"/>
          <w:rFonts w:ascii="Times New Roman" w:hAnsi="Times New Roman"/>
          <w:noProof/>
          <w:sz w:val="24"/>
        </w:rPr>
        <w:t xml:space="preserve">. </w:t>
      </w:r>
    </w:p>
    <w:p w14:paraId="760C7C87" w14:textId="6D662F14" w:rsidR="007E6F5E" w:rsidRPr="005E2190" w:rsidRDefault="32AFD438" w:rsidP="005B48CA">
      <w:pPr>
        <w:pStyle w:val="BodyA"/>
        <w:jc w:val="both"/>
        <w:rPr>
          <w:rStyle w:val="None"/>
          <w:rFonts w:ascii="Times New Roman" w:hAnsi="Times New Roman" w:cs="Times New Roman"/>
          <w:noProof/>
          <w:sz w:val="24"/>
          <w:szCs w:val="24"/>
        </w:rPr>
      </w:pPr>
      <w:bookmarkStart w:id="4" w:name="_Hlk106449195"/>
      <w:r w:rsidRPr="005E2190">
        <w:rPr>
          <w:rStyle w:val="None"/>
          <w:rFonts w:ascii="Times New Roman" w:hAnsi="Times New Roman"/>
          <w:noProof/>
          <w:sz w:val="24"/>
        </w:rPr>
        <w:t xml:space="preserve">Na </w:t>
      </w:r>
      <w:r w:rsidRPr="005E2190">
        <w:rPr>
          <w:rStyle w:val="None"/>
          <w:rFonts w:ascii="Times New Roman" w:hAnsi="Times New Roman"/>
          <w:b/>
          <w:noProof/>
          <w:sz w:val="24"/>
        </w:rPr>
        <w:t>večstranski ravni</w:t>
      </w:r>
      <w:r w:rsidRPr="005E2190">
        <w:rPr>
          <w:rStyle w:val="None"/>
          <w:rFonts w:ascii="Times New Roman" w:hAnsi="Times New Roman"/>
          <w:noProof/>
          <w:sz w:val="24"/>
        </w:rPr>
        <w:t xml:space="preserve"> je bila EU nedavno ena od </w:t>
      </w:r>
      <w:r w:rsidRPr="005E2190">
        <w:rPr>
          <w:rStyle w:val="None"/>
          <w:rFonts w:ascii="Times New Roman" w:hAnsi="Times New Roman"/>
          <w:b/>
          <w:noProof/>
          <w:sz w:val="24"/>
        </w:rPr>
        <w:t>pokroviteljic treh večstranskih pobud STO</w:t>
      </w:r>
      <w:r w:rsidRPr="005E2190">
        <w:rPr>
          <w:rStyle w:val="None"/>
          <w:rFonts w:ascii="Times New Roman" w:hAnsi="Times New Roman"/>
          <w:noProof/>
          <w:sz w:val="24"/>
        </w:rPr>
        <w:t xml:space="preserve"> o trgovini in okoljski trajnostnosti, onesnaževanju s plastiko in trajnostni trgovini s plastiko ter reformi subvencij za fosilna goriva</w:t>
      </w:r>
      <w:r w:rsidRPr="005E2190">
        <w:rPr>
          <w:rStyle w:val="None"/>
          <w:rFonts w:ascii="Times New Roman" w:hAnsi="Times New Roman" w:cs="Times New Roman"/>
          <w:noProof/>
          <w:sz w:val="24"/>
          <w:szCs w:val="24"/>
          <w:vertAlign w:val="superscript"/>
        </w:rPr>
        <w:footnoteReference w:id="19"/>
      </w:r>
      <w:r w:rsidRPr="005E2190">
        <w:rPr>
          <w:rStyle w:val="None"/>
          <w:rFonts w:ascii="Times New Roman" w:hAnsi="Times New Roman"/>
          <w:noProof/>
          <w:sz w:val="24"/>
        </w:rPr>
        <w:t xml:space="preserve">. Na 12. ministrski konferenci STO je imela EU ključno vlogo pri doseganju prvega </w:t>
      </w:r>
      <w:r w:rsidRPr="005E2190">
        <w:rPr>
          <w:rStyle w:val="None"/>
          <w:rFonts w:ascii="Times New Roman" w:hAnsi="Times New Roman"/>
          <w:b/>
          <w:noProof/>
          <w:sz w:val="24"/>
        </w:rPr>
        <w:t>večstranskega sporazuma o subvencijah za ribištvo</w:t>
      </w:r>
      <w:r w:rsidRPr="005E2190">
        <w:rPr>
          <w:rStyle w:val="None"/>
          <w:rFonts w:ascii="Times New Roman" w:hAnsi="Times New Roman"/>
          <w:noProof/>
          <w:sz w:val="24"/>
        </w:rPr>
        <w:t>, ki omejuje škodljive subvencije za ribištvo po vsem svetu in v središču katerega je okoljska trajnostnost. Do naslednje ministrske konference si bo še naprej prizadevala za razširitev pravil o subvencijah</w:t>
      </w:r>
      <w:r w:rsidRPr="005E2190">
        <w:rPr>
          <w:rStyle w:val="FootnoteReference"/>
          <w:rFonts w:ascii="Times New Roman" w:hAnsi="Times New Roman" w:cs="Times New Roman"/>
          <w:noProof/>
          <w:sz w:val="24"/>
          <w:szCs w:val="24"/>
        </w:rPr>
        <w:footnoteReference w:id="20"/>
      </w:r>
      <w:r w:rsidRPr="005E2190">
        <w:rPr>
          <w:rStyle w:val="None"/>
          <w:rFonts w:ascii="Times New Roman" w:hAnsi="Times New Roman"/>
          <w:noProof/>
          <w:sz w:val="24"/>
        </w:rPr>
        <w:t xml:space="preserve">. EU je prav tako dejavno podpirala uvedbo </w:t>
      </w:r>
      <w:r w:rsidRPr="005E2190">
        <w:rPr>
          <w:rStyle w:val="None"/>
          <w:rFonts w:ascii="Times New Roman" w:hAnsi="Times New Roman"/>
          <w:b/>
          <w:noProof/>
          <w:sz w:val="24"/>
        </w:rPr>
        <w:t>podnebne koalicije ministrov za trgovino</w:t>
      </w:r>
      <w:r w:rsidRPr="005E2190">
        <w:rPr>
          <w:rStyle w:val="None"/>
          <w:rFonts w:ascii="Times New Roman" w:hAnsi="Times New Roman"/>
          <w:noProof/>
          <w:sz w:val="24"/>
        </w:rPr>
        <w:t>, da bi dala dodaten politični zagon oblikovanju pozitivne trgovinske in podnebne agende, zlasti v STO</w:t>
      </w:r>
      <w:r w:rsidRPr="005E2190">
        <w:rPr>
          <w:rStyle w:val="None"/>
          <w:rFonts w:ascii="Times New Roman" w:hAnsi="Times New Roman" w:cs="Times New Roman"/>
          <w:noProof/>
          <w:sz w:val="24"/>
          <w:szCs w:val="24"/>
          <w:vertAlign w:val="superscript"/>
        </w:rPr>
        <w:footnoteReference w:id="21"/>
      </w:r>
      <w:r w:rsidRPr="005E2190">
        <w:rPr>
          <w:rStyle w:val="None"/>
          <w:rFonts w:ascii="Times New Roman" w:hAnsi="Times New Roman"/>
          <w:noProof/>
          <w:sz w:val="24"/>
        </w:rPr>
        <w:t xml:space="preserve">. V okviru reforme STO namerava spodbujati dialog o medsebojnem vplivu trgovine in dostojnega dela, tudi s sodelovanjem med STO in MOD. EU v </w:t>
      </w:r>
      <w:r w:rsidRPr="005E2190">
        <w:rPr>
          <w:rStyle w:val="None"/>
          <w:rFonts w:ascii="Times New Roman" w:hAnsi="Times New Roman"/>
          <w:b/>
          <w:noProof/>
          <w:sz w:val="24"/>
        </w:rPr>
        <w:t>OECD</w:t>
      </w:r>
      <w:r w:rsidRPr="005E2190">
        <w:rPr>
          <w:rStyle w:val="None"/>
          <w:rFonts w:ascii="Times New Roman" w:hAnsi="Times New Roman"/>
          <w:noProof/>
          <w:sz w:val="24"/>
        </w:rPr>
        <w:t xml:space="preserve"> podpira spremembe sklopa pravil, ki urejajo uradne </w:t>
      </w:r>
      <w:r w:rsidRPr="005E2190">
        <w:rPr>
          <w:rStyle w:val="None"/>
          <w:rFonts w:ascii="Times New Roman" w:hAnsi="Times New Roman"/>
          <w:b/>
          <w:noProof/>
          <w:sz w:val="24"/>
        </w:rPr>
        <w:t>izvozne kredite</w:t>
      </w:r>
      <w:r w:rsidRPr="005E2190">
        <w:rPr>
          <w:rStyle w:val="None"/>
          <w:rFonts w:ascii="Times New Roman" w:hAnsi="Times New Roman"/>
          <w:noProof/>
          <w:sz w:val="24"/>
        </w:rPr>
        <w:t>, da bi spodbudila uskladitev s podnebnimi cilji. Uspešno je dosegla tudi prepoved elektrarn, ki z nezmanjšano močjo proizvajajo energijo iz premoga</w:t>
      </w:r>
      <w:r w:rsidRPr="005E2190">
        <w:rPr>
          <w:rStyle w:val="None"/>
          <w:rFonts w:ascii="Times New Roman" w:hAnsi="Times New Roman" w:cs="Times New Roman"/>
          <w:noProof/>
          <w:sz w:val="24"/>
          <w:szCs w:val="24"/>
          <w:vertAlign w:val="superscript"/>
        </w:rPr>
        <w:footnoteReference w:id="22"/>
      </w:r>
      <w:r w:rsidRPr="005E2190">
        <w:rPr>
          <w:rStyle w:val="None"/>
          <w:rFonts w:ascii="Times New Roman" w:hAnsi="Times New Roman"/>
          <w:noProof/>
          <w:sz w:val="24"/>
        </w:rPr>
        <w:t xml:space="preserve">. </w:t>
      </w:r>
    </w:p>
    <w:bookmarkEnd w:id="4"/>
    <w:p w14:paraId="50D23363" w14:textId="625C1A5C" w:rsidR="00B52628" w:rsidRPr="005E2190" w:rsidRDefault="51664043" w:rsidP="002E117B">
      <w:pPr>
        <w:pStyle w:val="BodyA"/>
        <w:spacing w:after="200"/>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Vsi ti instrumenti in pobude politike v zvezi s trgovino so del celostnega odziva na svetovna vprašanja trajnostnosti in so neločljivo povezani s trgovinskimi sporazumi. </w:t>
      </w:r>
    </w:p>
    <w:p w14:paraId="5F340CA9" w14:textId="6B350F7D" w:rsidR="007E6F5E" w:rsidRPr="005E2190" w:rsidRDefault="00336C0A" w:rsidP="00AF4829">
      <w:pPr>
        <w:pStyle w:val="ListParagraph"/>
        <w:numPr>
          <w:ilvl w:val="0"/>
          <w:numId w:val="2"/>
        </w:numPr>
        <w:spacing w:after="200"/>
        <w:ind w:left="714" w:hanging="357"/>
        <w:jc w:val="both"/>
        <w:rPr>
          <w:rFonts w:ascii="Times New Roman" w:hAnsi="Times New Roman" w:cs="Times New Roman"/>
          <w:b/>
          <w:smallCaps/>
          <w:noProof/>
          <w:sz w:val="24"/>
          <w:szCs w:val="24"/>
        </w:rPr>
      </w:pPr>
      <w:r w:rsidRPr="005E2190">
        <w:rPr>
          <w:rFonts w:ascii="Times New Roman" w:hAnsi="Times New Roman"/>
          <w:b/>
          <w:smallCaps/>
          <w:noProof/>
          <w:sz w:val="24"/>
        </w:rPr>
        <w:t xml:space="preserve">Nove usmeritve politike za trajnostni razvoj v trgovinskih sporazumih </w:t>
      </w:r>
    </w:p>
    <w:p w14:paraId="11CCF294" w14:textId="39D6C692" w:rsidR="00317630" w:rsidRPr="005E2190" w:rsidRDefault="009A1D9C" w:rsidP="00317630">
      <w:pPr>
        <w:pStyle w:val="BodyA"/>
        <w:jc w:val="both"/>
        <w:rPr>
          <w:rFonts w:ascii="Times New Roman" w:hAnsi="Times New Roman" w:cs="Times New Roman"/>
          <w:noProof/>
          <w:sz w:val="24"/>
          <w:szCs w:val="24"/>
        </w:rPr>
      </w:pPr>
      <w:r w:rsidRPr="005E2190">
        <w:rPr>
          <w:rStyle w:val="None"/>
          <w:rFonts w:ascii="Times New Roman" w:hAnsi="Times New Roman"/>
          <w:noProof/>
          <w:sz w:val="24"/>
        </w:rPr>
        <w:t>Pregled trgovine in trajnostnega razvoja je potrdil trdnost modela EU za trgovino in trajnostni razvoj, vendar je opredelil tudi možnosti za izboljšave na področju</w:t>
      </w:r>
      <w:r w:rsidRPr="005E2190">
        <w:rPr>
          <w:rFonts w:ascii="Times New Roman" w:hAnsi="Times New Roman"/>
          <w:noProof/>
          <w:sz w:val="24"/>
        </w:rPr>
        <w:t xml:space="preserve"> </w:t>
      </w:r>
      <w:r w:rsidRPr="005E2190">
        <w:rPr>
          <w:rFonts w:ascii="Times New Roman" w:hAnsi="Times New Roman"/>
          <w:b/>
          <w:noProof/>
          <w:sz w:val="24"/>
        </w:rPr>
        <w:t>šestih prednostnih nalog politike</w:t>
      </w:r>
      <w:r w:rsidRPr="005E2190">
        <w:rPr>
          <w:rStyle w:val="None"/>
          <w:rFonts w:ascii="Times New Roman" w:hAnsi="Times New Roman"/>
          <w:noProof/>
          <w:sz w:val="24"/>
        </w:rPr>
        <w:t>, ki jih je mogoče povzeti kot: (1) potreba po večji proaktivnosti pri sodelovanju s partnerji;</w:t>
      </w:r>
      <w:r w:rsidRPr="005E2190">
        <w:rPr>
          <w:rFonts w:ascii="Times New Roman" w:hAnsi="Times New Roman"/>
          <w:noProof/>
          <w:sz w:val="24"/>
        </w:rPr>
        <w:t xml:space="preserve"> (2) okrepitev pristopa, prilagojenega posameznim državam; (3) vključevanje trajnostnosti v trgovinske sporazume tudi zunaj poglavja o trgovini in trajnostnem razvoju; (4) boljše spremljanje izvajanja zavez o trgovini in trajnostnem razvoju; (5) okrepitev vloge </w:t>
      </w:r>
      <w:r w:rsidRPr="005E2190">
        <w:rPr>
          <w:rFonts w:ascii="Times New Roman" w:hAnsi="Times New Roman"/>
          <w:noProof/>
          <w:sz w:val="24"/>
        </w:rPr>
        <w:lastRenderedPageBreak/>
        <w:t>civilne družbe in (6) izboljšanje izvrševanja s trgovinskimi sankcijami kot skrajnim ukrepom</w:t>
      </w:r>
      <w:r w:rsidRPr="005E2190">
        <w:rPr>
          <w:rStyle w:val="FootnoteReference"/>
          <w:rFonts w:ascii="Times New Roman" w:hAnsi="Times New Roman" w:cs="Times New Roman"/>
          <w:noProof/>
          <w:sz w:val="24"/>
          <w:szCs w:val="24"/>
        </w:rPr>
        <w:footnoteReference w:id="23"/>
      </w:r>
      <w:r w:rsidRPr="005E2190">
        <w:rPr>
          <w:rFonts w:ascii="Times New Roman" w:hAnsi="Times New Roman"/>
          <w:noProof/>
          <w:sz w:val="24"/>
        </w:rPr>
        <w:t>.</w:t>
      </w:r>
    </w:p>
    <w:p w14:paraId="459A7A9B" w14:textId="33C56A51" w:rsidR="007E6F5E" w:rsidRPr="005E2190" w:rsidRDefault="00593B0A" w:rsidP="00833DD2">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Da bi bil prispevek politike Komisije za trajnostni razvoj v trgovinskih sporazumih čim bolj učinkovit, bo politika osredotočena na več </w:t>
      </w:r>
      <w:r w:rsidRPr="005E2190">
        <w:rPr>
          <w:rStyle w:val="None"/>
          <w:rFonts w:ascii="Times New Roman" w:hAnsi="Times New Roman"/>
          <w:b/>
          <w:noProof/>
          <w:sz w:val="24"/>
        </w:rPr>
        <w:t>glavnih ukrepov</w:t>
      </w:r>
      <w:r w:rsidRPr="005E2190">
        <w:rPr>
          <w:rStyle w:val="None"/>
          <w:rFonts w:ascii="Times New Roman" w:hAnsi="Times New Roman"/>
          <w:noProof/>
          <w:sz w:val="24"/>
        </w:rPr>
        <w:t xml:space="preserve"> za vsako prednostno nalogo politike. Ti glavni ukrepi temeljijo na izkušnjah pri izvajanju, zbranih dokazih in prispevkih, prejetih v okviru odprtega javnega posvetovanja. Prav tako dopolnjujejo in razširjajo področja ukrepanja, opredeljena v akcijskem načrtu v 15 točkah.  </w:t>
      </w:r>
    </w:p>
    <w:p w14:paraId="52CC8B3A" w14:textId="3069D60F" w:rsidR="002239D2" w:rsidRPr="005E2190" w:rsidRDefault="49018CEF" w:rsidP="002239D2">
      <w:pPr>
        <w:ind w:left="350"/>
        <w:jc w:val="both"/>
        <w:rPr>
          <w:noProof/>
        </w:rPr>
      </w:pPr>
      <w:r w:rsidRPr="005E2190">
        <w:rPr>
          <w:noProof/>
        </w:rPr>
        <w:t>3.1</w:t>
      </w:r>
      <w:r w:rsidRPr="005E2190">
        <w:rPr>
          <w:noProof/>
        </w:rPr>
        <w:tab/>
        <w:t xml:space="preserve"> </w:t>
      </w:r>
      <w:r w:rsidRPr="005E2190">
        <w:rPr>
          <w:noProof/>
          <w:u w:val="single"/>
        </w:rPr>
        <w:t>Celosten pristop k trgovini in trajnostnemu razvoju, ki temelji na večstranskih sporazumih in sodelovanju</w:t>
      </w:r>
    </w:p>
    <w:p w14:paraId="6E30B25C" w14:textId="77777777" w:rsidR="002239D2" w:rsidRPr="005E2190" w:rsidRDefault="002239D2" w:rsidP="002239D2">
      <w:pPr>
        <w:ind w:left="350"/>
        <w:jc w:val="both"/>
        <w:rPr>
          <w:noProof/>
        </w:rPr>
      </w:pPr>
    </w:p>
    <w:p w14:paraId="1A669244" w14:textId="026C340F" w:rsidR="007E6F5E" w:rsidRPr="005E2190" w:rsidRDefault="51664043">
      <w:pPr>
        <w:pStyle w:val="BodyA"/>
        <w:jc w:val="both"/>
        <w:rPr>
          <w:rStyle w:val="None"/>
          <w:rFonts w:ascii="Times New Roman" w:hAnsi="Times New Roman" w:cs="Times New Roman"/>
          <w:noProof/>
          <w:color w:val="auto"/>
          <w:sz w:val="24"/>
          <w:szCs w:val="24"/>
          <w14:textOutline w14:w="0" w14:cap="rnd" w14:cmpd="sng" w14:algn="ctr">
            <w14:noFill/>
            <w14:prstDash w14:val="solid"/>
            <w14:bevel/>
          </w14:textOutline>
        </w:rPr>
      </w:pPr>
      <w:r w:rsidRPr="005E2190">
        <w:rPr>
          <w:rStyle w:val="None"/>
          <w:rFonts w:ascii="Times New Roman" w:hAnsi="Times New Roman"/>
          <w:noProof/>
          <w:sz w:val="24"/>
        </w:rPr>
        <w:t xml:space="preserve">Kot je navedeno zgoraj, je treba </w:t>
      </w:r>
      <w:r w:rsidRPr="005E2190">
        <w:rPr>
          <w:rStyle w:val="None"/>
          <w:rFonts w:ascii="Times New Roman" w:hAnsi="Times New Roman"/>
          <w:b/>
          <w:noProof/>
          <w:sz w:val="24"/>
        </w:rPr>
        <w:t>medsebojni vpliv trgovine in trajnostnega razvoja obravnavati celostno</w:t>
      </w:r>
      <w:r w:rsidRPr="005E2190">
        <w:rPr>
          <w:rStyle w:val="None"/>
          <w:rFonts w:ascii="Times New Roman" w:hAnsi="Times New Roman"/>
          <w:noProof/>
          <w:sz w:val="24"/>
        </w:rPr>
        <w:t xml:space="preserve"> ter trgovinsko politiko umestiti v širši okvir drugih orodij, ki podpirajo trajnostnost. Znotraj tega celostnega pristopa </w:t>
      </w:r>
      <w:r w:rsidRPr="005E2190">
        <w:rPr>
          <w:rStyle w:val="None"/>
          <w:rFonts w:ascii="Times New Roman" w:hAnsi="Times New Roman"/>
          <w:b/>
          <w:noProof/>
          <w:sz w:val="24"/>
        </w:rPr>
        <w:t>trgovinski sporazumi spodbujajo svetovni okvir upravljanja</w:t>
      </w:r>
      <w:r w:rsidRPr="005E2190">
        <w:rPr>
          <w:rStyle w:val="None"/>
          <w:rFonts w:ascii="Times New Roman" w:hAnsi="Times New Roman"/>
          <w:noProof/>
          <w:sz w:val="24"/>
        </w:rPr>
        <w:t>, zlasti z vključevanjem temeljnih mednarodnih standardov in zavez ter z zagotavljanjem njihovega učinkovitega izvajanja, spoštovanja in nadaljnjega izboljševanja prek postopkov sodelovanja. Zaradi trdne ukoreninjenosti dvostranskih zavez o trgovini in trajnostnem razvoju v večstranski okvir je pristop EU na področju trgovine in trajnostnega razvoja legitimen, verodostojen in učinkovit. Prav tako si prizadeva preprečiti razdrobljenost in namesto tega zagotoviti, da zaveze o trgovini in trajnostnem razvoju krepijo svetovna prizadevanja. Ker zaveze o trgovini in trajnostnem razvoju temeljijo na mednarodnih standardih, lahko ščitijo tudi pred protekcionističnimi vzgibi.</w:t>
      </w:r>
    </w:p>
    <w:p w14:paraId="42BBE7C8" w14:textId="143F64E6" w:rsidR="007E6F5E" w:rsidRPr="005E2190" w:rsidRDefault="00827678" w:rsidP="002E117B">
      <w:pPr>
        <w:pStyle w:val="Body"/>
        <w:spacing w:after="160" w:line="259" w:lineRule="auto"/>
        <w:jc w:val="both"/>
        <w:rPr>
          <w:rStyle w:val="None"/>
          <w:rFonts w:cs="Times New Roman"/>
          <w:noProof/>
        </w:rPr>
      </w:pPr>
      <w:r w:rsidRPr="005E2190">
        <w:rPr>
          <w:rStyle w:val="None"/>
          <w:noProof/>
        </w:rPr>
        <w:t xml:space="preserve">Pristop, ki temelji na angažiranosti in sodelovanju, EU in njenim partnerjem omogoča, da </w:t>
      </w:r>
      <w:r w:rsidRPr="005E2190">
        <w:rPr>
          <w:rStyle w:val="None"/>
          <w:b/>
          <w:noProof/>
        </w:rPr>
        <w:t>skupaj prevzamejo odgovornost</w:t>
      </w:r>
      <w:r w:rsidRPr="005E2190">
        <w:rPr>
          <w:rStyle w:val="None"/>
          <w:noProof/>
        </w:rPr>
        <w:t xml:space="preserve"> za prispevek trgovinskih sporazumov k spodbujanju zelenega in pravičnega prehoda ter doseganju </w:t>
      </w:r>
      <w:r w:rsidRPr="005E2190">
        <w:rPr>
          <w:rStyle w:val="None"/>
          <w:b/>
          <w:noProof/>
        </w:rPr>
        <w:t>ciljev trajnostnega razvoja</w:t>
      </w:r>
      <w:r w:rsidRPr="005E2190">
        <w:rPr>
          <w:rStyle w:val="None"/>
          <w:noProof/>
        </w:rPr>
        <w:t>. Spodbuja tudi širšo vključenost različnih deležnikov, med drugim lokalnih skupnosti, nevladnih organizacij, delodajalcev in sindikatov. Vse to je bistvenega pomena za spremembe na terenu.</w:t>
      </w:r>
    </w:p>
    <w:p w14:paraId="4CDC4396" w14:textId="0C15E7DD" w:rsidR="007E6F5E" w:rsidRPr="005E2190" w:rsidRDefault="0026538F" w:rsidP="00833DD2">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V tem okviru bo Komisija v celoti izkoristila platforme, ki jih zagotavljajo trgovinski sporazumi, da bi </w:t>
      </w:r>
      <w:r w:rsidRPr="005E2190">
        <w:rPr>
          <w:rStyle w:val="None"/>
          <w:rFonts w:ascii="Times New Roman" w:hAnsi="Times New Roman"/>
          <w:b/>
          <w:noProof/>
          <w:sz w:val="24"/>
        </w:rPr>
        <w:t>podprla dialog o avtonomnih instrumentih EU za trajnostnost, povezanih s trgovino</w:t>
      </w:r>
      <w:r w:rsidRPr="005E2190">
        <w:rPr>
          <w:rStyle w:val="None"/>
          <w:rFonts w:ascii="Times New Roman" w:hAnsi="Times New Roman"/>
          <w:noProof/>
          <w:sz w:val="24"/>
        </w:rPr>
        <w:t xml:space="preserve">, in </w:t>
      </w:r>
      <w:r w:rsidRPr="005E2190">
        <w:rPr>
          <w:rStyle w:val="None"/>
          <w:rFonts w:ascii="Times New Roman" w:hAnsi="Times New Roman"/>
          <w:b/>
          <w:noProof/>
          <w:sz w:val="24"/>
        </w:rPr>
        <w:t>pozvala trgovinske partnerje, naj spodbujajo spoštovanje teh instrumentov</w:t>
      </w:r>
      <w:r w:rsidRPr="005E2190">
        <w:rPr>
          <w:rStyle w:val="None"/>
          <w:rFonts w:ascii="Times New Roman" w:hAnsi="Times New Roman"/>
          <w:noProof/>
          <w:sz w:val="24"/>
        </w:rPr>
        <w:t xml:space="preserve">. Komisija namerava tudi izboljšati splošno učinkovitost skupnih prizadevanj z nadgradnjo ukrepov pod poglavjem „Sodelovanje“ iz akcijskega načrta v 15 točkah in okrepiti skupni pristop EU v primerih, v katerih je potrebna </w:t>
      </w:r>
      <w:r w:rsidRPr="005E2190">
        <w:rPr>
          <w:rStyle w:val="None"/>
          <w:rFonts w:ascii="Times New Roman" w:hAnsi="Times New Roman"/>
          <w:b/>
          <w:noProof/>
          <w:sz w:val="24"/>
        </w:rPr>
        <w:t>tehnična ali finančna pomoč ali v katerih lahko taka pomoč trgovinske partnerje spodbudi k nadaljnjemu zvišanju ravni varstva delavcev in okolja</w:t>
      </w:r>
      <w:r w:rsidRPr="005E2190">
        <w:rPr>
          <w:rStyle w:val="None"/>
          <w:rFonts w:ascii="Times New Roman" w:hAnsi="Times New Roman"/>
          <w:noProof/>
          <w:sz w:val="24"/>
        </w:rPr>
        <w:t>.</w:t>
      </w:r>
    </w:p>
    <w:tbl>
      <w:tblPr>
        <w:tblW w:w="8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31"/>
      </w:tblGrid>
      <w:tr w:rsidR="007E6F5E" w:rsidRPr="005E2190" w14:paraId="719EDC48" w14:textId="77777777" w:rsidTr="005D4F8F">
        <w:trPr>
          <w:trHeight w:val="194"/>
        </w:trPr>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9199D3F" w14:textId="77777777" w:rsidR="007E6F5E" w:rsidRPr="005E2190" w:rsidRDefault="00336C0A" w:rsidP="00833DD2">
            <w:pPr>
              <w:pStyle w:val="BodyA"/>
              <w:spacing w:after="0"/>
              <w:jc w:val="center"/>
              <w:rPr>
                <w:rStyle w:val="None"/>
                <w:rFonts w:ascii="Times New Roman" w:hAnsi="Times New Roman" w:cs="Times New Roman"/>
                <w:b/>
                <w:noProof/>
                <w:sz w:val="24"/>
                <w:szCs w:val="24"/>
              </w:rPr>
            </w:pPr>
            <w:r w:rsidRPr="005E2190">
              <w:rPr>
                <w:rStyle w:val="None"/>
                <w:rFonts w:ascii="Times New Roman" w:hAnsi="Times New Roman"/>
                <w:b/>
                <w:noProof/>
                <w:sz w:val="24"/>
              </w:rPr>
              <w:t>Glavni ukrepi</w:t>
            </w:r>
          </w:p>
          <w:p w14:paraId="26B245DE" w14:textId="77777777" w:rsidR="007E6F5E" w:rsidRPr="005E2190" w:rsidRDefault="00336C0A" w:rsidP="00073A7F">
            <w:pPr>
              <w:pStyle w:val="BodyA"/>
              <w:spacing w:after="120" w:line="240" w:lineRule="auto"/>
              <w:jc w:val="both"/>
              <w:rPr>
                <w:rStyle w:val="None"/>
                <w:rFonts w:ascii="Times New Roman" w:hAnsi="Times New Roman" w:cs="Times New Roman"/>
                <w:noProof/>
                <w:sz w:val="24"/>
                <w:szCs w:val="24"/>
              </w:rPr>
            </w:pPr>
            <w:r w:rsidRPr="005E2190">
              <w:rPr>
                <w:rStyle w:val="None"/>
                <w:rFonts w:ascii="Times New Roman" w:hAnsi="Times New Roman"/>
                <w:noProof/>
                <w:sz w:val="24"/>
              </w:rPr>
              <w:t>Komisija bo:</w:t>
            </w:r>
            <w:r w:rsidRPr="005E2190">
              <w:rPr>
                <w:rStyle w:val="None"/>
                <w:rFonts w:ascii="Times New Roman" w:hAnsi="Times New Roman"/>
                <w:i/>
                <w:noProof/>
                <w:sz w:val="24"/>
              </w:rPr>
              <w:t xml:space="preserve"> </w:t>
            </w:r>
          </w:p>
          <w:p w14:paraId="202F102B" w14:textId="3F6CB68B" w:rsidR="007E6F5E" w:rsidRPr="005E2190" w:rsidRDefault="51664043" w:rsidP="00073A7F">
            <w:pPr>
              <w:pStyle w:val="ListParagraph"/>
              <w:numPr>
                <w:ilvl w:val="0"/>
                <w:numId w:val="5"/>
              </w:numPr>
              <w:spacing w:after="120" w:line="240" w:lineRule="auto"/>
              <w:jc w:val="both"/>
              <w:rPr>
                <w:rFonts w:ascii="Times New Roman" w:hAnsi="Times New Roman" w:cs="Times New Roman"/>
                <w:noProof/>
                <w:sz w:val="24"/>
                <w:szCs w:val="24"/>
              </w:rPr>
            </w:pPr>
            <w:r w:rsidRPr="005E2190">
              <w:rPr>
                <w:rStyle w:val="None"/>
                <w:rFonts w:ascii="Times New Roman" w:hAnsi="Times New Roman"/>
                <w:b/>
                <w:noProof/>
                <w:sz w:val="24"/>
              </w:rPr>
              <w:t>okrepila sodelovanje</w:t>
            </w:r>
            <w:r w:rsidRPr="005E2190">
              <w:rPr>
                <w:rStyle w:val="None"/>
                <w:rFonts w:ascii="Times New Roman" w:hAnsi="Times New Roman"/>
                <w:noProof/>
                <w:sz w:val="24"/>
              </w:rPr>
              <w:t xml:space="preserve"> s trgovinskimi partnerji v okviru </w:t>
            </w:r>
            <w:r w:rsidRPr="005E2190">
              <w:rPr>
                <w:rStyle w:val="None"/>
                <w:rFonts w:ascii="Times New Roman" w:hAnsi="Times New Roman"/>
                <w:b/>
                <w:noProof/>
                <w:sz w:val="24"/>
              </w:rPr>
              <w:t>postopka sodelovanja</w:t>
            </w:r>
            <w:r w:rsidRPr="005E2190">
              <w:rPr>
                <w:rStyle w:val="None"/>
                <w:rFonts w:ascii="Times New Roman" w:hAnsi="Times New Roman"/>
                <w:noProof/>
                <w:sz w:val="24"/>
              </w:rPr>
              <w:t xml:space="preserve">, da bi spodbujala </w:t>
            </w:r>
            <w:r w:rsidRPr="005E2190">
              <w:rPr>
                <w:rStyle w:val="None"/>
                <w:rFonts w:ascii="Times New Roman" w:hAnsi="Times New Roman"/>
                <w:b/>
                <w:noProof/>
                <w:sz w:val="24"/>
              </w:rPr>
              <w:t>izpolnjevanje mednarodnih delovnih in okoljskih standardov</w:t>
            </w:r>
            <w:r w:rsidRPr="005E2190">
              <w:rPr>
                <w:rStyle w:val="None"/>
                <w:rFonts w:ascii="Times New Roman" w:hAnsi="Times New Roman"/>
                <w:noProof/>
                <w:sz w:val="24"/>
              </w:rPr>
              <w:t>;</w:t>
            </w:r>
            <w:r w:rsidRPr="005E2190">
              <w:rPr>
                <w:rStyle w:val="None"/>
                <w:rFonts w:ascii="Times New Roman" w:hAnsi="Times New Roman"/>
                <w:b/>
                <w:noProof/>
                <w:sz w:val="24"/>
              </w:rPr>
              <w:t xml:space="preserve"> </w:t>
            </w:r>
          </w:p>
          <w:p w14:paraId="488C1624" w14:textId="3B2FDC9E" w:rsidR="007E6F5E" w:rsidRPr="005E2190" w:rsidRDefault="00D84C1A" w:rsidP="00073A7F">
            <w:pPr>
              <w:pStyle w:val="ListParagraph"/>
              <w:numPr>
                <w:ilvl w:val="0"/>
                <w:numId w:val="5"/>
              </w:numPr>
              <w:spacing w:after="120" w:line="240" w:lineRule="auto"/>
              <w:jc w:val="both"/>
              <w:rPr>
                <w:rFonts w:ascii="Times New Roman" w:hAnsi="Times New Roman" w:cs="Times New Roman"/>
                <w:noProof/>
                <w:sz w:val="24"/>
                <w:szCs w:val="24"/>
              </w:rPr>
            </w:pPr>
            <w:r w:rsidRPr="005E2190">
              <w:rPr>
                <w:rStyle w:val="None"/>
                <w:rFonts w:ascii="Times New Roman" w:hAnsi="Times New Roman"/>
                <w:noProof/>
                <w:sz w:val="24"/>
              </w:rPr>
              <w:lastRenderedPageBreak/>
              <w:t xml:space="preserve">po potrebi zagotovila </w:t>
            </w:r>
            <w:r w:rsidRPr="005E2190">
              <w:rPr>
                <w:rStyle w:val="None"/>
                <w:rFonts w:ascii="Times New Roman" w:hAnsi="Times New Roman"/>
                <w:b/>
                <w:noProof/>
                <w:sz w:val="24"/>
              </w:rPr>
              <w:t>spodbude in podporo</w:t>
            </w:r>
            <w:r w:rsidRPr="005E2190">
              <w:rPr>
                <w:rStyle w:val="None"/>
                <w:rFonts w:ascii="Times New Roman" w:hAnsi="Times New Roman"/>
                <w:noProof/>
                <w:sz w:val="24"/>
              </w:rPr>
              <w:t xml:space="preserve"> trgovinskim partnerjem za </w:t>
            </w:r>
            <w:r w:rsidRPr="005E2190">
              <w:rPr>
                <w:rStyle w:val="None"/>
                <w:rFonts w:ascii="Times New Roman" w:hAnsi="Times New Roman"/>
                <w:b/>
                <w:noProof/>
                <w:sz w:val="24"/>
              </w:rPr>
              <w:t>procese reform</w:t>
            </w:r>
            <w:r w:rsidRPr="005E2190">
              <w:rPr>
                <w:rStyle w:val="None"/>
                <w:rFonts w:ascii="Times New Roman" w:hAnsi="Times New Roman"/>
                <w:noProof/>
                <w:sz w:val="24"/>
              </w:rPr>
              <w:t xml:space="preserve"> in </w:t>
            </w:r>
            <w:r w:rsidRPr="005E2190">
              <w:rPr>
                <w:rStyle w:val="None"/>
                <w:rFonts w:ascii="Times New Roman" w:hAnsi="Times New Roman"/>
                <w:b/>
                <w:noProof/>
                <w:sz w:val="24"/>
              </w:rPr>
              <w:t>gradnjo zmogljivosti</w:t>
            </w:r>
            <w:r w:rsidRPr="005E2190">
              <w:rPr>
                <w:rStyle w:val="None"/>
                <w:rFonts w:ascii="Times New Roman" w:hAnsi="Times New Roman"/>
                <w:noProof/>
                <w:sz w:val="24"/>
              </w:rPr>
              <w:t xml:space="preserve"> s </w:t>
            </w:r>
            <w:r w:rsidRPr="005E2190">
              <w:rPr>
                <w:rStyle w:val="None"/>
                <w:rFonts w:ascii="Times New Roman" w:hAnsi="Times New Roman"/>
                <w:b/>
                <w:noProof/>
                <w:sz w:val="24"/>
              </w:rPr>
              <w:t>tehnično</w:t>
            </w:r>
            <w:r w:rsidRPr="005E2190">
              <w:rPr>
                <w:rStyle w:val="None"/>
                <w:rFonts w:ascii="Times New Roman" w:hAnsi="Times New Roman"/>
                <w:noProof/>
                <w:sz w:val="24"/>
              </w:rPr>
              <w:t xml:space="preserve"> in </w:t>
            </w:r>
            <w:r w:rsidRPr="005E2190">
              <w:rPr>
                <w:rStyle w:val="None"/>
                <w:rFonts w:ascii="Times New Roman" w:hAnsi="Times New Roman"/>
                <w:b/>
                <w:noProof/>
                <w:sz w:val="24"/>
              </w:rPr>
              <w:t>finančno pomočjo</w:t>
            </w:r>
            <w:r w:rsidRPr="005E2190">
              <w:rPr>
                <w:rStyle w:val="None"/>
                <w:rFonts w:ascii="Times New Roman" w:hAnsi="Times New Roman"/>
                <w:noProof/>
                <w:sz w:val="24"/>
              </w:rPr>
              <w:t>. Kjer je to ustrezno, bi morala EU tudi razviti pristop Ekipe Evropa v podporo prednostnim nalogam trajnostnega razvoja, ki so bile dogovorjene skupaj s partnerskimi državami;</w:t>
            </w:r>
          </w:p>
          <w:p w14:paraId="413A38B9" w14:textId="48A3D83D" w:rsidR="007E6F5E" w:rsidRPr="005E2190" w:rsidRDefault="51664043" w:rsidP="000D382B">
            <w:pPr>
              <w:pStyle w:val="ListParagraph"/>
              <w:numPr>
                <w:ilvl w:val="0"/>
                <w:numId w:val="5"/>
              </w:numPr>
              <w:spacing w:after="0" w:line="240" w:lineRule="auto"/>
              <w:ind w:left="448" w:hanging="357"/>
              <w:jc w:val="both"/>
              <w:rPr>
                <w:rFonts w:ascii="Times New Roman" w:hAnsi="Times New Roman" w:cs="Times New Roman"/>
                <w:noProof/>
                <w:sz w:val="24"/>
                <w:szCs w:val="24"/>
              </w:rPr>
            </w:pPr>
            <w:r w:rsidRPr="005E2190">
              <w:rPr>
                <w:rStyle w:val="None"/>
                <w:rFonts w:ascii="Times New Roman" w:hAnsi="Times New Roman"/>
                <w:noProof/>
                <w:sz w:val="24"/>
              </w:rPr>
              <w:t xml:space="preserve">uporabljala trgovinske sporazume za spodbujanje dialoga s partnerskimi državami in po potrebi pomagala tem državam pri </w:t>
            </w:r>
            <w:r w:rsidRPr="005E2190">
              <w:rPr>
                <w:rStyle w:val="None"/>
                <w:rFonts w:ascii="Times New Roman" w:hAnsi="Times New Roman"/>
                <w:b/>
                <w:noProof/>
                <w:sz w:val="24"/>
              </w:rPr>
              <w:t>izpolnjevanju zahtev glede trajnostnosti</w:t>
            </w:r>
            <w:r w:rsidRPr="005E2190">
              <w:rPr>
                <w:rStyle w:val="None"/>
                <w:rFonts w:ascii="Times New Roman" w:hAnsi="Times New Roman"/>
                <w:noProof/>
                <w:sz w:val="24"/>
              </w:rPr>
              <w:t xml:space="preserve"> v okviru </w:t>
            </w:r>
            <w:r w:rsidRPr="005E2190">
              <w:rPr>
                <w:rStyle w:val="None"/>
                <w:rFonts w:ascii="Times New Roman" w:hAnsi="Times New Roman"/>
                <w:b/>
                <w:noProof/>
                <w:sz w:val="24"/>
              </w:rPr>
              <w:t>avtonomnih instrumentov EU, povezanih s trgovino</w:t>
            </w:r>
            <w:r w:rsidRPr="005E2190">
              <w:rPr>
                <w:rStyle w:val="None"/>
                <w:rFonts w:ascii="Times New Roman" w:hAnsi="Times New Roman"/>
                <w:noProof/>
                <w:sz w:val="24"/>
              </w:rPr>
              <w:t>.</w:t>
            </w:r>
          </w:p>
        </w:tc>
      </w:tr>
    </w:tbl>
    <w:p w14:paraId="1CE778EA" w14:textId="0CB6A48F" w:rsidR="004E57CE" w:rsidRPr="005E2190" w:rsidRDefault="004E57CE" w:rsidP="00BD20F1">
      <w:pPr>
        <w:pStyle w:val="Body"/>
        <w:jc w:val="both"/>
        <w:rPr>
          <w:rStyle w:val="None"/>
          <w:rFonts w:cs="Times New Roman"/>
          <w:noProof/>
          <w:u w:val="single"/>
        </w:rPr>
      </w:pPr>
    </w:p>
    <w:p w14:paraId="55D3C575" w14:textId="6098DAB5" w:rsidR="004E57CE" w:rsidRPr="005E2190" w:rsidRDefault="004E57CE">
      <w:pPr>
        <w:rPr>
          <w:rStyle w:val="None"/>
          <w:noProof/>
          <w:u w:val="single"/>
        </w:rPr>
      </w:pPr>
    </w:p>
    <w:p w14:paraId="630B3089" w14:textId="77777777" w:rsidR="00D94917" w:rsidRPr="005E2190" w:rsidRDefault="00D94917">
      <w:pPr>
        <w:rPr>
          <w:rStyle w:val="None"/>
          <w:noProof/>
          <w:color w:val="000000"/>
          <w:u w:val="single" w:color="000000"/>
          <w:lang w:eastAsia="en-IE"/>
          <w14:textOutline w14:w="0" w14:cap="flat" w14:cmpd="sng" w14:algn="ctr">
            <w14:noFill/>
            <w14:prstDash w14:val="solid"/>
            <w14:bevel/>
          </w14:textOutline>
        </w:rPr>
      </w:pPr>
    </w:p>
    <w:p w14:paraId="2F541BF0" w14:textId="25D1D2B0" w:rsidR="002239D2" w:rsidRPr="005E2190" w:rsidRDefault="49018CEF" w:rsidP="002239D2">
      <w:pPr>
        <w:tabs>
          <w:tab w:val="left" w:pos="1276"/>
        </w:tabs>
        <w:spacing w:after="240"/>
        <w:ind w:firstLine="720"/>
        <w:rPr>
          <w:rStyle w:val="None"/>
          <w:noProof/>
          <w:u w:val="single"/>
        </w:rPr>
      </w:pPr>
      <w:r w:rsidRPr="005E2190">
        <w:rPr>
          <w:rStyle w:val="None"/>
          <w:noProof/>
        </w:rPr>
        <w:t xml:space="preserve">3.2 </w:t>
      </w:r>
      <w:r w:rsidRPr="005E2190">
        <w:rPr>
          <w:noProof/>
        </w:rPr>
        <w:tab/>
      </w:r>
      <w:r w:rsidRPr="005E2190">
        <w:rPr>
          <w:rStyle w:val="None"/>
          <w:noProof/>
          <w:u w:val="single"/>
        </w:rPr>
        <w:t>Opredelitev prednostnih nalog izvajanja, prilagojenih posameznim državam</w:t>
      </w:r>
    </w:p>
    <w:p w14:paraId="21D8C0E2" w14:textId="6BC763F9" w:rsidR="00577C20" w:rsidRPr="005E2190" w:rsidRDefault="00AA190A">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Pregled trgovine in trajnostnega razvoja je razkril jasna pričakovanja, da bi morale biti zaveze o trgovini in trajnostnem razvoju v trgovinskih sporazumih EU učinkovitejše in hitrejše pri uvajanju sprememb na terenu, kot tudi to, da so rezultati močno odvisni od posebnih razmer v posameznih državah. Te ugotovitve govorijo v prid </w:t>
      </w:r>
      <w:r w:rsidRPr="005E2190">
        <w:rPr>
          <w:rStyle w:val="None"/>
          <w:rFonts w:ascii="Times New Roman" w:hAnsi="Times New Roman"/>
          <w:b/>
          <w:noProof/>
          <w:sz w:val="24"/>
        </w:rPr>
        <w:t>okrepitvi pristopa za posamezne države, opredeljenega v akcijskem načrtu v 15 točkah, na bolj prilagojen in ciljno usmerjen način</w:t>
      </w:r>
      <w:r w:rsidRPr="005E2190">
        <w:rPr>
          <w:rStyle w:val="None"/>
          <w:rFonts w:ascii="Times New Roman" w:hAnsi="Times New Roman"/>
          <w:noProof/>
          <w:sz w:val="24"/>
        </w:rPr>
        <w:t xml:space="preserve">. </w:t>
      </w:r>
    </w:p>
    <w:p w14:paraId="2FA79591" w14:textId="7E0E35C2" w:rsidR="007E6F5E" w:rsidRPr="005E2190" w:rsidRDefault="51664043">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Dvostranski trgovinski odnosi EU zajemajo ves svet in vključujejo partnerje na različnih ravneh razvoja, ki se soočajo z različnimi gospodarskimi, socialnimi in okoljskimi izzivi ter priložnostmi. Čeprav poglavja o trgovini in trajnostnem razvoju vključujejo enake zavezujoče zaveze tako za EU kot za partnerske države, iskanje učinkovitih rešitev za to raznoliko paleto partnerjev zahteva prožnost in prednostno razvrščanje, da bi bili cilji trgovine in trajnostnega razvoja bolje prilagojeni izzivom, potrebam in zmogljivostim vsakega od njih. </w:t>
      </w:r>
    </w:p>
    <w:p w14:paraId="4B219CA3" w14:textId="5E675DD3" w:rsidR="007E6F5E" w:rsidRPr="005E2190" w:rsidRDefault="5963A5F4">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Za določitev takih </w:t>
      </w:r>
      <w:r w:rsidRPr="005E2190">
        <w:rPr>
          <w:rStyle w:val="None"/>
          <w:rFonts w:ascii="Times New Roman" w:hAnsi="Times New Roman"/>
          <w:b/>
          <w:noProof/>
          <w:sz w:val="24"/>
        </w:rPr>
        <w:t>prednostnih nalog izvajanja, prilagojenih posameznim državam</w:t>
      </w:r>
      <w:r w:rsidRPr="005E2190">
        <w:rPr>
          <w:rStyle w:val="None"/>
          <w:rFonts w:ascii="Times New Roman" w:hAnsi="Times New Roman"/>
          <w:noProof/>
          <w:sz w:val="24"/>
        </w:rPr>
        <w:t xml:space="preserve">, je potrebna zgodnja </w:t>
      </w:r>
      <w:r w:rsidRPr="005E2190">
        <w:rPr>
          <w:rStyle w:val="None"/>
          <w:rFonts w:ascii="Times New Roman" w:hAnsi="Times New Roman"/>
          <w:b/>
          <w:noProof/>
          <w:sz w:val="24"/>
        </w:rPr>
        <w:t>analiza vrzeli</w:t>
      </w:r>
      <w:r w:rsidRPr="005E2190">
        <w:rPr>
          <w:rStyle w:val="None"/>
          <w:rFonts w:ascii="Times New Roman" w:hAnsi="Times New Roman"/>
          <w:noProof/>
          <w:sz w:val="24"/>
        </w:rPr>
        <w:t xml:space="preserve"> ter vključitev </w:t>
      </w:r>
      <w:r w:rsidRPr="005E2190">
        <w:rPr>
          <w:rStyle w:val="None"/>
          <w:rFonts w:ascii="Times New Roman" w:hAnsi="Times New Roman"/>
          <w:b/>
          <w:noProof/>
          <w:sz w:val="24"/>
        </w:rPr>
        <w:t>večje stopnje podrobnosti in specifičnosti v razsežnost trgovine in trajnostnega razvoja</w:t>
      </w:r>
      <w:r w:rsidRPr="005E2190">
        <w:rPr>
          <w:rStyle w:val="None"/>
          <w:rFonts w:ascii="Times New Roman" w:hAnsi="Times New Roman"/>
          <w:noProof/>
          <w:sz w:val="24"/>
        </w:rPr>
        <w:t xml:space="preserve">. Ključne izzive, priložnosti in prednostne naloge bi bilo treba opredeliti skupaj z določenim partnerjem v zgodnjih fazah sodelovanja. Take prednostne naloge bi bilo treba razviti s sodelovanjem civilne družbe in jih vključiti že v oceno učinka pred začetkom pogajanj, nato pa jih nadalje izpopolniti med oceno učinka na trajnostni razvoj in oceniti v naknadni analizi med izvajanjem. </w:t>
      </w:r>
      <w:r w:rsidRPr="005E2190">
        <w:rPr>
          <w:rFonts w:ascii="Times New Roman" w:hAnsi="Times New Roman"/>
          <w:noProof/>
          <w:sz w:val="24"/>
        </w:rPr>
        <w:t>V skladu s strategijo EU za biotsko raznovrstnost</w:t>
      </w:r>
      <w:r w:rsidRPr="005E2190">
        <w:rPr>
          <w:rStyle w:val="FootnoteReference"/>
          <w:rFonts w:ascii="Times New Roman" w:hAnsi="Times New Roman" w:cs="Times New Roman"/>
          <w:noProof/>
          <w:sz w:val="24"/>
          <w:szCs w:val="24"/>
        </w:rPr>
        <w:footnoteReference w:id="24"/>
      </w:r>
      <w:r w:rsidRPr="005E2190">
        <w:rPr>
          <w:rFonts w:ascii="Times New Roman" w:hAnsi="Times New Roman"/>
          <w:noProof/>
          <w:sz w:val="24"/>
        </w:rPr>
        <w:t xml:space="preserve"> bo imel pri teh ocenah pomembno vlogo vpliv liberalizacije trgovine na biotsko raznovrstnost.</w:t>
      </w:r>
      <w:r w:rsidRPr="005E2190">
        <w:rPr>
          <w:rStyle w:val="None"/>
          <w:rFonts w:ascii="Times New Roman" w:hAnsi="Times New Roman"/>
          <w:noProof/>
          <w:sz w:val="24"/>
        </w:rPr>
        <w:t xml:space="preserve"> Na tej podlagi bi se morale EU in partnerske države pri pogajanjih osredotočiti na</w:t>
      </w:r>
      <w:r w:rsidRPr="005E2190">
        <w:rPr>
          <w:rFonts w:ascii="Times New Roman" w:hAnsi="Times New Roman"/>
          <w:noProof/>
          <w:sz w:val="24"/>
        </w:rPr>
        <w:t xml:space="preserve"> </w:t>
      </w:r>
      <w:r w:rsidRPr="005E2190">
        <w:rPr>
          <w:rFonts w:ascii="Times New Roman" w:hAnsi="Times New Roman"/>
          <w:b/>
          <w:noProof/>
          <w:sz w:val="24"/>
        </w:rPr>
        <w:t>ključne prednostne naloge izvajanja, prilagojene posameznim državam,</w:t>
      </w:r>
      <w:r w:rsidRPr="005E2190">
        <w:rPr>
          <w:rStyle w:val="None"/>
          <w:rFonts w:ascii="Times New Roman" w:hAnsi="Times New Roman"/>
          <w:noProof/>
          <w:sz w:val="24"/>
        </w:rPr>
        <w:t xml:space="preserve"> da bi se zagotovil napredek pri doseganju ciljev trgovine in trajnostnega razvoja.</w:t>
      </w:r>
      <w:r w:rsidRPr="005E2190">
        <w:rPr>
          <w:rFonts w:ascii="Times New Roman" w:hAnsi="Times New Roman"/>
          <w:noProof/>
          <w:sz w:val="24"/>
        </w:rPr>
        <w:t xml:space="preserve"> Te prednostne naloge bi morale biti realistične in ciljno usmerjene, da bi prispevale k doseganju rezultatov.</w:t>
      </w:r>
      <w:r w:rsidRPr="005E2190">
        <w:rPr>
          <w:rStyle w:val="None"/>
          <w:rFonts w:ascii="Times New Roman" w:hAnsi="Times New Roman"/>
          <w:noProof/>
          <w:sz w:val="24"/>
        </w:rPr>
        <w:t xml:space="preserve"> Prav tako bi morale biti dovolj prožne, da bi se sčasoma lahko prilagodile spreminjajočim se razmeram na področju trajnostnosti. </w:t>
      </w:r>
    </w:p>
    <w:p w14:paraId="6383058F" w14:textId="3E8747C9" w:rsidR="007E6F5E" w:rsidRPr="005E2190" w:rsidRDefault="00336C0A" w:rsidP="00BD20F1">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Cilj tega je po potrebi okrepiti izvajanje na določenem področju, na primer v smislu spoštovanja načela ali konvencije MOD ali skladnosti z ratificiranim večstranskim okoljskim sporazumom. Kadar je to potrebno in ustrezno, se to lahko doseže z dogovorom s partnersko </w:t>
      </w:r>
      <w:r w:rsidRPr="005E2190">
        <w:rPr>
          <w:rStyle w:val="None"/>
          <w:rFonts w:ascii="Times New Roman" w:hAnsi="Times New Roman"/>
          <w:noProof/>
          <w:sz w:val="24"/>
        </w:rPr>
        <w:lastRenderedPageBreak/>
        <w:t xml:space="preserve">državo o specifičnih korakih v skladu z zastavljenimi časovnicami in mejniki za izvedbeno fazo (t. i. </w:t>
      </w:r>
      <w:r w:rsidRPr="005E2190">
        <w:rPr>
          <w:rStyle w:val="None"/>
          <w:rFonts w:ascii="Times New Roman" w:hAnsi="Times New Roman"/>
          <w:b/>
          <w:noProof/>
          <w:sz w:val="24"/>
        </w:rPr>
        <w:t>kažipoti izvajanja</w:t>
      </w:r>
      <w:r w:rsidRPr="005E2190">
        <w:rPr>
          <w:rStyle w:val="None"/>
          <w:rFonts w:ascii="Times New Roman" w:hAnsi="Times New Roman"/>
          <w:noProof/>
          <w:sz w:val="24"/>
        </w:rPr>
        <w:t xml:space="preserve">) ter ustreznim spremljanjem, vključno z morebitno podporo ustreznih mednarodnih organizacij in deležnikov v tem procesu. </w:t>
      </w:r>
    </w:p>
    <w:p w14:paraId="63341E36" w14:textId="46C264B1" w:rsidR="00080CC3" w:rsidRPr="005E2190" w:rsidRDefault="0058357D" w:rsidP="00BD20F1">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EU bo ravno tako </w:t>
      </w:r>
      <w:r w:rsidRPr="005E2190">
        <w:rPr>
          <w:rStyle w:val="None"/>
          <w:rFonts w:ascii="Times New Roman" w:hAnsi="Times New Roman"/>
          <w:b/>
          <w:noProof/>
          <w:sz w:val="24"/>
        </w:rPr>
        <w:t>še naprej spodbujala ratifikacijo temeljnih konvencij MOD</w:t>
      </w:r>
      <w:r w:rsidRPr="005E2190">
        <w:rPr>
          <w:rStyle w:val="None"/>
          <w:rFonts w:ascii="Times New Roman" w:hAnsi="Times New Roman"/>
          <w:noProof/>
          <w:sz w:val="24"/>
        </w:rPr>
        <w:t>, prizadevanja za ratifikacijo pa bo usmerila v podporo opredeljenim prednostnim nalogam izvajanja. Pri tem bo treba oceniti vsak primer posebej in se osredotočiti na vprašanja, ki imajo velik vpliv na učinkovito izvajanje temeljnih pravic.</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72"/>
      </w:tblGrid>
      <w:tr w:rsidR="007E6F5E" w:rsidRPr="005E2190" w14:paraId="1DCF4790" w14:textId="77777777" w:rsidTr="3D9CC460">
        <w:trPr>
          <w:trHeight w:val="2459"/>
        </w:trPr>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878E3DD" w14:textId="77777777" w:rsidR="007E6F5E" w:rsidRPr="005E2190" w:rsidRDefault="00336C0A" w:rsidP="00BD20F1">
            <w:pPr>
              <w:pStyle w:val="BodyA"/>
              <w:spacing w:after="0"/>
              <w:jc w:val="center"/>
              <w:rPr>
                <w:rStyle w:val="None"/>
                <w:rFonts w:ascii="Times New Roman" w:hAnsi="Times New Roman" w:cs="Times New Roman"/>
                <w:b/>
                <w:noProof/>
                <w:sz w:val="24"/>
                <w:szCs w:val="24"/>
              </w:rPr>
            </w:pPr>
            <w:r w:rsidRPr="005E2190">
              <w:rPr>
                <w:rStyle w:val="None"/>
                <w:rFonts w:ascii="Times New Roman" w:hAnsi="Times New Roman"/>
                <w:b/>
                <w:noProof/>
                <w:sz w:val="24"/>
              </w:rPr>
              <w:t>Glavni ukrepi</w:t>
            </w:r>
          </w:p>
          <w:p w14:paraId="40CA4CF5" w14:textId="77777777" w:rsidR="007E6F5E" w:rsidRPr="005E2190" w:rsidRDefault="00336C0A" w:rsidP="00073A7F">
            <w:pPr>
              <w:pStyle w:val="BodyA"/>
              <w:spacing w:after="120" w:line="240" w:lineRule="auto"/>
              <w:jc w:val="both"/>
              <w:rPr>
                <w:rStyle w:val="None"/>
                <w:rFonts w:ascii="Times New Roman" w:hAnsi="Times New Roman" w:cs="Times New Roman"/>
                <w:noProof/>
                <w:sz w:val="24"/>
                <w:szCs w:val="24"/>
              </w:rPr>
            </w:pPr>
            <w:r w:rsidRPr="005E2190">
              <w:rPr>
                <w:rStyle w:val="None"/>
                <w:rFonts w:ascii="Times New Roman" w:hAnsi="Times New Roman"/>
                <w:noProof/>
                <w:sz w:val="24"/>
              </w:rPr>
              <w:t>Komisija bo:</w:t>
            </w:r>
            <w:r w:rsidRPr="005E2190">
              <w:rPr>
                <w:rStyle w:val="None"/>
                <w:rFonts w:ascii="Times New Roman" w:hAnsi="Times New Roman"/>
                <w:i/>
                <w:noProof/>
                <w:sz w:val="24"/>
              </w:rPr>
              <w:t xml:space="preserve"> </w:t>
            </w:r>
          </w:p>
          <w:p w14:paraId="2BF72B45" w14:textId="658794E4" w:rsidR="007E6F5E" w:rsidRPr="005E2190" w:rsidRDefault="51664043" w:rsidP="00073A7F">
            <w:pPr>
              <w:pStyle w:val="ListParagraph"/>
              <w:numPr>
                <w:ilvl w:val="0"/>
                <w:numId w:val="5"/>
              </w:numPr>
              <w:spacing w:after="120" w:line="240" w:lineRule="auto"/>
              <w:jc w:val="both"/>
              <w:rPr>
                <w:rFonts w:ascii="Times New Roman" w:hAnsi="Times New Roman" w:cs="Times New Roman"/>
                <w:noProof/>
                <w:sz w:val="24"/>
                <w:szCs w:val="24"/>
              </w:rPr>
            </w:pPr>
            <w:r w:rsidRPr="005E2190">
              <w:rPr>
                <w:rStyle w:val="None"/>
                <w:rFonts w:ascii="Times New Roman" w:hAnsi="Times New Roman"/>
                <w:noProof/>
                <w:sz w:val="24"/>
              </w:rPr>
              <w:t xml:space="preserve">sledila </w:t>
            </w:r>
            <w:r w:rsidRPr="005E2190">
              <w:rPr>
                <w:rStyle w:val="None"/>
                <w:rFonts w:ascii="Times New Roman" w:hAnsi="Times New Roman"/>
                <w:b/>
                <w:noProof/>
                <w:sz w:val="24"/>
              </w:rPr>
              <w:t>prilagojenemu pristopu</w:t>
            </w:r>
            <w:r w:rsidRPr="005E2190">
              <w:rPr>
                <w:rStyle w:val="None"/>
                <w:rFonts w:ascii="Times New Roman" w:hAnsi="Times New Roman"/>
                <w:noProof/>
                <w:sz w:val="24"/>
              </w:rPr>
              <w:t xml:space="preserve"> in izvajala </w:t>
            </w:r>
            <w:r w:rsidRPr="005E2190">
              <w:rPr>
                <w:rStyle w:val="None"/>
                <w:rFonts w:ascii="Times New Roman" w:hAnsi="Times New Roman"/>
                <w:b/>
                <w:noProof/>
                <w:sz w:val="24"/>
              </w:rPr>
              <w:t>bolj ciljno usmerjene ocene učinka v zvezi s trgovino in trajnostnim razvojem</w:t>
            </w:r>
            <w:r w:rsidRPr="005E2190">
              <w:rPr>
                <w:rStyle w:val="None"/>
                <w:rFonts w:ascii="Times New Roman" w:hAnsi="Times New Roman"/>
                <w:noProof/>
                <w:sz w:val="24"/>
              </w:rPr>
              <w:t xml:space="preserve">, da bi </w:t>
            </w:r>
            <w:r w:rsidRPr="005E2190">
              <w:rPr>
                <w:rStyle w:val="None"/>
                <w:rFonts w:ascii="Times New Roman" w:hAnsi="Times New Roman"/>
                <w:b/>
                <w:noProof/>
                <w:sz w:val="24"/>
              </w:rPr>
              <w:t>opredelila prednostne naloge trajnostnosti, prilagojene posameznim državam</w:t>
            </w:r>
            <w:r w:rsidRPr="005E2190">
              <w:rPr>
                <w:rStyle w:val="None"/>
                <w:rFonts w:ascii="Times New Roman" w:hAnsi="Times New Roman"/>
                <w:noProof/>
                <w:sz w:val="24"/>
              </w:rPr>
              <w:t>, in</w:t>
            </w:r>
            <w:r w:rsidRPr="005E2190">
              <w:rPr>
                <w:rStyle w:val="None"/>
                <w:rFonts w:ascii="Times New Roman" w:hAnsi="Times New Roman"/>
                <w:b/>
                <w:noProof/>
                <w:sz w:val="24"/>
              </w:rPr>
              <w:t xml:space="preserve"> že zgodaj zagotovila podrobne analize učinkov</w:t>
            </w:r>
            <w:r w:rsidRPr="005E2190">
              <w:rPr>
                <w:rStyle w:val="None"/>
                <w:rFonts w:ascii="Times New Roman" w:hAnsi="Times New Roman"/>
                <w:noProof/>
                <w:sz w:val="24"/>
              </w:rPr>
              <w:t xml:space="preserve">; </w:t>
            </w:r>
          </w:p>
          <w:p w14:paraId="4443CEDB" w14:textId="18EAB109" w:rsidR="007E6F5E" w:rsidRPr="005E2190" w:rsidRDefault="51664043" w:rsidP="00A75D80">
            <w:pPr>
              <w:pStyle w:val="ListParagraph"/>
              <w:numPr>
                <w:ilvl w:val="0"/>
                <w:numId w:val="5"/>
              </w:numPr>
              <w:spacing w:after="0" w:line="240" w:lineRule="auto"/>
              <w:ind w:left="448" w:hanging="357"/>
              <w:jc w:val="both"/>
              <w:rPr>
                <w:rFonts w:ascii="Times New Roman" w:hAnsi="Times New Roman" w:cs="Times New Roman"/>
                <w:noProof/>
                <w:sz w:val="24"/>
                <w:szCs w:val="24"/>
              </w:rPr>
            </w:pPr>
            <w:r w:rsidRPr="005E2190">
              <w:rPr>
                <w:rStyle w:val="None"/>
                <w:rFonts w:ascii="Times New Roman" w:hAnsi="Times New Roman"/>
                <w:noProof/>
                <w:sz w:val="24"/>
              </w:rPr>
              <w:t xml:space="preserve">izpogajala </w:t>
            </w:r>
            <w:r w:rsidRPr="005E2190">
              <w:rPr>
                <w:rStyle w:val="None"/>
                <w:rFonts w:ascii="Times New Roman" w:hAnsi="Times New Roman"/>
                <w:b/>
                <w:noProof/>
                <w:sz w:val="24"/>
              </w:rPr>
              <w:t>podrobne</w:t>
            </w:r>
            <w:r w:rsidRPr="005E2190">
              <w:rPr>
                <w:rStyle w:val="None"/>
                <w:rFonts w:ascii="Times New Roman" w:hAnsi="Times New Roman"/>
                <w:noProof/>
                <w:sz w:val="24"/>
              </w:rPr>
              <w:t xml:space="preserve"> </w:t>
            </w:r>
            <w:r w:rsidRPr="005E2190">
              <w:rPr>
                <w:rStyle w:val="None"/>
                <w:rFonts w:ascii="Times New Roman" w:hAnsi="Times New Roman"/>
                <w:b/>
                <w:noProof/>
                <w:sz w:val="24"/>
              </w:rPr>
              <w:t>kažipote s časovnimi okviri in mejniki</w:t>
            </w:r>
            <w:r w:rsidRPr="005E2190">
              <w:rPr>
                <w:rStyle w:val="None"/>
                <w:rFonts w:ascii="Times New Roman" w:hAnsi="Times New Roman"/>
                <w:noProof/>
                <w:sz w:val="24"/>
              </w:rPr>
              <w:t xml:space="preserve">, po potrebi ob upoštevanju prednostnih nalog, opredeljenih posebej za določeno partnersko državo, ter na podlagi vsakega posameznega primera. Kažipoti bi morali </w:t>
            </w:r>
            <w:r w:rsidRPr="005E2190">
              <w:rPr>
                <w:rStyle w:val="None"/>
                <w:rFonts w:ascii="Times New Roman" w:hAnsi="Times New Roman"/>
                <w:b/>
                <w:noProof/>
                <w:sz w:val="24"/>
              </w:rPr>
              <w:t>priznavati vlogo civilne družbe</w:t>
            </w:r>
            <w:r w:rsidRPr="005E2190">
              <w:rPr>
                <w:rStyle w:val="None"/>
                <w:rFonts w:ascii="Times New Roman" w:hAnsi="Times New Roman"/>
                <w:noProof/>
                <w:sz w:val="24"/>
              </w:rPr>
              <w:t xml:space="preserve"> pri spremljanju njihovega izvajanja.</w:t>
            </w:r>
          </w:p>
        </w:tc>
      </w:tr>
    </w:tbl>
    <w:p w14:paraId="788E7BCE" w14:textId="77777777" w:rsidR="007E6F5E" w:rsidRPr="005E2190" w:rsidRDefault="007E6F5E" w:rsidP="007E4014">
      <w:pPr>
        <w:pStyle w:val="Body"/>
        <w:jc w:val="both"/>
        <w:rPr>
          <w:rFonts w:cs="Times New Roman"/>
          <w:noProof/>
        </w:rPr>
      </w:pPr>
    </w:p>
    <w:p w14:paraId="0D308FFD" w14:textId="5A50E7F9" w:rsidR="007E6F5E" w:rsidRPr="005E2190" w:rsidRDefault="002239D2" w:rsidP="002239D2">
      <w:pPr>
        <w:tabs>
          <w:tab w:val="left" w:pos="993"/>
          <w:tab w:val="left" w:pos="1276"/>
        </w:tabs>
        <w:ind w:firstLine="720"/>
        <w:rPr>
          <w:rStyle w:val="None"/>
          <w:noProof/>
          <w:u w:val="single"/>
        </w:rPr>
      </w:pPr>
      <w:r w:rsidRPr="005E2190">
        <w:rPr>
          <w:rStyle w:val="None"/>
          <w:noProof/>
        </w:rPr>
        <w:t xml:space="preserve">3.3 </w:t>
      </w:r>
      <w:r w:rsidRPr="005E2190">
        <w:rPr>
          <w:noProof/>
        </w:rPr>
        <w:tab/>
      </w:r>
      <w:r w:rsidRPr="005E2190">
        <w:rPr>
          <w:rStyle w:val="None"/>
          <w:noProof/>
          <w:u w:val="single"/>
        </w:rPr>
        <w:t>Vključevanje trajnostnosti v celotne trgovinske sporazume</w:t>
      </w:r>
    </w:p>
    <w:p w14:paraId="71BD41C2" w14:textId="77777777" w:rsidR="002239D2" w:rsidRPr="005E2190" w:rsidRDefault="002239D2" w:rsidP="002239D2">
      <w:pPr>
        <w:rPr>
          <w:rStyle w:val="None"/>
          <w:noProof/>
          <w:u w:val="single"/>
        </w:rPr>
      </w:pPr>
    </w:p>
    <w:p w14:paraId="762011FA" w14:textId="66D9C594" w:rsidR="00145785" w:rsidRPr="005E2190" w:rsidRDefault="00336C0A" w:rsidP="00B52B86">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Vsi trgovinski sporazumi EU že vključujejo več določb, katerih namen je ohraniti pravico držav do zakonskega urejanja, da bi sledile legitimnim ciljem na področju okolja in dela. Poleg spoštovanja tega potrebnega manevrskega prostora politike bi bilo treba vidike trajnostnosti proaktivno vključevati v različne dele trgovinskih sporazumov. </w:t>
      </w:r>
    </w:p>
    <w:p w14:paraId="48E9E511" w14:textId="31E04418" w:rsidR="00F70E50" w:rsidRPr="005E2190" w:rsidRDefault="3B0AE0D4" w:rsidP="00B52B86">
      <w:pPr>
        <w:pStyle w:val="BodyA"/>
        <w:jc w:val="both"/>
        <w:rPr>
          <w:rStyle w:val="None"/>
          <w:rFonts w:ascii="Times New Roman" w:hAnsi="Times New Roman" w:cs="Times New Roman"/>
          <w:noProof/>
          <w:color w:val="auto"/>
          <w:sz w:val="24"/>
          <w:szCs w:val="24"/>
          <w14:textOutline w14:w="0" w14:cap="rnd" w14:cmpd="sng" w14:algn="ctr">
            <w14:noFill/>
            <w14:prstDash w14:val="solid"/>
            <w14:bevel/>
          </w14:textOutline>
        </w:rPr>
      </w:pPr>
      <w:r w:rsidRPr="005E2190">
        <w:rPr>
          <w:rStyle w:val="None"/>
          <w:rFonts w:ascii="Times New Roman" w:hAnsi="Times New Roman"/>
          <w:noProof/>
          <w:sz w:val="24"/>
        </w:rPr>
        <w:t xml:space="preserve">Vključevanje ciljev trgovine in trajnostnega razvoja v celotne trgovinske sporazume bi lahko zajemalo </w:t>
      </w:r>
      <w:r w:rsidRPr="005E2190">
        <w:rPr>
          <w:rStyle w:val="None"/>
          <w:rFonts w:ascii="Times New Roman" w:hAnsi="Times New Roman"/>
          <w:b/>
          <w:noProof/>
          <w:sz w:val="24"/>
        </w:rPr>
        <w:t>prednostno liberalizacijo okoljskega blaga in storitev</w:t>
      </w:r>
      <w:r w:rsidRPr="005E2190">
        <w:rPr>
          <w:rStyle w:val="None"/>
          <w:rFonts w:ascii="Times New Roman" w:hAnsi="Times New Roman"/>
          <w:noProof/>
          <w:sz w:val="24"/>
        </w:rPr>
        <w:t xml:space="preserve">, zlasti blaga in storitev, ki prispevajo k zmanjšanju emisij toplogrednih plinov ter spodbujajo učinkovito rabo virov in krožnost. Poleg tega bi morali trgovinski sporazumi </w:t>
      </w:r>
      <w:r w:rsidRPr="005E2190">
        <w:rPr>
          <w:rStyle w:val="None"/>
          <w:rFonts w:ascii="Times New Roman" w:hAnsi="Times New Roman"/>
          <w:b/>
          <w:noProof/>
          <w:sz w:val="24"/>
        </w:rPr>
        <w:t>zagotavljati neizkrivljeno trgovino in naložbe v surovine in energetsko blago, ki so potrebni za prehod na podnebno nevtralna in z viri gospodarna gospodarstva</w:t>
      </w:r>
      <w:r w:rsidRPr="005E2190">
        <w:rPr>
          <w:rStyle w:val="None"/>
          <w:rFonts w:ascii="Times New Roman" w:hAnsi="Times New Roman"/>
          <w:noProof/>
          <w:sz w:val="24"/>
        </w:rPr>
        <w:t xml:space="preserve">. </w:t>
      </w:r>
    </w:p>
    <w:p w14:paraId="687115C0" w14:textId="6E521E40" w:rsidR="007E6F5E" w:rsidRPr="005E2190" w:rsidRDefault="5963A5F4">
      <w:pPr>
        <w:pStyle w:val="BodyA"/>
        <w:jc w:val="both"/>
        <w:rPr>
          <w:rStyle w:val="None"/>
          <w:rFonts w:ascii="Times New Roman" w:hAnsi="Times New Roman" w:cs="Times New Roman"/>
          <w:noProof/>
          <w:color w:val="auto"/>
          <w:sz w:val="24"/>
          <w:szCs w:val="24"/>
          <w14:textOutline w14:w="0" w14:cap="rnd" w14:cmpd="sng" w14:algn="ctr">
            <w14:noFill/>
            <w14:prstDash w14:val="solid"/>
            <w14:bevel/>
          </w14:textOutline>
        </w:rPr>
      </w:pPr>
      <w:r w:rsidRPr="005E2190">
        <w:rPr>
          <w:rStyle w:val="None"/>
          <w:rFonts w:ascii="Times New Roman" w:hAnsi="Times New Roman"/>
          <w:noProof/>
          <w:sz w:val="24"/>
        </w:rPr>
        <w:t xml:space="preserve">To bi lahko dosegli na primer z obravnavanjem netarifnih ovir in spodbujanjem uporabe mednarodnih standardov pri podpiranju trgovine in naložb v varstvo okolja, učinkovito rabo virov in obnovljive vire energije. Poleg tega bi morali trgovinski sporazumi spodbujati nediskriminatorne premisleke glede trajnostnosti v postopkih javnega naročanja in si prizadevati za vključitev določb o trajnostnih prehranskih sistemih. </w:t>
      </w:r>
    </w:p>
    <w:p w14:paraId="555C60F5" w14:textId="5EF98C21" w:rsidR="007E6F5E" w:rsidRPr="005E2190" w:rsidRDefault="51664043" w:rsidP="00D736A4">
      <w:pPr>
        <w:jc w:val="both"/>
        <w:rPr>
          <w:rStyle w:val="None"/>
          <w:noProof/>
        </w:rPr>
      </w:pPr>
      <w:r w:rsidRPr="005E2190">
        <w:rPr>
          <w:rStyle w:val="None"/>
          <w:noProof/>
        </w:rPr>
        <w:t>Da bi se prednostno obravnavanje ciljev trgovine in trajnostnega razvoja razširilo tudi prek poglavij o trgovini in trajnostnem razvoju, bi bilo treba v ocenah učinka in ocenah učinka na trajnostni razvoj preučiti izzive in priložnosti glede trajnostnosti na vseh zadevnih področjih trgovinskih sporazumov. Pristop, prilagojen posameznim državam, ki je bil omenjen v prejšnjem oddelku, bi se moral uporabljati v celotnem trgovinskem sporazumu.</w:t>
      </w:r>
    </w:p>
    <w:p w14:paraId="6DF59A0D" w14:textId="77777777" w:rsidR="00AE271E" w:rsidRPr="005E2190" w:rsidRDefault="00AE271E" w:rsidP="00D736A4">
      <w:pPr>
        <w:jc w:val="both"/>
        <w:rPr>
          <w:rStyle w:val="None"/>
          <w:noProof/>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72"/>
      </w:tblGrid>
      <w:tr w:rsidR="007E6F5E" w:rsidRPr="005E2190" w14:paraId="0D658C75" w14:textId="77777777" w:rsidTr="007E0A7D">
        <w:trPr>
          <w:trHeight w:val="336"/>
        </w:trPr>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54007AA8" w14:textId="77777777" w:rsidR="007E6F5E" w:rsidRPr="005E2190" w:rsidRDefault="00336C0A" w:rsidP="00BD20F1">
            <w:pPr>
              <w:pStyle w:val="BodyA"/>
              <w:spacing w:after="0"/>
              <w:jc w:val="center"/>
              <w:rPr>
                <w:rStyle w:val="None"/>
                <w:rFonts w:ascii="Times New Roman" w:hAnsi="Times New Roman" w:cs="Times New Roman"/>
                <w:b/>
                <w:noProof/>
                <w:sz w:val="24"/>
                <w:szCs w:val="24"/>
              </w:rPr>
            </w:pPr>
            <w:r w:rsidRPr="005E2190">
              <w:rPr>
                <w:rStyle w:val="None"/>
                <w:rFonts w:ascii="Times New Roman" w:hAnsi="Times New Roman"/>
                <w:b/>
                <w:noProof/>
                <w:sz w:val="24"/>
              </w:rPr>
              <w:t>Glavni ukrepi</w:t>
            </w:r>
          </w:p>
          <w:p w14:paraId="316E6F33" w14:textId="77777777" w:rsidR="007E6F5E" w:rsidRPr="005E2190" w:rsidRDefault="00336C0A" w:rsidP="00073A7F">
            <w:pPr>
              <w:pStyle w:val="BodyA"/>
              <w:spacing w:after="120" w:line="240" w:lineRule="auto"/>
              <w:jc w:val="both"/>
              <w:rPr>
                <w:rStyle w:val="None"/>
                <w:rFonts w:ascii="Times New Roman" w:hAnsi="Times New Roman" w:cs="Times New Roman"/>
                <w:noProof/>
                <w:sz w:val="24"/>
                <w:szCs w:val="24"/>
              </w:rPr>
            </w:pPr>
            <w:r w:rsidRPr="005E2190">
              <w:rPr>
                <w:rStyle w:val="None"/>
                <w:rFonts w:ascii="Times New Roman" w:hAnsi="Times New Roman"/>
                <w:noProof/>
                <w:sz w:val="24"/>
              </w:rPr>
              <w:t>Komisija bo:</w:t>
            </w:r>
            <w:r w:rsidRPr="005E2190">
              <w:rPr>
                <w:rStyle w:val="None"/>
                <w:rFonts w:ascii="Times New Roman" w:hAnsi="Times New Roman"/>
                <w:i/>
                <w:noProof/>
                <w:sz w:val="24"/>
              </w:rPr>
              <w:t xml:space="preserve"> </w:t>
            </w:r>
          </w:p>
          <w:p w14:paraId="74ACCE24" w14:textId="57DE12CB" w:rsidR="007E6F5E" w:rsidRPr="005E2190" w:rsidRDefault="51664043" w:rsidP="00073A7F">
            <w:pPr>
              <w:pStyle w:val="ListParagraph"/>
              <w:numPr>
                <w:ilvl w:val="0"/>
                <w:numId w:val="5"/>
              </w:numPr>
              <w:spacing w:after="120" w:line="240" w:lineRule="auto"/>
              <w:jc w:val="both"/>
              <w:rPr>
                <w:rFonts w:ascii="Times New Roman" w:hAnsi="Times New Roman" w:cs="Times New Roman"/>
                <w:noProof/>
                <w:sz w:val="24"/>
                <w:szCs w:val="24"/>
              </w:rPr>
            </w:pPr>
            <w:r w:rsidRPr="005E2190">
              <w:rPr>
                <w:rStyle w:val="None"/>
                <w:rFonts w:ascii="Times New Roman" w:hAnsi="Times New Roman"/>
                <w:noProof/>
                <w:sz w:val="24"/>
              </w:rPr>
              <w:lastRenderedPageBreak/>
              <w:t xml:space="preserve">dala prednost </w:t>
            </w:r>
            <w:r w:rsidRPr="005E2190">
              <w:rPr>
                <w:rStyle w:val="None"/>
                <w:rFonts w:ascii="Times New Roman" w:hAnsi="Times New Roman"/>
                <w:b/>
                <w:noProof/>
                <w:sz w:val="24"/>
              </w:rPr>
              <w:t>dostopu na trg okoljskega blaga</w:t>
            </w:r>
            <w:r w:rsidRPr="005E2190">
              <w:rPr>
                <w:rStyle w:val="None"/>
                <w:rFonts w:ascii="Times New Roman" w:hAnsi="Times New Roman"/>
                <w:noProof/>
                <w:sz w:val="24"/>
              </w:rPr>
              <w:t xml:space="preserve"> in </w:t>
            </w:r>
            <w:r w:rsidRPr="005E2190">
              <w:rPr>
                <w:rStyle w:val="None"/>
                <w:rFonts w:ascii="Times New Roman" w:hAnsi="Times New Roman"/>
                <w:b/>
                <w:noProof/>
                <w:sz w:val="24"/>
              </w:rPr>
              <w:t>storitev</w:t>
            </w:r>
            <w:r w:rsidRPr="005E2190">
              <w:rPr>
                <w:rStyle w:val="None"/>
                <w:rFonts w:ascii="Times New Roman" w:hAnsi="Times New Roman"/>
                <w:noProof/>
                <w:sz w:val="24"/>
              </w:rPr>
              <w:t>, zlasti na področju energije iz obnovljivih virov in energijske učinkovitosti, na primer z obravnavanjem tarifnih in netarifnih ovir, dostopu do surovin in blaga, potrebnih za zeleni prehod, ter naložbam vanje;</w:t>
            </w:r>
          </w:p>
          <w:p w14:paraId="246D3A62" w14:textId="7D83DA85" w:rsidR="007E6F5E" w:rsidRPr="005E2190" w:rsidRDefault="51664043" w:rsidP="00393CAC">
            <w:pPr>
              <w:pStyle w:val="ListParagraph"/>
              <w:numPr>
                <w:ilvl w:val="0"/>
                <w:numId w:val="5"/>
              </w:numPr>
              <w:spacing w:after="0" w:line="240" w:lineRule="auto"/>
              <w:ind w:left="448" w:hanging="357"/>
              <w:jc w:val="both"/>
              <w:rPr>
                <w:rFonts w:ascii="Times New Roman" w:hAnsi="Times New Roman" w:cs="Times New Roman"/>
                <w:noProof/>
                <w:sz w:val="24"/>
                <w:szCs w:val="24"/>
              </w:rPr>
            </w:pPr>
            <w:r w:rsidRPr="005E2190">
              <w:rPr>
                <w:rStyle w:val="None"/>
                <w:rFonts w:ascii="Times New Roman" w:hAnsi="Times New Roman"/>
                <w:noProof/>
                <w:sz w:val="24"/>
              </w:rPr>
              <w:t xml:space="preserve">zagotovila, da se bodo v </w:t>
            </w:r>
            <w:r w:rsidRPr="005E2190">
              <w:rPr>
                <w:rStyle w:val="None"/>
                <w:rFonts w:ascii="Times New Roman" w:hAnsi="Times New Roman"/>
                <w:b/>
                <w:noProof/>
                <w:sz w:val="24"/>
              </w:rPr>
              <w:t>ocenah učinka</w:t>
            </w:r>
            <w:r w:rsidRPr="005E2190">
              <w:rPr>
                <w:rStyle w:val="None"/>
                <w:rFonts w:ascii="Times New Roman" w:hAnsi="Times New Roman"/>
                <w:noProof/>
                <w:sz w:val="24"/>
              </w:rPr>
              <w:t xml:space="preserve"> in </w:t>
            </w:r>
            <w:r w:rsidRPr="005E2190">
              <w:rPr>
                <w:rStyle w:val="None"/>
                <w:rFonts w:ascii="Times New Roman" w:hAnsi="Times New Roman"/>
                <w:b/>
                <w:noProof/>
                <w:sz w:val="24"/>
              </w:rPr>
              <w:t>ocenah učinka na trajnostni razvoj</w:t>
            </w:r>
            <w:r w:rsidRPr="005E2190">
              <w:rPr>
                <w:rStyle w:val="None"/>
                <w:rFonts w:ascii="Times New Roman" w:hAnsi="Times New Roman"/>
                <w:noProof/>
                <w:sz w:val="24"/>
              </w:rPr>
              <w:t xml:space="preserve"> preučila vsa </w:t>
            </w:r>
            <w:r w:rsidRPr="005E2190">
              <w:rPr>
                <w:rStyle w:val="None"/>
                <w:rFonts w:ascii="Times New Roman" w:hAnsi="Times New Roman"/>
                <w:b/>
                <w:noProof/>
                <w:sz w:val="24"/>
              </w:rPr>
              <w:t>ustrezna poglavja</w:t>
            </w:r>
            <w:r w:rsidRPr="005E2190">
              <w:rPr>
                <w:rStyle w:val="None"/>
                <w:rFonts w:ascii="Times New Roman" w:hAnsi="Times New Roman"/>
                <w:noProof/>
                <w:sz w:val="24"/>
              </w:rPr>
              <w:t xml:space="preserve"> trgovinskih sporazumov, da bi se opredelile določbe in zaveze, ki bodo najverjetneje </w:t>
            </w:r>
            <w:r w:rsidRPr="005E2190">
              <w:rPr>
                <w:rStyle w:val="None"/>
                <w:rFonts w:ascii="Times New Roman" w:hAnsi="Times New Roman"/>
                <w:b/>
                <w:noProof/>
                <w:sz w:val="24"/>
              </w:rPr>
              <w:t>vplivale na vprašanja trajnostnosti</w:t>
            </w:r>
            <w:r w:rsidRPr="005E2190">
              <w:rPr>
                <w:rStyle w:val="None"/>
                <w:rFonts w:ascii="Times New Roman" w:hAnsi="Times New Roman"/>
                <w:noProof/>
                <w:sz w:val="24"/>
              </w:rPr>
              <w:t xml:space="preserve">, ter področja, na katerih sporazum odpira </w:t>
            </w:r>
            <w:r w:rsidRPr="005E2190">
              <w:rPr>
                <w:rStyle w:val="None"/>
                <w:rFonts w:ascii="Times New Roman" w:hAnsi="Times New Roman"/>
                <w:b/>
                <w:noProof/>
                <w:sz w:val="24"/>
              </w:rPr>
              <w:t>priložnosti za doseganje ciljev trajnostnosti tudi zunaj poglavja o trgovini in trajnostnem razvoju</w:t>
            </w:r>
            <w:r w:rsidRPr="005E2190">
              <w:rPr>
                <w:rStyle w:val="None"/>
                <w:rFonts w:ascii="Times New Roman" w:hAnsi="Times New Roman"/>
                <w:noProof/>
                <w:sz w:val="24"/>
              </w:rPr>
              <w:t>.</w:t>
            </w:r>
          </w:p>
        </w:tc>
      </w:tr>
    </w:tbl>
    <w:p w14:paraId="65AA4B76" w14:textId="77777777" w:rsidR="007E6F5E" w:rsidRPr="005E2190" w:rsidRDefault="007E6F5E" w:rsidP="00DC315E">
      <w:pPr>
        <w:jc w:val="both"/>
        <w:rPr>
          <w:rStyle w:val="None"/>
          <w:noProof/>
        </w:rPr>
      </w:pPr>
    </w:p>
    <w:p w14:paraId="540D7036" w14:textId="5ABC4370" w:rsidR="002239D2" w:rsidRPr="005E2190" w:rsidRDefault="002239D2" w:rsidP="002239D2">
      <w:pPr>
        <w:tabs>
          <w:tab w:val="left" w:pos="851"/>
        </w:tabs>
        <w:ind w:left="350"/>
        <w:jc w:val="both"/>
        <w:rPr>
          <w:rStyle w:val="None"/>
          <w:noProof/>
          <w:u w:val="single"/>
        </w:rPr>
      </w:pPr>
      <w:r w:rsidRPr="005E2190">
        <w:rPr>
          <w:rStyle w:val="None"/>
          <w:noProof/>
        </w:rPr>
        <w:t xml:space="preserve">3.4 </w:t>
      </w:r>
      <w:r w:rsidRPr="005E2190">
        <w:rPr>
          <w:noProof/>
        </w:rPr>
        <w:tab/>
      </w:r>
      <w:r w:rsidRPr="005E2190">
        <w:rPr>
          <w:rStyle w:val="None"/>
          <w:noProof/>
          <w:u w:val="single"/>
        </w:rPr>
        <w:t>Skupno spremljanje izvajanja zavez o trgovini in trajnostnem razvoju</w:t>
      </w:r>
    </w:p>
    <w:p w14:paraId="1CA34724" w14:textId="77777777" w:rsidR="002239D2" w:rsidRPr="005E2190" w:rsidRDefault="002239D2" w:rsidP="002239D2">
      <w:pPr>
        <w:tabs>
          <w:tab w:val="left" w:pos="851"/>
        </w:tabs>
        <w:ind w:left="350"/>
        <w:jc w:val="both"/>
        <w:rPr>
          <w:rStyle w:val="None"/>
          <w:noProof/>
          <w:u w:val="single"/>
        </w:rPr>
      </w:pPr>
    </w:p>
    <w:p w14:paraId="02CA6B28" w14:textId="3FD7F66D" w:rsidR="007E6F5E" w:rsidRPr="005E2190" w:rsidRDefault="51664043" w:rsidP="003F6983">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Eno od spoznanj, pridobljenih pri uporabi akcijskega načrta v 15 točkah, je, da </w:t>
      </w:r>
      <w:r w:rsidRPr="005E2190">
        <w:rPr>
          <w:rStyle w:val="None"/>
          <w:rFonts w:ascii="Times New Roman" w:hAnsi="Times New Roman"/>
          <w:b/>
          <w:noProof/>
          <w:sz w:val="24"/>
        </w:rPr>
        <w:t>se rezultati dosežejo z nenehnim sodelovanjem z zadevnim trgovinskim partnerjem</w:t>
      </w:r>
      <w:r w:rsidRPr="005E2190">
        <w:rPr>
          <w:rStyle w:val="None"/>
          <w:rFonts w:ascii="Times New Roman" w:hAnsi="Times New Roman"/>
          <w:noProof/>
          <w:sz w:val="24"/>
        </w:rPr>
        <w:t xml:space="preserve">. Ta pristop zahteva veliko virov, vendar dosega trajne rezultate na terenu. </w:t>
      </w:r>
      <w:r w:rsidRPr="005E2190">
        <w:rPr>
          <w:rStyle w:val="None"/>
          <w:rFonts w:ascii="Times New Roman" w:hAnsi="Times New Roman"/>
          <w:b/>
          <w:noProof/>
          <w:sz w:val="24"/>
        </w:rPr>
        <w:t>Komisija namerava še naprej združevati strokovno znanje ter instrumente in programe, ki so ji na voljo, v celosten pristop EU, skupen vsem njenim službam</w:t>
      </w:r>
      <w:r w:rsidRPr="005E2190">
        <w:rPr>
          <w:rStyle w:val="None"/>
          <w:rFonts w:ascii="Times New Roman" w:hAnsi="Times New Roman"/>
          <w:noProof/>
          <w:sz w:val="24"/>
        </w:rPr>
        <w:t>. To na primer vključuje dvostranske dialoge o delovni in okoljski politiki ter regulativne dialoge kot tudi po potrebi razvojno sodelovanje in finančno podporo.</w:t>
      </w:r>
    </w:p>
    <w:p w14:paraId="4BF220D2" w14:textId="026F1054" w:rsidR="00CC58CC" w:rsidRPr="005E2190" w:rsidRDefault="00CC58CC" w:rsidP="00CC58CC">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Pri spremljanju izvajanja zavez o trgovini in trajnostnem razvoju je zlasti pomembna vloga </w:t>
      </w:r>
      <w:r w:rsidRPr="005E2190">
        <w:rPr>
          <w:rStyle w:val="None"/>
          <w:rFonts w:ascii="Times New Roman" w:hAnsi="Times New Roman"/>
          <w:b/>
          <w:noProof/>
          <w:sz w:val="24"/>
        </w:rPr>
        <w:t>delegacij EU</w:t>
      </w:r>
      <w:r w:rsidRPr="005E2190">
        <w:rPr>
          <w:rStyle w:val="None"/>
          <w:rFonts w:ascii="Times New Roman" w:hAnsi="Times New Roman"/>
          <w:noProof/>
          <w:sz w:val="24"/>
        </w:rPr>
        <w:t>. Te imajo neposreden stik z vladami in upravami ter lokalnimi deležniki, vključno z notranjimi svetovalnimi skupinami</w:t>
      </w:r>
      <w:r w:rsidRPr="005E2190">
        <w:rPr>
          <w:rStyle w:val="None"/>
          <w:rFonts w:ascii="Times New Roman" w:eastAsia="Times New Roman" w:hAnsi="Times New Roman" w:cs="Times New Roman"/>
          <w:noProof/>
          <w:sz w:val="24"/>
          <w:szCs w:val="24"/>
          <w:vertAlign w:val="superscript"/>
        </w:rPr>
        <w:footnoteReference w:id="25"/>
      </w:r>
      <w:r w:rsidRPr="005E2190">
        <w:rPr>
          <w:rStyle w:val="None"/>
          <w:rFonts w:ascii="Times New Roman" w:hAnsi="Times New Roman"/>
          <w:noProof/>
          <w:sz w:val="24"/>
        </w:rPr>
        <w:t xml:space="preserve">. Delegacije EU imajo tudi možnost, da so neposredno dejavne pri vprašanjih trajnostnega razvoja, povezanih s trgovino. Skupaj z državami članicami so ne le oči in ušesa na terenu, temveč sestavljajo skupno mrežo evropskih diplomatov, ki skupaj prispevajo k predvidevanju in obravnavanju pomislekov v zvezi s trajnostnostjo na njihovih zadevnih geografskih območjih in strokovnih področjih. </w:t>
      </w:r>
    </w:p>
    <w:p w14:paraId="2A7D9355" w14:textId="166E40AA" w:rsidR="007E6F5E" w:rsidRPr="005E2190" w:rsidRDefault="00336C0A" w:rsidP="003F6983">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Ta vseobsegajoči pristop bi bilo treba dopolniti z okrepljenim sodelovanjem z</w:t>
      </w:r>
      <w:r w:rsidRPr="005E2190">
        <w:rPr>
          <w:rFonts w:ascii="Times New Roman" w:hAnsi="Times New Roman"/>
          <w:noProof/>
          <w:sz w:val="24"/>
        </w:rPr>
        <w:t xml:space="preserve"> </w:t>
      </w:r>
      <w:r w:rsidRPr="005E2190">
        <w:rPr>
          <w:rFonts w:ascii="Times New Roman" w:hAnsi="Times New Roman"/>
          <w:b/>
          <w:noProof/>
          <w:sz w:val="24"/>
        </w:rPr>
        <w:t>državami članicami</w:t>
      </w:r>
      <w:r w:rsidRPr="005E2190">
        <w:rPr>
          <w:rFonts w:ascii="Times New Roman" w:hAnsi="Times New Roman"/>
          <w:noProof/>
          <w:sz w:val="24"/>
        </w:rPr>
        <w:t xml:space="preserve"> </w:t>
      </w:r>
      <w:r w:rsidRPr="005E2190">
        <w:rPr>
          <w:rStyle w:val="None"/>
          <w:rFonts w:ascii="Times New Roman" w:hAnsi="Times New Roman"/>
          <w:noProof/>
          <w:sz w:val="24"/>
        </w:rPr>
        <w:t xml:space="preserve">v prestolnicah in na terenu prek njihovih veleposlaništev in misij v tretjih državah. Cilj bi moral biti, da ustrezni instrumenti Komisije in nacionalni instrumenti delujejo skupaj in se medsebojno krepijo, s čimer bi lahko EU dosegla ekonomije obsega in večji učinek na terenu. </w:t>
      </w:r>
    </w:p>
    <w:p w14:paraId="7A510364" w14:textId="59BF56AF" w:rsidR="002C5625" w:rsidRPr="005E2190" w:rsidRDefault="51664043" w:rsidP="003F6983">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Pomembno je tudi okrepiti sodelovanje </w:t>
      </w:r>
      <w:r w:rsidRPr="005E2190">
        <w:rPr>
          <w:rStyle w:val="None"/>
          <w:rFonts w:ascii="Times New Roman" w:hAnsi="Times New Roman"/>
          <w:b/>
          <w:noProof/>
          <w:sz w:val="24"/>
        </w:rPr>
        <w:t>Evropskega parlamenta</w:t>
      </w:r>
      <w:r w:rsidRPr="005E2190">
        <w:rPr>
          <w:rStyle w:val="None"/>
          <w:rFonts w:ascii="Times New Roman" w:hAnsi="Times New Roman"/>
          <w:noProof/>
          <w:sz w:val="24"/>
        </w:rPr>
        <w:t xml:space="preserve">. Evropski parlament bi lahko z misijami in obiski njegovih poslancev na terenu dodatno prispeval k spremljanju in izvajanju zavez o trgovini in trajnostnem razvoju. Izmenjava mnenj med Evropskim parlamentom in parlamenti partnerskih držav bi se lahko izkazala za posebno učinkovito, kadar so potrebne zakonodajne reforme. Obiski Evropskega parlamenta in nacionalnih parlamentov na terenu so lahko tudi priložnost za komuniciranje o ciljih trajnostnega razvoja EU v tujini, v dialog pa bi lahko bili vključeni ne le lokalni uradniki, temveč tudi predstavniki lokalne civilne družbe, lokalne notranje svetovalne skupine in podjetja. </w:t>
      </w:r>
    </w:p>
    <w:p w14:paraId="335A905B" w14:textId="02787032" w:rsidR="007E6F5E" w:rsidRPr="005E2190" w:rsidRDefault="00336C0A" w:rsidP="003F6983">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lastRenderedPageBreak/>
        <w:t xml:space="preserve">Tudi </w:t>
      </w:r>
      <w:r w:rsidRPr="005E2190">
        <w:rPr>
          <w:rStyle w:val="None"/>
          <w:rFonts w:ascii="Times New Roman" w:hAnsi="Times New Roman"/>
          <w:b/>
          <w:noProof/>
          <w:sz w:val="24"/>
        </w:rPr>
        <w:t>skupine za spremljanje</w:t>
      </w:r>
      <w:r w:rsidRPr="005E2190">
        <w:rPr>
          <w:rStyle w:val="None"/>
          <w:rFonts w:ascii="Times New Roman" w:hAnsi="Times New Roman"/>
          <w:noProof/>
          <w:sz w:val="24"/>
        </w:rPr>
        <w:t>, ki jih je ustanovil Odbor za mednarodno trgovino, so imele pomembno vlogo pri pogajanjih o trgovinskih sporazumih in njihovem izvajanju. To razsežnost bi bilo mogoče dodatno okrepiti, na primer z rednimi razpravami o trgovini in trajnostnem razvoju v posameznih državah. Komisija bi bila skupaj z delegacijami EU pripravljena pomagati Evropskemu parlamentu pri teh prizadevanjih.</w:t>
      </w:r>
    </w:p>
    <w:p w14:paraId="3460B3F3" w14:textId="36F0F608" w:rsidR="007E6F5E" w:rsidRPr="005E2190" w:rsidRDefault="00336C0A" w:rsidP="003F6983">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Skupno spremljanje izvajanja zavez o trgovini in trajnostnem razvoju iz trgovinskih sporazumov pomeni tudi</w:t>
      </w:r>
      <w:r w:rsidRPr="005E2190">
        <w:rPr>
          <w:rFonts w:ascii="Times New Roman" w:hAnsi="Times New Roman"/>
          <w:noProof/>
          <w:sz w:val="24"/>
        </w:rPr>
        <w:t xml:space="preserve"> </w:t>
      </w:r>
      <w:r w:rsidRPr="005E2190">
        <w:rPr>
          <w:rFonts w:ascii="Times New Roman" w:hAnsi="Times New Roman"/>
          <w:b/>
          <w:noProof/>
          <w:sz w:val="24"/>
        </w:rPr>
        <w:t>večjo vlogo civilne družbe</w:t>
      </w:r>
      <w:r w:rsidRPr="005E2190">
        <w:rPr>
          <w:rFonts w:ascii="Times New Roman" w:hAnsi="Times New Roman"/>
          <w:noProof/>
          <w:sz w:val="24"/>
        </w:rPr>
        <w:t xml:space="preserve">, </w:t>
      </w:r>
      <w:r w:rsidRPr="005E2190">
        <w:rPr>
          <w:rFonts w:ascii="Times New Roman" w:hAnsi="Times New Roman"/>
          <w:b/>
          <w:noProof/>
          <w:sz w:val="24"/>
        </w:rPr>
        <w:t>vključno s socialnimi partnerji</w:t>
      </w:r>
      <w:r w:rsidRPr="005E2190">
        <w:rPr>
          <w:rStyle w:val="None"/>
          <w:rFonts w:ascii="Times New Roman" w:hAnsi="Times New Roman"/>
          <w:noProof/>
          <w:sz w:val="24"/>
        </w:rPr>
        <w:t xml:space="preserve">. </w:t>
      </w:r>
      <w:r w:rsidRPr="005E2190">
        <w:rPr>
          <w:rStyle w:val="None"/>
          <w:rFonts w:ascii="Times New Roman" w:hAnsi="Times New Roman"/>
          <w:b/>
          <w:noProof/>
          <w:sz w:val="24"/>
        </w:rPr>
        <w:t>Tako EU kot tudi vsi njeni trgovinski partnerji bi si morali prizadevati za vključevanje organizacij civilne družbe</w:t>
      </w:r>
      <w:r w:rsidRPr="005E2190">
        <w:rPr>
          <w:rStyle w:val="None"/>
          <w:rFonts w:ascii="Times New Roman" w:hAnsi="Times New Roman"/>
          <w:noProof/>
          <w:sz w:val="24"/>
        </w:rPr>
        <w:t xml:space="preserve"> na obeh straneh ter spodbujati strukturirane in relevantne prispevke. </w:t>
      </w:r>
    </w:p>
    <w:p w14:paraId="7CE4304A" w14:textId="167D839C" w:rsidR="007E6F5E" w:rsidRPr="005E2190" w:rsidRDefault="00336C0A" w:rsidP="003F6983">
      <w:pPr>
        <w:pStyle w:val="BodyA"/>
        <w:tabs>
          <w:tab w:val="left" w:pos="6804"/>
        </w:tabs>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Ustanovitev funkcije </w:t>
      </w:r>
      <w:r w:rsidRPr="005E2190">
        <w:rPr>
          <w:rStyle w:val="None"/>
          <w:rFonts w:ascii="Times New Roman" w:hAnsi="Times New Roman"/>
          <w:b/>
          <w:noProof/>
          <w:sz w:val="24"/>
        </w:rPr>
        <w:t>glavnega uradnika za trgovinsko skladnost</w:t>
      </w:r>
      <w:r w:rsidRPr="005E2190">
        <w:rPr>
          <w:rStyle w:val="None"/>
          <w:rFonts w:ascii="Times New Roman" w:hAnsi="Times New Roman"/>
          <w:noProof/>
          <w:sz w:val="24"/>
        </w:rPr>
        <w:t xml:space="preserve"> in </w:t>
      </w:r>
      <w:r w:rsidRPr="005E2190">
        <w:rPr>
          <w:rStyle w:val="None"/>
          <w:rFonts w:ascii="Times New Roman" w:hAnsi="Times New Roman"/>
          <w:b/>
          <w:noProof/>
          <w:sz w:val="24"/>
        </w:rPr>
        <w:t>enotne vstopne točke</w:t>
      </w:r>
      <w:r w:rsidRPr="005E2190">
        <w:rPr>
          <w:rStyle w:val="None"/>
          <w:rFonts w:ascii="Times New Roman" w:hAnsi="Times New Roman"/>
          <w:noProof/>
          <w:sz w:val="24"/>
        </w:rPr>
        <w:t xml:space="preserve"> leta 2020 je pomemben korak pri krepitvi izvajanja in izvrševanja zavez o trgovini in trajnostnem razvoju</w:t>
      </w:r>
      <w:r w:rsidRPr="005E2190">
        <w:rPr>
          <w:rStyle w:val="None"/>
          <w:rFonts w:ascii="Times New Roman" w:hAnsi="Times New Roman" w:cs="Times New Roman"/>
          <w:noProof/>
          <w:sz w:val="24"/>
          <w:szCs w:val="24"/>
          <w:vertAlign w:val="superscript"/>
        </w:rPr>
        <w:footnoteReference w:id="26"/>
      </w:r>
      <w:r w:rsidRPr="005E2190">
        <w:rPr>
          <w:rStyle w:val="None"/>
          <w:rFonts w:ascii="Times New Roman" w:hAnsi="Times New Roman"/>
          <w:noProof/>
          <w:sz w:val="24"/>
        </w:rPr>
        <w:t xml:space="preserve">. Enotna vstopna točka je osrednja kontaktna točka za vse deležnike s sedežem v EU, ki želijo na primer </w:t>
      </w:r>
      <w:r w:rsidRPr="005E2190">
        <w:rPr>
          <w:rStyle w:val="None"/>
          <w:rFonts w:ascii="Times New Roman" w:hAnsi="Times New Roman"/>
          <w:b/>
          <w:noProof/>
          <w:sz w:val="24"/>
        </w:rPr>
        <w:t>vložiti pritožbo</w:t>
      </w:r>
      <w:r w:rsidRPr="005E2190">
        <w:rPr>
          <w:rStyle w:val="None"/>
          <w:rFonts w:ascii="Times New Roman" w:hAnsi="Times New Roman"/>
          <w:noProof/>
          <w:sz w:val="24"/>
        </w:rPr>
        <w:t xml:space="preserve"> zaradi </w:t>
      </w:r>
      <w:r w:rsidRPr="005E2190">
        <w:rPr>
          <w:rStyle w:val="None"/>
          <w:rFonts w:ascii="Times New Roman" w:hAnsi="Times New Roman"/>
          <w:b/>
          <w:noProof/>
          <w:sz w:val="24"/>
        </w:rPr>
        <w:t>kršitev zavez o trgovini in trajnostnem razvoju</w:t>
      </w:r>
      <w:r w:rsidRPr="005E2190">
        <w:rPr>
          <w:rStyle w:val="None"/>
          <w:rFonts w:ascii="Times New Roman" w:hAnsi="Times New Roman" w:cs="Times New Roman"/>
          <w:noProof/>
          <w:sz w:val="24"/>
          <w:szCs w:val="24"/>
          <w:vertAlign w:val="superscript"/>
        </w:rPr>
        <w:footnoteReference w:id="27"/>
      </w:r>
      <w:r w:rsidRPr="005E2190">
        <w:rPr>
          <w:rStyle w:val="None"/>
          <w:rFonts w:ascii="Times New Roman" w:hAnsi="Times New Roman"/>
          <w:noProof/>
          <w:sz w:val="24"/>
        </w:rPr>
        <w:t xml:space="preserve">. Razvite so bile operativne smernice in priloženi pritožbeni obrazec, da bi deležnikom (na primer sindikatom, industrijskim združenjem in nevladnim organizacijam) pomagali pri čim boljši uporabi novega sistema. Obravnavanje pritožb v zvezi s trgovino in trajnostnim razvojem ter nadaljnje ukrepanje na podlagi pritožb je pomemben del vloge </w:t>
      </w:r>
      <w:r w:rsidRPr="005E2190">
        <w:rPr>
          <w:rStyle w:val="None"/>
          <w:rFonts w:ascii="Times New Roman" w:hAnsi="Times New Roman"/>
          <w:b/>
          <w:noProof/>
          <w:sz w:val="24"/>
        </w:rPr>
        <w:t>glavnega uradnika za trgovinsko skladnost</w:t>
      </w:r>
      <w:r w:rsidRPr="005E2190">
        <w:rPr>
          <w:rStyle w:val="None"/>
          <w:rFonts w:ascii="Times New Roman" w:hAnsi="Times New Roman"/>
          <w:noProof/>
          <w:sz w:val="24"/>
        </w:rPr>
        <w:t xml:space="preserve"> pri izvajanju in izvrševanju trgovinskih sporazumov</w:t>
      </w:r>
      <w:r w:rsidRPr="005E2190">
        <w:rPr>
          <w:rStyle w:val="None"/>
          <w:rFonts w:ascii="Times New Roman" w:hAnsi="Times New Roman" w:cs="Times New Roman"/>
          <w:noProof/>
          <w:sz w:val="24"/>
          <w:szCs w:val="24"/>
          <w:vertAlign w:val="superscript"/>
        </w:rPr>
        <w:footnoteReference w:id="28"/>
      </w:r>
      <w:r w:rsidRPr="005E2190">
        <w:rPr>
          <w:rStyle w:val="None"/>
          <w:rFonts w:ascii="Times New Roman" w:hAnsi="Times New Roman"/>
          <w:noProof/>
          <w:sz w:val="24"/>
        </w:rPr>
        <w:t>.</w:t>
      </w:r>
    </w:p>
    <w:p w14:paraId="6EC18616" w14:textId="0B383DDE" w:rsidR="007E6F5E" w:rsidRPr="005E2190" w:rsidRDefault="00336C0A" w:rsidP="003F6983">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Kljub temu se je doslej le manjše število deležnikov obrnilo na enotno vstopno točko z vprašanji glede trgovine in trajnostnega razvoja. Sistem enotne vstopne točke je bil zasnovan tako, da omogoča zgodnje stike za obravnavanje posebnih vprašanj. Komisija potrjuje, da je pripravljena sodelovati pri obravnavi morebitnih vprašanj glede trgovine in trajnostnega razvoja ter poleg podrobnih informacij, objavljenih na spletu, pojasniti, kako se lahko sistem uporablja in katere informacije so morda potrebne. Komisija bo tudi zagotovila dodatna pojasnila in pomoč za spodbujanje uporabe enotne vstopne točke. V ta namen je vzporedno s pregledom trgovine in trajnostnega razvoja posodobila operativne smernice, da bi pojasnila, da lahko </w:t>
      </w:r>
      <w:r w:rsidRPr="005E2190">
        <w:rPr>
          <w:rStyle w:val="None"/>
          <w:rFonts w:ascii="Times New Roman" w:hAnsi="Times New Roman"/>
          <w:b/>
          <w:noProof/>
          <w:sz w:val="24"/>
        </w:rPr>
        <w:t>notranje svetovalne skupine</w:t>
      </w:r>
      <w:r w:rsidRPr="005E2190">
        <w:rPr>
          <w:rStyle w:val="None"/>
          <w:rFonts w:ascii="Times New Roman" w:hAnsi="Times New Roman"/>
          <w:noProof/>
          <w:sz w:val="24"/>
        </w:rPr>
        <w:t xml:space="preserve"> </w:t>
      </w:r>
      <w:r w:rsidRPr="005E2190">
        <w:rPr>
          <w:rStyle w:val="None"/>
          <w:rFonts w:ascii="Times New Roman" w:hAnsi="Times New Roman"/>
          <w:b/>
          <w:noProof/>
          <w:sz w:val="24"/>
        </w:rPr>
        <w:t>vložijo tudi kolektivne pritožbe</w:t>
      </w:r>
      <w:r w:rsidRPr="005E2190">
        <w:rPr>
          <w:rStyle w:val="None"/>
          <w:rFonts w:ascii="Times New Roman" w:hAnsi="Times New Roman"/>
          <w:noProof/>
          <w:sz w:val="24"/>
        </w:rPr>
        <w:t xml:space="preserve"> in da lahko </w:t>
      </w:r>
      <w:r w:rsidRPr="005E2190">
        <w:rPr>
          <w:rStyle w:val="None"/>
          <w:rFonts w:ascii="Times New Roman" w:hAnsi="Times New Roman"/>
          <w:b/>
          <w:noProof/>
          <w:sz w:val="24"/>
        </w:rPr>
        <w:t>pritožnik s sedežem v EU zastopa pomisleke subjekta iz partnerske države v zvezi s trgovino in trajnostnim razvojem</w:t>
      </w:r>
      <w:r w:rsidRPr="005E2190">
        <w:rPr>
          <w:rStyle w:val="None"/>
          <w:rFonts w:ascii="Times New Roman" w:hAnsi="Times New Roman"/>
          <w:noProof/>
          <w:sz w:val="24"/>
        </w:rPr>
        <w:t>. Posodobitev prinaša večjo preglednost in jasnost glede tega, kako in v kakšnih rokih lahko enotna vstopna točka obravnava začetne faze pritožbe o kršitvi zavez o trgovini in trajnostnem razvoju.</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7E6F5E" w:rsidRPr="005E2190" w14:paraId="606E1FB8" w14:textId="77777777" w:rsidTr="00A75D80">
        <w:trPr>
          <w:trHeight w:val="4872"/>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8A43AFE" w14:textId="77777777" w:rsidR="007E6F5E" w:rsidRPr="005E2190" w:rsidRDefault="00336C0A" w:rsidP="003F6983">
            <w:pPr>
              <w:pStyle w:val="BodyA"/>
              <w:spacing w:after="0"/>
              <w:jc w:val="center"/>
              <w:rPr>
                <w:rStyle w:val="None"/>
                <w:rFonts w:ascii="Times New Roman" w:hAnsi="Times New Roman" w:cs="Times New Roman"/>
                <w:b/>
                <w:noProof/>
                <w:sz w:val="24"/>
                <w:szCs w:val="24"/>
              </w:rPr>
            </w:pPr>
            <w:r w:rsidRPr="005E2190">
              <w:rPr>
                <w:rStyle w:val="None"/>
                <w:rFonts w:ascii="Times New Roman" w:hAnsi="Times New Roman"/>
                <w:b/>
                <w:noProof/>
                <w:sz w:val="24"/>
              </w:rPr>
              <w:lastRenderedPageBreak/>
              <w:t>Glavni ukrepi</w:t>
            </w:r>
          </w:p>
          <w:p w14:paraId="4F7819B5" w14:textId="77777777" w:rsidR="007E6F5E" w:rsidRPr="005E2190" w:rsidRDefault="00336C0A" w:rsidP="00073A7F">
            <w:pPr>
              <w:pStyle w:val="BodyA"/>
              <w:spacing w:after="120" w:line="240" w:lineRule="auto"/>
              <w:jc w:val="both"/>
              <w:rPr>
                <w:rStyle w:val="None"/>
                <w:rFonts w:ascii="Times New Roman" w:hAnsi="Times New Roman" w:cs="Times New Roman"/>
                <w:noProof/>
                <w:sz w:val="24"/>
                <w:szCs w:val="24"/>
              </w:rPr>
            </w:pPr>
            <w:r w:rsidRPr="005E2190">
              <w:rPr>
                <w:rStyle w:val="None"/>
                <w:rFonts w:ascii="Times New Roman" w:hAnsi="Times New Roman"/>
                <w:noProof/>
                <w:sz w:val="24"/>
              </w:rPr>
              <w:t>Komisija bo:</w:t>
            </w:r>
            <w:r w:rsidRPr="005E2190">
              <w:rPr>
                <w:rStyle w:val="None"/>
                <w:rFonts w:ascii="Times New Roman" w:hAnsi="Times New Roman"/>
                <w:i/>
                <w:noProof/>
                <w:sz w:val="24"/>
              </w:rPr>
              <w:t xml:space="preserve"> </w:t>
            </w:r>
          </w:p>
          <w:p w14:paraId="4D7F2346" w14:textId="2AF5B680" w:rsidR="007E6F5E" w:rsidRPr="005E2190" w:rsidRDefault="51664043" w:rsidP="00073A7F">
            <w:pPr>
              <w:pStyle w:val="ListParagraph"/>
              <w:numPr>
                <w:ilvl w:val="0"/>
                <w:numId w:val="5"/>
              </w:numPr>
              <w:spacing w:after="120" w:line="240" w:lineRule="auto"/>
              <w:jc w:val="both"/>
              <w:rPr>
                <w:rFonts w:ascii="Times New Roman" w:hAnsi="Times New Roman" w:cs="Times New Roman"/>
                <w:noProof/>
                <w:sz w:val="24"/>
                <w:szCs w:val="24"/>
              </w:rPr>
            </w:pPr>
            <w:r w:rsidRPr="005E2190">
              <w:rPr>
                <w:rStyle w:val="None"/>
                <w:rFonts w:ascii="Times New Roman" w:hAnsi="Times New Roman"/>
                <w:noProof/>
                <w:sz w:val="24"/>
              </w:rPr>
              <w:t xml:space="preserve">razvila </w:t>
            </w:r>
            <w:r w:rsidRPr="005E2190">
              <w:rPr>
                <w:rStyle w:val="None"/>
                <w:rFonts w:ascii="Times New Roman" w:hAnsi="Times New Roman"/>
                <w:b/>
                <w:noProof/>
                <w:sz w:val="24"/>
              </w:rPr>
              <w:t>celosten pristop EU, skupen vsem službam</w:t>
            </w:r>
            <w:r w:rsidRPr="005E2190">
              <w:rPr>
                <w:rStyle w:val="None"/>
                <w:rFonts w:ascii="Times New Roman" w:hAnsi="Times New Roman"/>
                <w:noProof/>
                <w:sz w:val="24"/>
              </w:rPr>
              <w:t>, za spremljanje izvajanja zavez o trgovini in trajnostnem razvoju z vsemi razpoložljivimi instrumenti, z vključitvijo delegacij EU in z dejavnim sodelovanjem z glavnimi mesti, veleposlaništvi in območnimi uradi držav članic;</w:t>
            </w:r>
          </w:p>
          <w:p w14:paraId="21790B33" w14:textId="771788CE" w:rsidR="007E6F5E" w:rsidRPr="005E2190" w:rsidRDefault="00336C0A" w:rsidP="00073A7F">
            <w:pPr>
              <w:pStyle w:val="ListParagraph"/>
              <w:numPr>
                <w:ilvl w:val="0"/>
                <w:numId w:val="5"/>
              </w:numPr>
              <w:spacing w:after="120" w:line="240" w:lineRule="auto"/>
              <w:jc w:val="both"/>
              <w:rPr>
                <w:rFonts w:ascii="Times New Roman" w:hAnsi="Times New Roman" w:cs="Times New Roman"/>
                <w:noProof/>
                <w:sz w:val="24"/>
                <w:szCs w:val="24"/>
              </w:rPr>
            </w:pPr>
            <w:r w:rsidRPr="005E2190">
              <w:rPr>
                <w:rStyle w:val="None"/>
                <w:rFonts w:ascii="Times New Roman" w:hAnsi="Times New Roman"/>
                <w:noProof/>
                <w:sz w:val="24"/>
              </w:rPr>
              <w:t xml:space="preserve">sodelovala z </w:t>
            </w:r>
            <w:r w:rsidRPr="005E2190">
              <w:rPr>
                <w:rStyle w:val="None"/>
                <w:rFonts w:ascii="Times New Roman" w:hAnsi="Times New Roman"/>
                <w:b/>
                <w:noProof/>
                <w:sz w:val="24"/>
              </w:rPr>
              <w:t>delegacijami EU</w:t>
            </w:r>
            <w:r w:rsidRPr="005E2190">
              <w:rPr>
                <w:rStyle w:val="None"/>
                <w:rFonts w:ascii="Times New Roman" w:hAnsi="Times New Roman"/>
                <w:noProof/>
                <w:sz w:val="24"/>
              </w:rPr>
              <w:t xml:space="preserve"> pri njihovem podpornem delu in opredelitvi najboljših praks, ko bodo trgovinski partnerji vzpostavili lokalne notranje svetovalne skupine in začeli sodelovati z njimi;</w:t>
            </w:r>
          </w:p>
          <w:p w14:paraId="529DBC88" w14:textId="3E55D626" w:rsidR="007E6F5E" w:rsidRPr="005E2190" w:rsidRDefault="003027BC" w:rsidP="00680EB2">
            <w:pPr>
              <w:pStyle w:val="ListParagraph"/>
              <w:numPr>
                <w:ilvl w:val="0"/>
                <w:numId w:val="5"/>
              </w:numPr>
              <w:spacing w:after="120" w:line="240" w:lineRule="auto"/>
              <w:jc w:val="both"/>
              <w:rPr>
                <w:rFonts w:ascii="Times New Roman" w:hAnsi="Times New Roman" w:cs="Times New Roman"/>
                <w:noProof/>
                <w:sz w:val="24"/>
                <w:szCs w:val="24"/>
              </w:rPr>
            </w:pPr>
            <w:r w:rsidRPr="005E2190">
              <w:rPr>
                <w:rStyle w:val="None"/>
                <w:rFonts w:ascii="Times New Roman" w:hAnsi="Times New Roman"/>
                <w:noProof/>
                <w:sz w:val="24"/>
              </w:rPr>
              <w:t xml:space="preserve">podpirala stalno </w:t>
            </w:r>
            <w:r w:rsidRPr="005E2190">
              <w:rPr>
                <w:rStyle w:val="None"/>
                <w:rFonts w:ascii="Times New Roman" w:hAnsi="Times New Roman"/>
                <w:b/>
                <w:noProof/>
                <w:sz w:val="24"/>
              </w:rPr>
              <w:t>vključenost Evropskega parlamenta</w:t>
            </w:r>
            <w:r w:rsidRPr="005E2190">
              <w:rPr>
                <w:rStyle w:val="None"/>
                <w:rFonts w:ascii="Times New Roman" w:hAnsi="Times New Roman"/>
                <w:noProof/>
                <w:sz w:val="24"/>
              </w:rPr>
              <w:t xml:space="preserve"> v izvajanje zavez o trgovini in trajnostnem razvoju v okviru njegovih medparlamentarnih stikov in bo pripravljena, da mu pomaga pri prizadevanjih za redne razprave o trgovini in trajnostnem razvoju v posameznih državah;  </w:t>
            </w:r>
          </w:p>
          <w:p w14:paraId="085692A3" w14:textId="2F9A0F47" w:rsidR="007E6F5E" w:rsidRPr="005E2190" w:rsidRDefault="00336C0A" w:rsidP="00A75D80">
            <w:pPr>
              <w:pStyle w:val="ListParagraph"/>
              <w:numPr>
                <w:ilvl w:val="0"/>
                <w:numId w:val="5"/>
              </w:numPr>
              <w:spacing w:after="0" w:line="240" w:lineRule="auto"/>
              <w:ind w:left="448" w:hanging="357"/>
              <w:jc w:val="both"/>
              <w:rPr>
                <w:rFonts w:ascii="Times New Roman" w:hAnsi="Times New Roman" w:cs="Times New Roman"/>
                <w:noProof/>
                <w:sz w:val="24"/>
                <w:szCs w:val="24"/>
              </w:rPr>
            </w:pPr>
            <w:r w:rsidRPr="005E2190">
              <w:rPr>
                <w:rStyle w:val="None"/>
                <w:rFonts w:ascii="Times New Roman" w:hAnsi="Times New Roman"/>
                <w:noProof/>
                <w:sz w:val="24"/>
              </w:rPr>
              <w:t xml:space="preserve">vzporedno s pregledom trgovine in trajnostnega razvoja </w:t>
            </w:r>
            <w:r w:rsidRPr="005E2190">
              <w:rPr>
                <w:rStyle w:val="None"/>
                <w:rFonts w:ascii="Times New Roman" w:hAnsi="Times New Roman"/>
                <w:b/>
                <w:noProof/>
                <w:sz w:val="24"/>
              </w:rPr>
              <w:t>revidirala operativne smernice za enotno vstopno točko</w:t>
            </w:r>
            <w:r w:rsidRPr="005E2190">
              <w:rPr>
                <w:rStyle w:val="None"/>
                <w:rFonts w:ascii="Times New Roman" w:hAnsi="Times New Roman"/>
                <w:noProof/>
                <w:sz w:val="24"/>
              </w:rPr>
              <w:t xml:space="preserve">, da se povečata preglednost in predvidljivost za deležnike ter da se pojasni, kdo lahko vloži pritožbe, kako bodo pritožbe obravnavane in kakšni so veljavni časovni roki. V smernicah bo tudi pojasnjeno, da lahko notranje svetovalne skupine </w:t>
            </w:r>
            <w:r w:rsidRPr="005E2190">
              <w:rPr>
                <w:rStyle w:val="None"/>
                <w:rFonts w:ascii="Times New Roman" w:hAnsi="Times New Roman"/>
                <w:b/>
                <w:noProof/>
                <w:sz w:val="24"/>
              </w:rPr>
              <w:t>vložijo kolektivne pritožbe</w:t>
            </w:r>
            <w:r w:rsidRPr="005E2190">
              <w:rPr>
                <w:rStyle w:val="None"/>
                <w:rFonts w:ascii="Times New Roman" w:hAnsi="Times New Roman"/>
                <w:noProof/>
                <w:sz w:val="24"/>
              </w:rPr>
              <w:t xml:space="preserve"> o kršitvah zavez o trgovini in trajnostnem razvoju ter zastopajo interese stranke iz partnerske države. </w:t>
            </w:r>
          </w:p>
        </w:tc>
      </w:tr>
    </w:tbl>
    <w:p w14:paraId="1E45D218" w14:textId="77777777" w:rsidR="007E6F5E" w:rsidRPr="005E2190" w:rsidRDefault="007E6F5E" w:rsidP="00A75D80">
      <w:pPr>
        <w:pStyle w:val="Body"/>
        <w:jc w:val="both"/>
        <w:rPr>
          <w:rStyle w:val="None"/>
          <w:rFonts w:cs="Times New Roman"/>
          <w:b/>
          <w:noProof/>
          <w:u w:val="single"/>
        </w:rPr>
      </w:pPr>
    </w:p>
    <w:p w14:paraId="4F103564" w14:textId="6AFEB92B" w:rsidR="002239D2" w:rsidRPr="005E2190" w:rsidRDefault="002239D2" w:rsidP="002239D2">
      <w:pPr>
        <w:tabs>
          <w:tab w:val="left" w:pos="851"/>
          <w:tab w:val="left" w:pos="993"/>
        </w:tabs>
        <w:ind w:left="350"/>
        <w:jc w:val="both"/>
        <w:rPr>
          <w:rStyle w:val="None"/>
          <w:noProof/>
          <w:u w:val="single"/>
        </w:rPr>
      </w:pPr>
      <w:r w:rsidRPr="005E2190">
        <w:rPr>
          <w:rStyle w:val="None"/>
          <w:noProof/>
        </w:rPr>
        <w:t>3.5</w:t>
      </w:r>
      <w:r w:rsidRPr="005E2190">
        <w:rPr>
          <w:noProof/>
        </w:rPr>
        <w:tab/>
      </w:r>
      <w:r w:rsidRPr="005E2190">
        <w:rPr>
          <w:noProof/>
        </w:rPr>
        <w:tab/>
      </w:r>
      <w:r w:rsidRPr="005E2190">
        <w:rPr>
          <w:rStyle w:val="None"/>
          <w:noProof/>
          <w:u w:val="single"/>
        </w:rPr>
        <w:t>Okrepitev vloge civilne družbe</w:t>
      </w:r>
    </w:p>
    <w:p w14:paraId="491288A1" w14:textId="77777777" w:rsidR="002239D2" w:rsidRPr="005E2190" w:rsidRDefault="002239D2" w:rsidP="004E57CE">
      <w:pPr>
        <w:jc w:val="both"/>
        <w:rPr>
          <w:rStyle w:val="None"/>
          <w:noProof/>
          <w:u w:val="single"/>
        </w:rPr>
      </w:pPr>
    </w:p>
    <w:p w14:paraId="5982D514" w14:textId="20D4B2EF" w:rsidR="007E6F5E" w:rsidRPr="005E2190" w:rsidRDefault="00336C0A" w:rsidP="00D736A4">
      <w:pPr>
        <w:pStyle w:val="Body"/>
        <w:spacing w:after="160" w:line="259" w:lineRule="auto"/>
        <w:jc w:val="both"/>
        <w:rPr>
          <w:rStyle w:val="None"/>
          <w:rFonts w:cs="Times New Roman"/>
          <w:noProof/>
          <w14:textOutline w14:w="12700" w14:cap="flat" w14:cmpd="sng" w14:algn="ctr">
            <w14:noFill/>
            <w14:prstDash w14:val="solid"/>
            <w14:miter w14:lim="400000"/>
          </w14:textOutline>
        </w:rPr>
      </w:pPr>
      <w:r w:rsidRPr="005E2190">
        <w:rPr>
          <w:rStyle w:val="None"/>
          <w:noProof/>
          <w14:textOutline w14:w="12700" w14:cap="flat" w14:cmpd="sng" w14:algn="ctr">
            <w14:noFill/>
            <w14:prstDash w14:val="solid"/>
            <w14:miter w14:lim="400000"/>
          </w14:textOutline>
        </w:rPr>
        <w:t xml:space="preserve">Komisija se redno in pogosto posvetuje z zainteresiranimi stranmi v okviru uveljavljene horizontalne strukture </w:t>
      </w:r>
      <w:r w:rsidRPr="005E2190">
        <w:rPr>
          <w:rStyle w:val="None"/>
          <w:b/>
          <w:noProof/>
          <w14:textOutline w14:w="12700" w14:cap="flat" w14:cmpd="sng" w14:algn="ctr">
            <w14:noFill/>
            <w14:prstDash w14:val="solid"/>
            <w14:miter w14:lim="400000"/>
          </w14:textOutline>
        </w:rPr>
        <w:t>dialogov s civilno družbo</w:t>
      </w:r>
      <w:r w:rsidRPr="005E2190">
        <w:rPr>
          <w:rStyle w:val="None"/>
          <w:noProof/>
          <w14:textOutline w14:w="12700" w14:cap="flat" w14:cmpd="sng" w14:algn="ctr">
            <w14:noFill/>
            <w14:prstDash w14:val="solid"/>
            <w14:miter w14:lim="400000"/>
          </w14:textOutline>
        </w:rPr>
        <w:t xml:space="preserve">, ki stalno obravnavajo vprašanja trgovine in trajnostnega razvoja. Komisija si tudi bolj prizadeva učinkoviteje doseči </w:t>
      </w:r>
      <w:r w:rsidRPr="005E2190">
        <w:rPr>
          <w:rStyle w:val="None"/>
          <w:b/>
          <w:noProof/>
          <w14:textOutline w14:w="12700" w14:cap="flat" w14:cmpd="sng" w14:algn="ctr">
            <w14:noFill/>
            <w14:prstDash w14:val="solid"/>
            <w14:miter w14:lim="400000"/>
          </w14:textOutline>
        </w:rPr>
        <w:t>civilno družbo v državah članicah</w:t>
      </w:r>
      <w:r w:rsidRPr="005E2190">
        <w:rPr>
          <w:rStyle w:val="None"/>
          <w:noProof/>
          <w14:textOutline w14:w="12700" w14:cap="flat" w14:cmpd="sng" w14:algn="ctr">
            <w14:noFill/>
            <w14:prstDash w14:val="solid"/>
            <w14:miter w14:lim="400000"/>
          </w14:textOutline>
        </w:rPr>
        <w:t xml:space="preserve">, vključno s povečanjem števila namenskih dogodkov in razprav na visoki ravni. Poleg tega trgovinski sporazumi EU izrecno določajo vključenost civilne družbe med izvajanjem zavez o trgovini in trajnostnem razvoju, tudi prek </w:t>
      </w:r>
      <w:r w:rsidRPr="005E2190">
        <w:rPr>
          <w:rStyle w:val="None"/>
          <w:b/>
          <w:noProof/>
          <w14:textOutline w14:w="12700" w14:cap="flat" w14:cmpd="sng" w14:algn="ctr">
            <w14:noFill/>
            <w14:prstDash w14:val="solid"/>
            <w14:miter w14:lim="400000"/>
          </w14:textOutline>
        </w:rPr>
        <w:t>notranjih svetovalnih skupin</w:t>
      </w:r>
      <w:r w:rsidRPr="005E2190">
        <w:rPr>
          <w:rStyle w:val="None"/>
          <w:noProof/>
          <w14:textOutline w14:w="12700" w14:cap="flat" w14:cmpd="sng" w14:algn="ctr">
            <w14:noFill/>
            <w14:prstDash w14:val="solid"/>
            <w14:miter w14:lim="400000"/>
          </w14:textOutline>
        </w:rPr>
        <w:t xml:space="preserve">. Civilna družba ima lahko dejavno vlogo tudi v fazi izvrševanja s predložitvijo pritožb v zvezi s trgovino in trajnostnim razvojem </w:t>
      </w:r>
      <w:r w:rsidRPr="005E2190">
        <w:rPr>
          <w:rStyle w:val="None"/>
          <w:b/>
          <w:noProof/>
          <w14:textOutline w14:w="12700" w14:cap="flat" w14:cmpd="sng" w14:algn="ctr">
            <w14:noFill/>
            <w14:prstDash w14:val="solid"/>
            <w14:miter w14:lim="400000"/>
          </w14:textOutline>
        </w:rPr>
        <w:t>enotni vstopni točki</w:t>
      </w:r>
      <w:r w:rsidRPr="005E2190">
        <w:rPr>
          <w:rStyle w:val="None"/>
          <w:noProof/>
          <w14:textOutline w14:w="12700" w14:cap="flat" w14:cmpd="sng" w14:algn="ctr">
            <w14:noFill/>
            <w14:prstDash w14:val="solid"/>
            <w14:miter w14:lim="400000"/>
          </w14:textOutline>
        </w:rPr>
        <w:t xml:space="preserve"> (glej zgoraj) in stališč </w:t>
      </w:r>
      <w:r w:rsidRPr="005E2190">
        <w:rPr>
          <w:rStyle w:val="None"/>
          <w:i/>
          <w:noProof/>
          <w14:textOutline w14:w="12700" w14:cap="flat" w14:cmpd="sng" w14:algn="ctr">
            <w14:noFill/>
            <w14:prstDash w14:val="solid"/>
            <w14:miter w14:lim="400000"/>
          </w14:textOutline>
        </w:rPr>
        <w:t>amicus curiae</w:t>
      </w:r>
      <w:r w:rsidRPr="005E2190">
        <w:rPr>
          <w:rStyle w:val="None"/>
          <w:noProof/>
          <w14:textOutline w14:w="12700" w14:cap="flat" w14:cmpd="sng" w14:algn="ctr">
            <w14:noFill/>
            <w14:prstDash w14:val="solid"/>
            <w14:miter w14:lim="400000"/>
          </w14:textOutline>
        </w:rPr>
        <w:t xml:space="preserve"> odboru. </w:t>
      </w:r>
    </w:p>
    <w:p w14:paraId="0B353A68" w14:textId="5E1C1CF4" w:rsidR="007E6F5E" w:rsidRPr="005E2190" w:rsidRDefault="00AE410A" w:rsidP="00D736A4">
      <w:pPr>
        <w:pStyle w:val="Body"/>
        <w:spacing w:after="160" w:line="259" w:lineRule="auto"/>
        <w:jc w:val="both"/>
        <w:rPr>
          <w:rStyle w:val="None"/>
          <w:rFonts w:cs="Times New Roman"/>
          <w:noProof/>
          <w14:textOutline w14:w="12700" w14:cap="flat" w14:cmpd="sng" w14:algn="ctr">
            <w14:noFill/>
            <w14:prstDash w14:val="solid"/>
            <w14:miter w14:lim="400000"/>
          </w14:textOutline>
        </w:rPr>
      </w:pPr>
      <w:r w:rsidRPr="005E2190">
        <w:rPr>
          <w:rStyle w:val="None"/>
          <w:noProof/>
          <w14:textOutline w14:w="12700" w14:cap="flat" w14:cmpd="sng" w14:algn="ctr">
            <w14:noFill/>
            <w14:prstDash w14:val="solid"/>
            <w14:miter w14:lim="400000"/>
          </w14:textOutline>
        </w:rPr>
        <w:t xml:space="preserve">Dobro utemeljeni in na dokazih temelječi prispevki civilne družbe so bistvenega pomena, da lahko Komisija opredeli in prednostno razvrsti vprašanja trgovine in trajnostnega razvoja ter ukrepa v zvezi z njimi. V tem okviru so ključnega pomena tudi </w:t>
      </w:r>
      <w:r w:rsidRPr="005E2190">
        <w:rPr>
          <w:rStyle w:val="None"/>
          <w:b/>
          <w:noProof/>
          <w14:textOutline w14:w="12700" w14:cap="flat" w14:cmpd="sng" w14:algn="ctr">
            <w14:noFill/>
            <w14:prstDash w14:val="solid"/>
            <w14:miter w14:lim="400000"/>
          </w14:textOutline>
        </w:rPr>
        <w:t>sodelovanje in izmenjave med deležniki iz EU in njihovimi partnerskimi organizacijami v tujini</w:t>
      </w:r>
      <w:r w:rsidRPr="005E2190">
        <w:rPr>
          <w:rStyle w:val="None"/>
          <w:noProof/>
          <w14:textOutline w14:w="12700" w14:cap="flat" w14:cmpd="sng" w14:algn="ctr">
            <w14:noFill/>
            <w14:prstDash w14:val="solid"/>
            <w14:miter w14:lim="400000"/>
          </w14:textOutline>
        </w:rPr>
        <w:t xml:space="preserve">. Takšen prispevek se lahko nato bolje ovrednoti glede na </w:t>
      </w:r>
      <w:r w:rsidRPr="005E2190">
        <w:rPr>
          <w:rStyle w:val="None"/>
          <w:b/>
          <w:noProof/>
          <w14:textOutline w14:w="12700" w14:cap="flat" w14:cmpd="sng" w14:algn="ctr">
            <w14:noFill/>
            <w14:prstDash w14:val="solid"/>
            <w14:miter w14:lim="400000"/>
          </w14:textOutline>
        </w:rPr>
        <w:t>ciljno usmerjenost in prednostno razvrstitev</w:t>
      </w:r>
      <w:r w:rsidRPr="005E2190">
        <w:rPr>
          <w:rStyle w:val="None"/>
          <w:noProof/>
          <w14:textOutline w14:w="12700" w14:cap="flat" w14:cmpd="sng" w14:algn="ctr">
            <w14:noFill/>
            <w14:prstDash w14:val="solid"/>
            <w14:miter w14:lim="400000"/>
          </w14:textOutline>
        </w:rPr>
        <w:t xml:space="preserve">. V fazi ocene učinka (ocene učinka in ocene učinka na trajnostni razvoj) bi lahko na primer posvetovanje s civilno družbo pomagalo opredeliti vrzeli in izzive ter določiti prednostne naloge, ki jih je treba obravnavati v pogajalskem procesu, kot tudi predvideti morebitna ključna vprašanja v zvezi z izvajanjem. Po začetku veljavnosti sporazuma lahko pravočasni in relevantni prispevki, ki temeljijo na strokovnem znanju in znanju s terena ter se predložijo odborom za trgovino in trajnostni razvoj, vzpostavljenim na podlagi sporazumov, pomagajo pri skupnem spremljanju skladnosti z zavezami o trgovini in trajnostnem razvoju ter </w:t>
      </w:r>
      <w:r w:rsidRPr="005E2190">
        <w:rPr>
          <w:rStyle w:val="None"/>
          <w:b/>
          <w:noProof/>
          <w14:textOutline w14:w="12700" w14:cap="flat" w14:cmpd="sng" w14:algn="ctr">
            <w14:noFill/>
            <w14:prstDash w14:val="solid"/>
            <w14:miter w14:lim="400000"/>
          </w14:textOutline>
        </w:rPr>
        <w:t>usmerjajo dvostranska prizadevanja za izvajanje</w:t>
      </w:r>
      <w:r w:rsidRPr="005E2190">
        <w:rPr>
          <w:rStyle w:val="None"/>
          <w:noProof/>
          <w14:textOutline w14:w="12700" w14:cap="flat" w14:cmpd="sng" w14:algn="ctr">
            <w14:noFill/>
            <w14:prstDash w14:val="solid"/>
            <w14:miter w14:lim="400000"/>
          </w14:textOutline>
        </w:rPr>
        <w:t xml:space="preserve">. </w:t>
      </w:r>
    </w:p>
    <w:p w14:paraId="140E6EF7" w14:textId="4EAA1BB7" w:rsidR="007E6F5E" w:rsidRPr="005E2190" w:rsidRDefault="00336C0A" w:rsidP="00D736A4">
      <w:pPr>
        <w:pStyle w:val="Body"/>
        <w:spacing w:after="160" w:line="259" w:lineRule="auto"/>
        <w:jc w:val="both"/>
        <w:rPr>
          <w:rFonts w:cs="Times New Roman"/>
          <w:noProof/>
        </w:rPr>
      </w:pPr>
      <w:r w:rsidRPr="005E2190">
        <w:rPr>
          <w:rStyle w:val="None"/>
          <w:noProof/>
          <w14:textOutline w14:w="12700" w14:cap="flat" w14:cmpd="sng" w14:algn="ctr">
            <w14:noFill/>
            <w14:prstDash w14:val="solid"/>
            <w14:miter w14:lim="400000"/>
          </w14:textOutline>
        </w:rPr>
        <w:lastRenderedPageBreak/>
        <w:t xml:space="preserve">Komisija bo ravno tako še naprej sodelovala z </w:t>
      </w:r>
      <w:r w:rsidRPr="005E2190">
        <w:rPr>
          <w:rStyle w:val="None"/>
          <w:b/>
          <w:noProof/>
          <w14:textOutline w14:w="12700" w14:cap="flat" w14:cmpd="sng" w14:algn="ctr">
            <w14:noFill/>
            <w14:prstDash w14:val="solid"/>
            <w14:miter w14:lim="400000"/>
          </w14:textOutline>
        </w:rPr>
        <w:t>notranjimi svetovalnimi skupinami</w:t>
      </w:r>
      <w:r w:rsidRPr="005E2190">
        <w:rPr>
          <w:rStyle w:val="None"/>
          <w:noProof/>
          <w14:textOutline w14:w="12700" w14:cap="flat" w14:cmpd="sng" w14:algn="ctr">
            <w14:noFill/>
            <w14:prstDash w14:val="solid"/>
            <w14:miter w14:lim="400000"/>
          </w14:textOutline>
        </w:rPr>
        <w:t xml:space="preserve">, ustanovljenimi na podlagi trgovinskih sporazumov, pri čemer bo zagotavljala logistično podporo, </w:t>
      </w:r>
      <w:r w:rsidRPr="005E2190">
        <w:rPr>
          <w:rStyle w:val="None"/>
          <w:b/>
          <w:noProof/>
          <w14:textOutline w14:w="12700" w14:cap="flat" w14:cmpd="sng" w14:algn="ctr">
            <w14:noFill/>
            <w14:prstDash w14:val="solid"/>
            <w14:miter w14:lim="400000"/>
          </w14:textOutline>
        </w:rPr>
        <w:t>podporo za krepitev zmogljivosti in strokovno znanje</w:t>
      </w:r>
      <w:r w:rsidRPr="005E2190">
        <w:rPr>
          <w:rStyle w:val="None"/>
          <w:noProof/>
          <w14:textOutline w14:w="12700" w14:cap="flat" w14:cmpd="sng" w14:algn="ctr">
            <w14:noFill/>
            <w14:prstDash w14:val="solid"/>
            <w14:miter w14:lim="400000"/>
          </w14:textOutline>
        </w:rPr>
        <w:t xml:space="preserve">. </w:t>
      </w:r>
      <w:r w:rsidRPr="005E2190">
        <w:rPr>
          <w:rStyle w:val="None"/>
          <w:b/>
          <w:noProof/>
          <w14:textOutline w14:w="12700" w14:cap="flat" w14:cmpd="sng" w14:algn="ctr">
            <w14:noFill/>
            <w14:prstDash w14:val="solid"/>
            <w14:miter w14:lim="400000"/>
          </w14:textOutline>
        </w:rPr>
        <w:t>Povečala je tudi preglednost</w:t>
      </w:r>
      <w:r w:rsidRPr="005E2190">
        <w:rPr>
          <w:rStyle w:val="None"/>
          <w:noProof/>
          <w14:textOutline w14:w="12700" w14:cap="flat" w14:cmpd="sng" w14:algn="ctr">
            <w14:noFill/>
            <w14:prstDash w14:val="solid"/>
            <w14:miter w14:lim="400000"/>
          </w14:textOutline>
        </w:rPr>
        <w:t xml:space="preserve"> z objavo dnevnih redov in zapisnikov obstoječih odborov za trgovino in trajnostni razvoj. V prihodnje bo Komisija še naprej krepila notranje svetovalne skupine s podrobnim spremljanjem njihovega ustanavljanja v skladu s pogoji, dogovorjenimi v trgovinskih sporazumih, ter podpirala </w:t>
      </w:r>
      <w:r w:rsidRPr="005E2190">
        <w:rPr>
          <w:rStyle w:val="None"/>
          <w:b/>
          <w:noProof/>
          <w14:textOutline w14:w="12700" w14:cap="flat" w14:cmpd="sng" w14:algn="ctr">
            <w14:noFill/>
            <w14:prstDash w14:val="solid"/>
            <w14:miter w14:lim="400000"/>
          </w14:textOutline>
        </w:rPr>
        <w:t>izmenjave med notranjimi svetovalnimi skupinami EU in partnerskih držav</w:t>
      </w:r>
      <w:r w:rsidRPr="005E2190">
        <w:rPr>
          <w:rStyle w:val="None"/>
          <w:noProof/>
          <w14:textOutline w14:w="12700" w14:cap="flat" w14:cmpd="sng" w14:algn="ctr">
            <w14:noFill/>
            <w14:prstDash w14:val="solid"/>
            <w14:miter w14:lim="400000"/>
          </w14:textOutline>
        </w:rPr>
        <w:t xml:space="preserve">. Ob priznavanju pomena njihovega prispevka kot tudi njihovih izkušenj in strokovnega znanja si bo Komisija prizadevala </w:t>
      </w:r>
      <w:r w:rsidRPr="005E2190">
        <w:rPr>
          <w:rStyle w:val="None"/>
          <w:b/>
          <w:noProof/>
          <w14:textOutline w14:w="12700" w14:cap="flat" w14:cmpd="sng" w14:algn="ctr">
            <w14:noFill/>
            <w14:prstDash w14:val="solid"/>
            <w14:miter w14:lim="400000"/>
          </w14:textOutline>
        </w:rPr>
        <w:t>razširiti področje delovanja notranjih svetovalnih skupin prek trgovine in trajnostnega razvoja</w:t>
      </w:r>
      <w:r w:rsidRPr="005E2190">
        <w:rPr>
          <w:rStyle w:val="None"/>
          <w:noProof/>
          <w14:textOutline w14:w="12700" w14:cap="flat" w14:cmpd="sng" w14:algn="ctr">
            <w14:noFill/>
            <w14:prstDash w14:val="solid"/>
            <w14:miter w14:lim="400000"/>
          </w14:textOutline>
        </w:rPr>
        <w:t>, da bi se zajeli vsi trgovinski sporazumi, kot je že predvideno v sporazumu o trgovini in sodelovanju med EU in Združenim kraljestvom.</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72"/>
      </w:tblGrid>
      <w:tr w:rsidR="007E6F5E" w:rsidRPr="005E2190" w14:paraId="38241455" w14:textId="77777777" w:rsidTr="001551F6">
        <w:trPr>
          <w:trHeight w:val="477"/>
        </w:trPr>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8C3C2A4" w14:textId="77777777" w:rsidR="007E6F5E" w:rsidRPr="005E2190" w:rsidRDefault="00336C0A" w:rsidP="00A75D80">
            <w:pPr>
              <w:pStyle w:val="BodyA"/>
              <w:spacing w:after="0"/>
              <w:jc w:val="center"/>
              <w:rPr>
                <w:rStyle w:val="None"/>
                <w:rFonts w:ascii="Times New Roman" w:hAnsi="Times New Roman" w:cs="Times New Roman"/>
                <w:b/>
                <w:noProof/>
                <w:sz w:val="24"/>
                <w:szCs w:val="24"/>
              </w:rPr>
            </w:pPr>
            <w:r w:rsidRPr="005E2190">
              <w:rPr>
                <w:rStyle w:val="None"/>
                <w:rFonts w:ascii="Times New Roman" w:hAnsi="Times New Roman"/>
                <w:b/>
                <w:noProof/>
                <w:sz w:val="24"/>
              </w:rPr>
              <w:t>Glavni ukrepi</w:t>
            </w:r>
          </w:p>
          <w:p w14:paraId="590EB6F0" w14:textId="77777777" w:rsidR="007E6F5E" w:rsidRPr="005E2190" w:rsidRDefault="00336C0A" w:rsidP="004E57CE">
            <w:pPr>
              <w:pStyle w:val="BodyA"/>
              <w:spacing w:after="100" w:line="240" w:lineRule="auto"/>
              <w:jc w:val="both"/>
              <w:rPr>
                <w:rStyle w:val="None"/>
                <w:rFonts w:ascii="Times New Roman" w:hAnsi="Times New Roman" w:cs="Times New Roman"/>
                <w:noProof/>
                <w:sz w:val="24"/>
                <w:szCs w:val="24"/>
                <w:u w:val="single"/>
              </w:rPr>
            </w:pPr>
            <w:r w:rsidRPr="005E2190">
              <w:rPr>
                <w:rStyle w:val="None"/>
                <w:rFonts w:ascii="Times New Roman" w:hAnsi="Times New Roman"/>
                <w:noProof/>
                <w:sz w:val="24"/>
              </w:rPr>
              <w:t>Komisija bo:</w:t>
            </w:r>
          </w:p>
          <w:p w14:paraId="248CF938" w14:textId="5B6DD9BA" w:rsidR="007E6F5E" w:rsidRPr="005E2190" w:rsidRDefault="51664043" w:rsidP="00073A7F">
            <w:pPr>
              <w:pStyle w:val="ListParagraph"/>
              <w:numPr>
                <w:ilvl w:val="0"/>
                <w:numId w:val="5"/>
              </w:numPr>
              <w:spacing w:after="120" w:line="240" w:lineRule="auto"/>
              <w:jc w:val="both"/>
              <w:rPr>
                <w:rFonts w:ascii="Times New Roman" w:eastAsia="Times New Roman" w:hAnsi="Times New Roman" w:cs="Times New Roman"/>
                <w:b/>
                <w:bCs/>
                <w:noProof/>
                <w:sz w:val="24"/>
                <w:szCs w:val="24"/>
                <w14:textOutline w14:w="12700" w14:cap="flat" w14:cmpd="sng" w14:algn="ctr">
                  <w14:noFill/>
                  <w14:prstDash w14:val="solid"/>
                  <w14:miter w14:lim="400000"/>
                </w14:textOutline>
              </w:rPr>
            </w:pPr>
            <w:r w:rsidRPr="005E2190">
              <w:rPr>
                <w:rStyle w:val="None"/>
                <w:rFonts w:ascii="Times New Roman" w:hAnsi="Times New Roman"/>
                <w:noProof/>
                <w:sz w:val="24"/>
              </w:rPr>
              <w:t xml:space="preserve">zagotovila </w:t>
            </w:r>
            <w:r w:rsidRPr="005E2190">
              <w:rPr>
                <w:rStyle w:val="None"/>
                <w:rFonts w:ascii="Times New Roman" w:hAnsi="Times New Roman"/>
                <w:b/>
                <w:noProof/>
                <w:sz w:val="24"/>
              </w:rPr>
              <w:t>vključujoč proces posvetovanja</w:t>
            </w:r>
            <w:r w:rsidRPr="005E2190">
              <w:rPr>
                <w:rStyle w:val="None"/>
                <w:rFonts w:ascii="Times New Roman" w:hAnsi="Times New Roman"/>
                <w:noProof/>
                <w:sz w:val="24"/>
              </w:rPr>
              <w:t xml:space="preserve"> s civilno družbo v </w:t>
            </w:r>
            <w:r w:rsidRPr="005E2190">
              <w:rPr>
                <w:rStyle w:val="None"/>
                <w:rFonts w:ascii="Times New Roman" w:hAnsi="Times New Roman"/>
                <w:b/>
                <w:noProof/>
                <w:sz w:val="24"/>
              </w:rPr>
              <w:t>vseh fazah</w:t>
            </w:r>
            <w:r w:rsidRPr="005E2190">
              <w:rPr>
                <w:rStyle w:val="None"/>
                <w:rFonts w:ascii="Times New Roman" w:hAnsi="Times New Roman"/>
                <w:noProof/>
                <w:sz w:val="24"/>
              </w:rPr>
              <w:t xml:space="preserve"> življenjskega cikla trgovinskih sporazumov, od analize vrzeli do izvajanja, vključno z opredelitvijo prednostnih nalog;</w:t>
            </w:r>
          </w:p>
          <w:p w14:paraId="4F419FA0" w14:textId="49325B73" w:rsidR="007E6F5E" w:rsidRPr="005E2190" w:rsidRDefault="51664043" w:rsidP="00073A7F">
            <w:pPr>
              <w:pStyle w:val="ListParagraph"/>
              <w:numPr>
                <w:ilvl w:val="0"/>
                <w:numId w:val="5"/>
              </w:numPr>
              <w:spacing w:after="120" w:line="240" w:lineRule="auto"/>
              <w:jc w:val="both"/>
              <w:rPr>
                <w:rFonts w:ascii="Times New Roman" w:hAnsi="Times New Roman" w:cs="Times New Roman"/>
                <w:noProof/>
                <w:sz w:val="24"/>
                <w:szCs w:val="24"/>
                <w14:textOutline w14:w="12700" w14:cap="flat" w14:cmpd="sng" w14:algn="ctr">
                  <w14:noFill/>
                  <w14:prstDash w14:val="solid"/>
                  <w14:miter w14:lim="400000"/>
                </w14:textOutline>
              </w:rPr>
            </w:pPr>
            <w:r w:rsidRPr="005E2190">
              <w:rPr>
                <w:rStyle w:val="None"/>
                <w:rFonts w:ascii="Times New Roman" w:hAnsi="Times New Roman"/>
                <w:noProof/>
                <w:sz w:val="24"/>
              </w:rPr>
              <w:t xml:space="preserve">nadalje okrepila vlogo </w:t>
            </w:r>
            <w:r w:rsidRPr="005E2190">
              <w:rPr>
                <w:rStyle w:val="None"/>
                <w:rFonts w:ascii="Times New Roman" w:hAnsi="Times New Roman"/>
                <w:b/>
                <w:noProof/>
                <w:sz w:val="24"/>
              </w:rPr>
              <w:t>notranjih svetovalnih skupin</w:t>
            </w:r>
            <w:r w:rsidRPr="005E2190">
              <w:rPr>
                <w:rStyle w:val="None"/>
                <w:rFonts w:ascii="Times New Roman" w:hAnsi="Times New Roman"/>
                <w:noProof/>
                <w:sz w:val="24"/>
              </w:rPr>
              <w:t xml:space="preserve"> EU, tako da bo zagotavljala sredstva za njihovo logistično podporo, krepitev zmogljivosti in delovanje;</w:t>
            </w:r>
            <w:r w:rsidRPr="005E2190">
              <w:rPr>
                <w:rStyle w:val="None"/>
                <w:rFonts w:ascii="Times New Roman" w:hAnsi="Times New Roman"/>
                <w:noProof/>
                <w:sz w:val="24"/>
                <w14:textOutline w14:w="12700" w14:cap="flat" w14:cmpd="sng" w14:algn="ctr">
                  <w14:noFill/>
                  <w14:prstDash w14:val="solid"/>
                  <w14:miter w14:lim="400000"/>
                </w14:textOutline>
              </w:rPr>
              <w:t xml:space="preserve"> </w:t>
            </w:r>
          </w:p>
          <w:p w14:paraId="3EFAFA50" w14:textId="740D5D13" w:rsidR="007E6F5E" w:rsidRPr="005E2190" w:rsidRDefault="51664043" w:rsidP="00924538">
            <w:pPr>
              <w:pStyle w:val="ListParagraph"/>
              <w:numPr>
                <w:ilvl w:val="0"/>
                <w:numId w:val="5"/>
              </w:numPr>
              <w:spacing w:after="120" w:line="240" w:lineRule="auto"/>
              <w:jc w:val="both"/>
              <w:rPr>
                <w:rFonts w:ascii="Times New Roman" w:hAnsi="Times New Roman" w:cs="Times New Roman"/>
                <w:noProof/>
                <w:sz w:val="24"/>
                <w:szCs w:val="24"/>
              </w:rPr>
            </w:pPr>
            <w:r w:rsidRPr="005E2190">
              <w:rPr>
                <w:rStyle w:val="None"/>
                <w:rFonts w:ascii="Times New Roman" w:hAnsi="Times New Roman"/>
                <w:noProof/>
                <w:sz w:val="24"/>
              </w:rPr>
              <w:t xml:space="preserve">povabila </w:t>
            </w:r>
            <w:r w:rsidRPr="005E2190">
              <w:rPr>
                <w:rStyle w:val="None"/>
                <w:rFonts w:ascii="Times New Roman" w:hAnsi="Times New Roman"/>
                <w:b/>
                <w:noProof/>
                <w:sz w:val="24"/>
              </w:rPr>
              <w:t>predstavnike notranjih svetovalnih skupin EU</w:t>
            </w:r>
            <w:r w:rsidRPr="005E2190">
              <w:rPr>
                <w:rStyle w:val="None"/>
                <w:rFonts w:ascii="Times New Roman" w:hAnsi="Times New Roman"/>
                <w:noProof/>
                <w:sz w:val="24"/>
              </w:rPr>
              <w:t xml:space="preserve"> v </w:t>
            </w:r>
            <w:r w:rsidRPr="005E2190">
              <w:rPr>
                <w:rStyle w:val="None"/>
                <w:rFonts w:ascii="Times New Roman" w:hAnsi="Times New Roman"/>
                <w:b/>
                <w:noProof/>
                <w:sz w:val="24"/>
              </w:rPr>
              <w:t>strokovne skupine držav članic za trgovino in trajnostni razvoj</w:t>
            </w:r>
            <w:r w:rsidRPr="005E2190">
              <w:rPr>
                <w:rStyle w:val="None"/>
                <w:rFonts w:ascii="Times New Roman" w:hAnsi="Times New Roman"/>
                <w:noProof/>
                <w:sz w:val="24"/>
              </w:rPr>
              <w:t xml:space="preserve">, ki jih vodi Komisija, v katerih bodo lahko prispevali svoje specifično strokovno znanje, in </w:t>
            </w:r>
            <w:r w:rsidRPr="005E2190">
              <w:rPr>
                <w:rStyle w:val="None"/>
                <w:rFonts w:ascii="Times New Roman" w:hAnsi="Times New Roman"/>
                <w:b/>
                <w:noProof/>
                <w:sz w:val="24"/>
              </w:rPr>
              <w:t>tesno sodelovala z notranjimi svetovalnimi skupinami</w:t>
            </w:r>
            <w:r w:rsidRPr="005E2190">
              <w:rPr>
                <w:rStyle w:val="None"/>
                <w:rFonts w:ascii="Times New Roman" w:hAnsi="Times New Roman"/>
                <w:noProof/>
                <w:sz w:val="24"/>
              </w:rPr>
              <w:t xml:space="preserve"> pri pripravi </w:t>
            </w:r>
            <w:r w:rsidRPr="005E2190">
              <w:rPr>
                <w:rStyle w:val="None"/>
                <w:rFonts w:ascii="Times New Roman" w:hAnsi="Times New Roman"/>
                <w:b/>
                <w:noProof/>
                <w:sz w:val="24"/>
              </w:rPr>
              <w:t>sej odborov za trgovino in trajnostni razvoj</w:t>
            </w:r>
            <w:r w:rsidRPr="005E2190">
              <w:rPr>
                <w:rStyle w:val="None"/>
                <w:rFonts w:ascii="Times New Roman" w:hAnsi="Times New Roman"/>
                <w:noProof/>
                <w:sz w:val="24"/>
              </w:rPr>
              <w:t>, zlasti tistih za opredelitev in spremljanje prednostnih nalog izvajanja;</w:t>
            </w:r>
          </w:p>
          <w:p w14:paraId="3D61AE99" w14:textId="77777777" w:rsidR="007E6F5E" w:rsidRPr="005E2190" w:rsidRDefault="51664043" w:rsidP="00073A7F">
            <w:pPr>
              <w:pStyle w:val="ListParagraph"/>
              <w:numPr>
                <w:ilvl w:val="0"/>
                <w:numId w:val="5"/>
              </w:numPr>
              <w:spacing w:after="120" w:line="240" w:lineRule="auto"/>
              <w:jc w:val="both"/>
              <w:rPr>
                <w:rFonts w:ascii="Times New Roman" w:hAnsi="Times New Roman" w:cs="Times New Roman"/>
                <w:noProof/>
                <w:sz w:val="24"/>
                <w:szCs w:val="24"/>
              </w:rPr>
            </w:pPr>
            <w:r w:rsidRPr="005E2190">
              <w:rPr>
                <w:rStyle w:val="None"/>
                <w:rFonts w:ascii="Times New Roman" w:hAnsi="Times New Roman"/>
                <w:noProof/>
                <w:sz w:val="24"/>
              </w:rPr>
              <w:t xml:space="preserve">spodbujala in lajšala </w:t>
            </w:r>
            <w:r w:rsidRPr="005E2190">
              <w:rPr>
                <w:rStyle w:val="None"/>
                <w:rFonts w:ascii="Times New Roman" w:hAnsi="Times New Roman"/>
                <w:b/>
                <w:noProof/>
                <w:sz w:val="24"/>
              </w:rPr>
              <w:t>izmenjave med notranjimi svetovalnimi skupinami EU</w:t>
            </w:r>
            <w:r w:rsidRPr="005E2190">
              <w:rPr>
                <w:rStyle w:val="None"/>
                <w:rFonts w:ascii="Times New Roman" w:hAnsi="Times New Roman"/>
                <w:noProof/>
                <w:sz w:val="24"/>
              </w:rPr>
              <w:t xml:space="preserve"> in </w:t>
            </w:r>
            <w:r w:rsidRPr="005E2190">
              <w:rPr>
                <w:rStyle w:val="None"/>
                <w:rFonts w:ascii="Times New Roman" w:hAnsi="Times New Roman"/>
                <w:b/>
                <w:noProof/>
                <w:sz w:val="24"/>
              </w:rPr>
              <w:t>notranjimi svetovalnimi skupinami partnerskih držav</w:t>
            </w:r>
            <w:r w:rsidRPr="005E2190">
              <w:rPr>
                <w:rStyle w:val="None"/>
                <w:rFonts w:ascii="Times New Roman" w:hAnsi="Times New Roman"/>
                <w:noProof/>
                <w:sz w:val="24"/>
              </w:rPr>
              <w:t>;</w:t>
            </w:r>
          </w:p>
          <w:p w14:paraId="6773EDC2" w14:textId="77777777" w:rsidR="007E6F5E" w:rsidRPr="005E2190" w:rsidRDefault="51664043" w:rsidP="00073A7F">
            <w:pPr>
              <w:pStyle w:val="ListParagraph"/>
              <w:numPr>
                <w:ilvl w:val="0"/>
                <w:numId w:val="5"/>
              </w:numPr>
              <w:spacing w:after="120" w:line="240" w:lineRule="auto"/>
              <w:jc w:val="both"/>
              <w:rPr>
                <w:rFonts w:ascii="Times New Roman" w:hAnsi="Times New Roman" w:cs="Times New Roman"/>
                <w:noProof/>
                <w:sz w:val="24"/>
                <w:szCs w:val="24"/>
              </w:rPr>
            </w:pPr>
            <w:r w:rsidRPr="005E2190">
              <w:rPr>
                <w:rStyle w:val="None"/>
                <w:rFonts w:ascii="Times New Roman" w:hAnsi="Times New Roman"/>
                <w:noProof/>
                <w:sz w:val="24"/>
              </w:rPr>
              <w:t xml:space="preserve">spodbujala </w:t>
            </w:r>
            <w:r w:rsidRPr="005E2190">
              <w:rPr>
                <w:rStyle w:val="None"/>
                <w:rFonts w:ascii="Times New Roman" w:hAnsi="Times New Roman"/>
                <w:b/>
                <w:noProof/>
                <w:sz w:val="24"/>
              </w:rPr>
              <w:t>preglednost glede sestave notranjih svetovalnih skupin</w:t>
            </w:r>
            <w:r w:rsidRPr="005E2190">
              <w:rPr>
                <w:rStyle w:val="None"/>
                <w:rFonts w:ascii="Times New Roman" w:hAnsi="Times New Roman"/>
                <w:noProof/>
                <w:sz w:val="24"/>
              </w:rPr>
              <w:t>;</w:t>
            </w:r>
          </w:p>
          <w:p w14:paraId="009681D8" w14:textId="7251336D" w:rsidR="00C65135" w:rsidRPr="005E2190" w:rsidRDefault="004450C1" w:rsidP="00C65135">
            <w:pPr>
              <w:pStyle w:val="ListParagraph"/>
              <w:numPr>
                <w:ilvl w:val="0"/>
                <w:numId w:val="5"/>
              </w:numPr>
              <w:spacing w:after="120" w:line="240" w:lineRule="auto"/>
              <w:jc w:val="both"/>
              <w:rPr>
                <w:rStyle w:val="None"/>
                <w:rFonts w:ascii="Times New Roman" w:hAnsi="Times New Roman" w:cs="Times New Roman"/>
                <w:noProof/>
                <w:sz w:val="24"/>
                <w:szCs w:val="24"/>
              </w:rPr>
            </w:pPr>
            <w:r w:rsidRPr="005E2190">
              <w:rPr>
                <w:rStyle w:val="None"/>
                <w:rFonts w:ascii="Times New Roman" w:hAnsi="Times New Roman"/>
                <w:b/>
                <w:noProof/>
                <w:sz w:val="24"/>
              </w:rPr>
              <w:t>izmenjevala mnenja z notranjimi svetovalnimi skupinami EU</w:t>
            </w:r>
            <w:r w:rsidRPr="005E2190">
              <w:rPr>
                <w:rStyle w:val="None"/>
                <w:rFonts w:ascii="Times New Roman" w:hAnsi="Times New Roman"/>
                <w:noProof/>
                <w:sz w:val="24"/>
              </w:rPr>
              <w:t xml:space="preserve"> o </w:t>
            </w:r>
            <w:r w:rsidRPr="005E2190">
              <w:rPr>
                <w:rStyle w:val="None"/>
                <w:rFonts w:ascii="Times New Roman" w:hAnsi="Times New Roman"/>
                <w:b/>
                <w:noProof/>
                <w:sz w:val="24"/>
              </w:rPr>
              <w:t>projektih tehnične pomoči</w:t>
            </w:r>
            <w:r w:rsidRPr="005E2190">
              <w:rPr>
                <w:rStyle w:val="None"/>
                <w:rFonts w:ascii="Times New Roman" w:hAnsi="Times New Roman"/>
                <w:noProof/>
                <w:sz w:val="24"/>
              </w:rPr>
              <w:t xml:space="preserve"> EU, povezanih s trgovino in trajnostnim razvojem;</w:t>
            </w:r>
          </w:p>
          <w:p w14:paraId="657524EF" w14:textId="6A28FC53" w:rsidR="00C74B0A" w:rsidRPr="005E2190" w:rsidRDefault="006460A1" w:rsidP="00A75D80">
            <w:pPr>
              <w:pStyle w:val="ListParagraph"/>
              <w:numPr>
                <w:ilvl w:val="0"/>
                <w:numId w:val="5"/>
              </w:numPr>
              <w:spacing w:after="0" w:line="240" w:lineRule="auto"/>
              <w:ind w:left="448" w:hanging="357"/>
              <w:jc w:val="both"/>
              <w:rPr>
                <w:rFonts w:ascii="Times New Roman" w:hAnsi="Times New Roman" w:cs="Times New Roman"/>
                <w:noProof/>
                <w:sz w:val="24"/>
                <w:szCs w:val="24"/>
              </w:rPr>
            </w:pPr>
            <w:r w:rsidRPr="005E2190">
              <w:rPr>
                <w:rFonts w:ascii="Times New Roman" w:hAnsi="Times New Roman"/>
                <w:noProof/>
                <w:sz w:val="24"/>
              </w:rPr>
              <w:t xml:space="preserve">zagotovila, da se </w:t>
            </w:r>
            <w:r w:rsidRPr="005E2190">
              <w:rPr>
                <w:rFonts w:ascii="Times New Roman" w:hAnsi="Times New Roman"/>
                <w:b/>
                <w:noProof/>
                <w:sz w:val="24"/>
              </w:rPr>
              <w:t>področje delovanja notranjih svetovalnih skupin razširi prek trgovine in trajnostnega razvoja</w:t>
            </w:r>
            <w:r w:rsidRPr="005E2190">
              <w:rPr>
                <w:rFonts w:ascii="Times New Roman" w:hAnsi="Times New Roman"/>
                <w:noProof/>
                <w:sz w:val="24"/>
              </w:rPr>
              <w:t>, da bi se zajeli vsi trgovinski sporazumi.</w:t>
            </w:r>
          </w:p>
        </w:tc>
      </w:tr>
    </w:tbl>
    <w:p w14:paraId="390835C1" w14:textId="3CCDE4E3" w:rsidR="002239D2" w:rsidRPr="005E2190" w:rsidRDefault="49018CEF" w:rsidP="00AF4829">
      <w:pPr>
        <w:tabs>
          <w:tab w:val="left" w:pos="851"/>
          <w:tab w:val="left" w:pos="993"/>
        </w:tabs>
        <w:ind w:left="352"/>
        <w:jc w:val="both"/>
        <w:rPr>
          <w:rStyle w:val="None"/>
          <w:noProof/>
          <w:u w:val="single"/>
        </w:rPr>
      </w:pPr>
      <w:r w:rsidRPr="005E2190">
        <w:rPr>
          <w:rStyle w:val="None"/>
          <w:noProof/>
        </w:rPr>
        <w:t>3.6</w:t>
      </w:r>
      <w:r w:rsidRPr="005E2190">
        <w:rPr>
          <w:noProof/>
        </w:rPr>
        <w:tab/>
      </w:r>
      <w:r w:rsidRPr="005E2190">
        <w:rPr>
          <w:noProof/>
        </w:rPr>
        <w:tab/>
      </w:r>
      <w:r w:rsidRPr="005E2190">
        <w:rPr>
          <w:rStyle w:val="None"/>
          <w:noProof/>
          <w:u w:val="single"/>
        </w:rPr>
        <w:t xml:space="preserve">Odločnejše izvrševanje, tudi s trgovinskimi sankcijami </w:t>
      </w:r>
    </w:p>
    <w:p w14:paraId="66F0D309" w14:textId="77777777" w:rsidR="002239D2" w:rsidRPr="005E2190" w:rsidRDefault="002239D2" w:rsidP="00D94917">
      <w:pPr>
        <w:tabs>
          <w:tab w:val="left" w:pos="851"/>
          <w:tab w:val="left" w:pos="993"/>
        </w:tabs>
        <w:jc w:val="both"/>
        <w:rPr>
          <w:rStyle w:val="None"/>
          <w:noProof/>
          <w:u w:val="single"/>
        </w:rPr>
      </w:pPr>
    </w:p>
    <w:p w14:paraId="58DB24B4" w14:textId="6A592605" w:rsidR="00E13829" w:rsidRPr="005E2190" w:rsidRDefault="51664043" w:rsidP="005C00CB">
      <w:pPr>
        <w:pStyle w:val="Body"/>
        <w:spacing w:after="120" w:line="259" w:lineRule="auto"/>
        <w:jc w:val="both"/>
        <w:rPr>
          <w:rStyle w:val="None"/>
          <w:rFonts w:cs="Times New Roman"/>
          <w:noProof/>
        </w:rPr>
      </w:pPr>
      <w:r w:rsidRPr="005E2190">
        <w:rPr>
          <w:b/>
          <w:noProof/>
          <w14:textOutline w14:w="12700" w14:cap="flat" w14:cmpd="sng" w14:algn="ctr">
            <w14:noFill/>
            <w14:prstDash w14:val="solid"/>
            <w14:miter w14:lim="400000"/>
          </w14:textOutline>
        </w:rPr>
        <w:t>Zaveze o trgovini in trajnostnem razvoju so pravno zavezujoče</w:t>
      </w:r>
      <w:r w:rsidRPr="005E2190">
        <w:rPr>
          <w:noProof/>
        </w:rPr>
        <w:t xml:space="preserve"> in se </w:t>
      </w:r>
      <w:r w:rsidRPr="005E2190">
        <w:rPr>
          <w:b/>
          <w:noProof/>
        </w:rPr>
        <w:t>lahko izvršujejo</w:t>
      </w:r>
      <w:r w:rsidRPr="005E2190">
        <w:rPr>
          <w:noProof/>
        </w:rPr>
        <w:t xml:space="preserve"> prek namenskega mehanizma za reševanje sporov med državami</w:t>
      </w:r>
      <w:r w:rsidRPr="005E2190">
        <w:rPr>
          <w:rStyle w:val="FootnoteReference"/>
          <w:rFonts w:cs="Times New Roman"/>
          <w:noProof/>
        </w:rPr>
        <w:footnoteReference w:id="29"/>
      </w:r>
      <w:r w:rsidRPr="005E2190">
        <w:rPr>
          <w:noProof/>
        </w:rPr>
        <w:t>, ki ima odbor strokovnjakov za neodvisen in transparenten pregled ter zagotavlja dejavno vključenost civilne družbe</w:t>
      </w:r>
      <w:r w:rsidRPr="005E2190">
        <w:rPr>
          <w:rStyle w:val="FootnoteReference"/>
          <w:rFonts w:cs="Times New Roman"/>
          <w:noProof/>
        </w:rPr>
        <w:footnoteReference w:id="30"/>
      </w:r>
      <w:r w:rsidRPr="005E2190">
        <w:rPr>
          <w:noProof/>
        </w:rPr>
        <w:t>.</w:t>
      </w:r>
      <w:r w:rsidRPr="005E2190">
        <w:rPr>
          <w:rStyle w:val="None"/>
          <w:noProof/>
        </w:rPr>
        <w:t xml:space="preserve"> Ta pristop temelji na sodelovanju in obravnava nastajajoča vprašanja z dialogom in skupnim delom. </w:t>
      </w:r>
    </w:p>
    <w:p w14:paraId="27D97B5B" w14:textId="3F04468C" w:rsidR="00414102" w:rsidRPr="005E2190" w:rsidRDefault="51664043" w:rsidP="005C00CB">
      <w:pPr>
        <w:pStyle w:val="Body"/>
        <w:spacing w:after="120" w:line="259" w:lineRule="auto"/>
        <w:jc w:val="both"/>
        <w:rPr>
          <w:rFonts w:cs="Times New Roman"/>
          <w:noProof/>
        </w:rPr>
      </w:pPr>
      <w:r w:rsidRPr="005E2190">
        <w:rPr>
          <w:rStyle w:val="None"/>
          <w:noProof/>
          <w14:textOutline w14:w="12700" w14:cap="flat" w14:cmpd="sng" w14:algn="ctr">
            <w14:noFill/>
            <w14:prstDash w14:val="solid"/>
            <w14:miter w14:lim="400000"/>
          </w14:textOutline>
        </w:rPr>
        <w:lastRenderedPageBreak/>
        <w:t>Doslej ta mehanizem ni vključeval posebnih pravil o</w:t>
      </w:r>
      <w:r w:rsidRPr="005E2190">
        <w:rPr>
          <w:rStyle w:val="None"/>
          <w:noProof/>
        </w:rPr>
        <w:t xml:space="preserve"> </w:t>
      </w:r>
      <w:r w:rsidRPr="005E2190">
        <w:rPr>
          <w:rStyle w:val="None"/>
          <w:b/>
          <w:noProof/>
        </w:rPr>
        <w:t>spremljanju izvajanja poročila, ki ga je izdal odbor strokovnjakov</w:t>
      </w:r>
      <w:r w:rsidRPr="005E2190">
        <w:rPr>
          <w:rStyle w:val="None"/>
          <w:noProof/>
        </w:rPr>
        <w:t xml:space="preserve"> </w:t>
      </w:r>
      <w:r w:rsidRPr="005E2190">
        <w:rPr>
          <w:rStyle w:val="None"/>
          <w:noProof/>
          <w14:textOutline w14:w="12700" w14:cap="flat" w14:cmpd="sng" w14:algn="ctr">
            <w14:noFill/>
            <w14:prstDash w14:val="solid"/>
            <w14:miter w14:lim="400000"/>
          </w14:textOutline>
        </w:rPr>
        <w:t>(t. i. faza skladnosti).</w:t>
      </w:r>
      <w:r w:rsidRPr="005E2190">
        <w:rPr>
          <w:noProof/>
        </w:rPr>
        <w:t xml:space="preserve"> </w:t>
      </w:r>
      <w:r w:rsidRPr="005E2190">
        <w:rPr>
          <w:rStyle w:val="None"/>
          <w:noProof/>
          <w14:textOutline w14:w="12700" w14:cap="flat" w14:cmpd="sng" w14:algn="ctr">
            <w14:noFill/>
            <w14:prstDash w14:val="solid"/>
            <w14:miter w14:lim="400000"/>
          </w14:textOutline>
        </w:rPr>
        <w:t>Komisija zdaj predlaga, da se izvrševanje zavez o trgovini in trajnostnem razvoju nadalje uskladi s splošnim reševanjem sporov med državami ter da se faza skladnosti razširi na spore v okviru poglavja o trgovini in trajnostnem razvoju.</w:t>
      </w:r>
      <w:r w:rsidRPr="005E2190">
        <w:rPr>
          <w:rStyle w:val="None"/>
          <w:noProof/>
        </w:rPr>
        <w:t xml:space="preserve"> </w:t>
      </w:r>
      <w:r w:rsidRPr="005E2190">
        <w:rPr>
          <w:noProof/>
        </w:rPr>
        <w:t>To pomeni, da bo morala stran, za katero je bilo ugotovljeno, da krši svoje zaveze o trgovini in trajnostnem razvoju, nemudoma sporočiti, kako bo izvedla poročilo odbora, in to storiti v določenem roku, kar bo pregledal odbor. Civilna družba bo lahko odboru tudi v tej fazi predložila ugotovitve.</w:t>
      </w:r>
    </w:p>
    <w:p w14:paraId="7ADB466C" w14:textId="66D88496" w:rsidR="00CC562B" w:rsidRPr="005E2190" w:rsidRDefault="00BB1EC6">
      <w:pPr>
        <w:pStyle w:val="Body"/>
        <w:spacing w:after="160" w:line="259" w:lineRule="auto"/>
        <w:jc w:val="both"/>
        <w:rPr>
          <w:rStyle w:val="None"/>
          <w:noProof/>
        </w:rPr>
      </w:pPr>
      <w:r w:rsidRPr="005E2190">
        <w:rPr>
          <w:rStyle w:val="None"/>
          <w:noProof/>
        </w:rPr>
        <w:t xml:space="preserve">Pristop EU k trgovini in trajnostnemu razvoju prav tako ni predvideval uporabe sankcij v primeru neskladnosti s poročilom odbora. Komisija zdaj predlaga </w:t>
      </w:r>
      <w:r w:rsidRPr="005E2190">
        <w:rPr>
          <w:rStyle w:val="None"/>
          <w:b/>
          <w:noProof/>
        </w:rPr>
        <w:t>možnost trgovinskih sankcij</w:t>
      </w:r>
      <w:r w:rsidRPr="005E2190">
        <w:rPr>
          <w:rStyle w:val="None"/>
          <w:noProof/>
        </w:rPr>
        <w:t xml:space="preserve"> kot skrajnega ukrepa v primerih resnih kršitev temeljnih zavez o trgovini in trajnostnem razvoju, in sicer temeljnih načel in pravic pri delu MOD ter Pariškega sporazuma o podnebnih spremembah.</w:t>
      </w:r>
      <w:r w:rsidRPr="005E2190">
        <w:rPr>
          <w:rStyle w:val="None"/>
          <w:noProof/>
          <w14:textOutline w14:w="12700" w14:cap="flat" w14:cmpd="sng" w14:algn="ctr">
            <w14:noFill/>
            <w14:prstDash w14:val="solid"/>
            <w14:miter w14:lim="400000"/>
          </w14:textOutline>
        </w:rPr>
        <w:t xml:space="preserve"> V takih primerih bi bile trgovinske sankcije primerne kot sredstvo za spodbujanje skladnosti. V primeru Pariškega sporazuma bi bil namen zajeti neizpolnjevanje obveznosti, ki bistveno izničuje cilj in namen sporazuma. Kar zadeva temeljna načela in pravice pri delu MOD, bi bile trgovinske sankcije upravičene v resnih primerih nespoštovanja načel in bi se opirale na dejstvo, da MOD spremlja razvoj dogodkov v vseh članicah. </w:t>
      </w:r>
      <w:r w:rsidRPr="005E2190">
        <w:rPr>
          <w:noProof/>
          <w14:textOutline w14:w="12700" w14:cap="flat" w14:cmpd="sng" w14:algn="ctr">
            <w14:noFill/>
            <w14:prstDash w14:val="solid"/>
            <w14:miter w14:lim="400000"/>
          </w14:textOutline>
        </w:rPr>
        <w:t>Ta pristop bo nadgrajeval in krepil spoštovanje temeljnih pravic delavcev in Pariškega sporazuma kot bistvenih elementov naših trgovinskih sporazumov</w:t>
      </w:r>
      <w:r w:rsidRPr="005E2190">
        <w:rPr>
          <w:rStyle w:val="FootnoteReference"/>
          <w:rFonts w:cs="Times New Roman"/>
          <w:iCs/>
          <w:noProof/>
        </w:rPr>
        <w:footnoteReference w:id="31"/>
      </w:r>
      <w:r w:rsidRPr="005E2190">
        <w:rPr>
          <w:noProof/>
          <w14:textOutline w14:w="12700" w14:cap="flat" w14:cmpd="sng" w14:algn="ctr">
            <w14:noFill/>
            <w14:prstDash w14:val="solid"/>
            <w14:miter w14:lim="400000"/>
          </w14:textOutline>
        </w:rPr>
        <w:t xml:space="preserve">. </w:t>
      </w:r>
    </w:p>
    <w:p w14:paraId="1025B8F4" w14:textId="24FBF1B5" w:rsidR="00AE271E" w:rsidRPr="005E2190" w:rsidRDefault="5E1E0393">
      <w:pPr>
        <w:pStyle w:val="Body"/>
        <w:spacing w:after="160" w:line="259" w:lineRule="auto"/>
        <w:jc w:val="both"/>
        <w:rPr>
          <w:rStyle w:val="None"/>
          <w:rFonts w:cs="Times New Roman"/>
          <w:noProof/>
        </w:rPr>
      </w:pPr>
      <w:r w:rsidRPr="005E2190">
        <w:rPr>
          <w:rStyle w:val="None"/>
          <w:noProof/>
        </w:rPr>
        <w:t>Uporaba trgovinskih sankcij za kršitve namenskih določb o trgovini in trajnostnem razvoju bo potekala v skladu s splošnimi pravili za reševanje sporov. V skladu s tem bodo trgovinske sankcije začasne in sorazmerne ter so lahko v obliki začasne prekinitve trgovinskih koncesij.</w:t>
      </w:r>
      <w:r w:rsidRPr="005E2190">
        <w:rPr>
          <w:rStyle w:val="None"/>
          <w:noProof/>
          <w14:textOutline w14:w="12700" w14:cap="flat" w14:cmpd="sng" w14:algn="ctr">
            <w14:noFill/>
            <w14:prstDash w14:val="solid"/>
            <w14:miter w14:lim="400000"/>
          </w14:textOutline>
        </w:rPr>
        <w:t xml:space="preserve"> Mogoče bodo le, če bo odbor ugotovil, da ena od strank krši svoje zaveze o trgovini in trajnostnem razvoju, in če stranka ne bo zagotovila skladnosti v dogovorjenem roku.</w:t>
      </w:r>
      <w:r w:rsidRPr="005E2190">
        <w:rPr>
          <w:rStyle w:val="None"/>
          <w:noProof/>
        </w:rPr>
        <w:t xml:space="preserve"> V tem primeru se lahko stranki tudi kadar koli dogovorita o sporazumni rešitvi spora.</w:t>
      </w:r>
    </w:p>
    <w:p w14:paraId="3B6B14A7" w14:textId="0122E726" w:rsidR="000E6265" w:rsidRPr="005E2190" w:rsidRDefault="00F63D0D" w:rsidP="00F63D0D">
      <w:pPr>
        <w:pStyle w:val="Body"/>
        <w:spacing w:after="160" w:line="259" w:lineRule="auto"/>
        <w:jc w:val="both"/>
        <w:rPr>
          <w:rStyle w:val="None"/>
          <w:rFonts w:cs="Times New Roman"/>
          <w:noProof/>
        </w:rPr>
      </w:pPr>
      <w:r w:rsidRPr="005E2190">
        <w:rPr>
          <w:rStyle w:val="None"/>
          <w:noProof/>
        </w:rPr>
        <w:t>Prva uvedba trgovinskih sankcij v trgovinske sporazume EU za temeljne zaveze o trgovini in trajnostnem razvoju bo v povezavi s pristopom, ki temelji na sodelovanju, EU omogočila odločnejše izvrševanje poglavij o trgovini in trajnostnem razvoju.</w:t>
      </w:r>
      <w:r w:rsidRPr="005E2190">
        <w:rPr>
          <w:noProof/>
        </w:rPr>
        <w:t xml:space="preserve"> Pri tem bo EU okrepila orodja, ki jih ima na voljo, za doseganje trajnostnih ciljev in prispevek trgovinskih sporazumov k tem ciljem. </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72"/>
      </w:tblGrid>
      <w:tr w:rsidR="007E6F5E" w:rsidRPr="005E2190" w14:paraId="019AA805" w14:textId="77777777" w:rsidTr="00A75D80">
        <w:trPr>
          <w:trHeight w:val="5104"/>
        </w:trPr>
        <w:tc>
          <w:tcPr>
            <w:tcW w:w="9072"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160416F3" w14:textId="77777777" w:rsidR="007E6F5E" w:rsidRPr="005E2190" w:rsidRDefault="00336C0A" w:rsidP="00A75D80">
            <w:pPr>
              <w:pStyle w:val="BodyA"/>
              <w:spacing w:after="0"/>
              <w:jc w:val="center"/>
              <w:rPr>
                <w:rStyle w:val="None"/>
                <w:rFonts w:ascii="Times New Roman" w:hAnsi="Times New Roman" w:cs="Times New Roman"/>
                <w:b/>
                <w:noProof/>
                <w:sz w:val="24"/>
                <w:szCs w:val="24"/>
              </w:rPr>
            </w:pPr>
            <w:r w:rsidRPr="005E2190">
              <w:rPr>
                <w:rStyle w:val="None"/>
                <w:rFonts w:ascii="Times New Roman" w:hAnsi="Times New Roman"/>
                <w:b/>
                <w:noProof/>
                <w:sz w:val="24"/>
              </w:rPr>
              <w:lastRenderedPageBreak/>
              <w:t>Glavni ukrepi</w:t>
            </w:r>
          </w:p>
          <w:p w14:paraId="35F1184F" w14:textId="77777777" w:rsidR="007E6F5E" w:rsidRPr="005E2190" w:rsidRDefault="00336C0A" w:rsidP="00073A7F">
            <w:pPr>
              <w:pStyle w:val="BodyA"/>
              <w:spacing w:after="120" w:line="240" w:lineRule="auto"/>
              <w:jc w:val="both"/>
              <w:rPr>
                <w:rStyle w:val="None"/>
                <w:rFonts w:ascii="Times New Roman" w:hAnsi="Times New Roman" w:cs="Times New Roman"/>
                <w:noProof/>
                <w:sz w:val="24"/>
                <w:szCs w:val="24"/>
              </w:rPr>
            </w:pPr>
            <w:r w:rsidRPr="005E2190">
              <w:rPr>
                <w:rStyle w:val="None"/>
                <w:rFonts w:ascii="Times New Roman" w:hAnsi="Times New Roman"/>
                <w:noProof/>
                <w:sz w:val="24"/>
              </w:rPr>
              <w:t>Komisija bo:</w:t>
            </w:r>
          </w:p>
          <w:p w14:paraId="7D3E52BB" w14:textId="1B635512" w:rsidR="007E6F5E" w:rsidRPr="005E2190" w:rsidRDefault="00336C0A" w:rsidP="00C65135">
            <w:pPr>
              <w:pStyle w:val="ListParagraph"/>
              <w:numPr>
                <w:ilvl w:val="0"/>
                <w:numId w:val="5"/>
              </w:numPr>
              <w:spacing w:after="120" w:line="240" w:lineRule="auto"/>
              <w:jc w:val="both"/>
              <w:rPr>
                <w:rFonts w:ascii="Times New Roman" w:hAnsi="Times New Roman" w:cs="Times New Roman"/>
                <w:noProof/>
                <w:sz w:val="24"/>
                <w:szCs w:val="24"/>
              </w:rPr>
            </w:pPr>
            <w:r w:rsidRPr="005E2190">
              <w:rPr>
                <w:rFonts w:ascii="Times New Roman" w:hAnsi="Times New Roman"/>
                <w:noProof/>
                <w:sz w:val="24"/>
              </w:rPr>
              <w:t>nadalje okrepila izvrševanje zavez o trgovini in trajnostnem razvoju v prihodnjih sporazumih, tako da bo svojim trgovinskim partnerjem predlagala, naj:</w:t>
            </w:r>
          </w:p>
          <w:p w14:paraId="5AF8CD70" w14:textId="7E5C6A05" w:rsidR="007E6F5E" w:rsidRPr="005E2190" w:rsidRDefault="00336C0A" w:rsidP="00073A7F">
            <w:pPr>
              <w:pStyle w:val="BodyA"/>
              <w:numPr>
                <w:ilvl w:val="4"/>
                <w:numId w:val="15"/>
              </w:numPr>
              <w:spacing w:after="120" w:line="240" w:lineRule="auto"/>
              <w:jc w:val="both"/>
              <w:rPr>
                <w:rFonts w:ascii="Times New Roman" w:hAnsi="Times New Roman" w:cs="Times New Roman"/>
                <w:noProof/>
                <w:sz w:val="24"/>
                <w:szCs w:val="24"/>
              </w:rPr>
            </w:pPr>
            <w:r w:rsidRPr="005E2190">
              <w:rPr>
                <w:rStyle w:val="None"/>
                <w:rFonts w:ascii="Times New Roman" w:hAnsi="Times New Roman"/>
                <w:b/>
                <w:noProof/>
                <w:sz w:val="24"/>
              </w:rPr>
              <w:t>splošno fazo skladnosti z reševanjem sporov med državami razširijo na poglavje o trgovini in trajnostnem razvoju</w:t>
            </w:r>
            <w:r w:rsidRPr="005E2190">
              <w:rPr>
                <w:rStyle w:val="None"/>
                <w:rFonts w:ascii="Times New Roman" w:hAnsi="Times New Roman"/>
                <w:noProof/>
                <w:sz w:val="24"/>
              </w:rPr>
              <w:t>;</w:t>
            </w:r>
          </w:p>
          <w:p w14:paraId="15EE251F" w14:textId="48474089" w:rsidR="007E6F5E" w:rsidRPr="005E2190" w:rsidRDefault="00336C0A" w:rsidP="00073A7F">
            <w:pPr>
              <w:pStyle w:val="BodyA"/>
              <w:numPr>
                <w:ilvl w:val="4"/>
                <w:numId w:val="15"/>
              </w:numPr>
              <w:spacing w:after="120" w:line="240" w:lineRule="auto"/>
              <w:jc w:val="both"/>
              <w:rPr>
                <w:rFonts w:ascii="Times New Roman" w:hAnsi="Times New Roman" w:cs="Times New Roman"/>
                <w:noProof/>
                <w:sz w:val="24"/>
                <w:szCs w:val="24"/>
              </w:rPr>
            </w:pPr>
            <w:r w:rsidRPr="005E2190">
              <w:rPr>
                <w:rStyle w:val="None"/>
                <w:rFonts w:ascii="Times New Roman" w:hAnsi="Times New Roman"/>
                <w:noProof/>
                <w:sz w:val="24"/>
              </w:rPr>
              <w:t xml:space="preserve">v </w:t>
            </w:r>
            <w:r w:rsidRPr="005E2190">
              <w:rPr>
                <w:rStyle w:val="None"/>
                <w:rFonts w:ascii="Times New Roman" w:hAnsi="Times New Roman"/>
                <w:b/>
                <w:noProof/>
                <w:sz w:val="24"/>
              </w:rPr>
              <w:t>spremljanje faze skladnosti</w:t>
            </w:r>
            <w:r w:rsidRPr="005E2190">
              <w:rPr>
                <w:rStyle w:val="None"/>
                <w:rFonts w:ascii="Times New Roman" w:hAnsi="Times New Roman"/>
                <w:noProof/>
                <w:sz w:val="24"/>
              </w:rPr>
              <w:t xml:space="preserve"> vključijo </w:t>
            </w:r>
            <w:r w:rsidRPr="005E2190">
              <w:rPr>
                <w:rStyle w:val="None"/>
                <w:rFonts w:ascii="Times New Roman" w:hAnsi="Times New Roman"/>
                <w:b/>
                <w:noProof/>
                <w:sz w:val="24"/>
              </w:rPr>
              <w:t>notranje svetovalne skupine</w:t>
            </w:r>
            <w:r w:rsidRPr="005E2190">
              <w:rPr>
                <w:rStyle w:val="None"/>
                <w:rFonts w:ascii="Times New Roman" w:hAnsi="Times New Roman"/>
                <w:noProof/>
                <w:sz w:val="24"/>
              </w:rPr>
              <w:t>;</w:t>
            </w:r>
          </w:p>
          <w:p w14:paraId="6C12CB29" w14:textId="3A5C4FBB" w:rsidR="007E6F5E" w:rsidRPr="005E2190" w:rsidRDefault="00336C0A" w:rsidP="00073A7F">
            <w:pPr>
              <w:pStyle w:val="BodyA"/>
              <w:numPr>
                <w:ilvl w:val="4"/>
                <w:numId w:val="15"/>
              </w:numPr>
              <w:spacing w:after="120" w:line="240" w:lineRule="auto"/>
              <w:jc w:val="both"/>
              <w:rPr>
                <w:rFonts w:ascii="Times New Roman" w:hAnsi="Times New Roman" w:cs="Times New Roman"/>
                <w:noProof/>
                <w:sz w:val="24"/>
                <w:szCs w:val="24"/>
              </w:rPr>
            </w:pPr>
            <w:bookmarkStart w:id="5" w:name="_Hlk103250868"/>
            <w:r w:rsidRPr="005E2190">
              <w:rPr>
                <w:rStyle w:val="None"/>
                <w:rFonts w:ascii="Times New Roman" w:hAnsi="Times New Roman"/>
                <w:b/>
                <w:noProof/>
                <w:sz w:val="24"/>
              </w:rPr>
              <w:t>možnost uporabe trgovinskih sankcij razširijo</w:t>
            </w:r>
            <w:r w:rsidRPr="005E2190">
              <w:rPr>
                <w:rStyle w:val="None"/>
                <w:rFonts w:ascii="Times New Roman" w:hAnsi="Times New Roman"/>
                <w:noProof/>
                <w:sz w:val="24"/>
              </w:rPr>
              <w:t xml:space="preserve"> na primere neizpolnjevanja obveznosti, ki bistveno kršijo cilj in namen </w:t>
            </w:r>
            <w:r w:rsidRPr="005E2190">
              <w:rPr>
                <w:rStyle w:val="None"/>
                <w:rFonts w:ascii="Times New Roman" w:hAnsi="Times New Roman"/>
                <w:b/>
                <w:noProof/>
                <w:sz w:val="24"/>
              </w:rPr>
              <w:t>Pariškega sporazuma o podnebnih spremembah</w:t>
            </w:r>
            <w:r w:rsidRPr="005E2190">
              <w:rPr>
                <w:rStyle w:val="None"/>
                <w:rFonts w:ascii="Times New Roman" w:hAnsi="Times New Roman"/>
                <w:noProof/>
                <w:sz w:val="24"/>
              </w:rPr>
              <w:t xml:space="preserve">, ali resne primere nespoštovanja </w:t>
            </w:r>
            <w:r w:rsidRPr="005E2190">
              <w:rPr>
                <w:rStyle w:val="None"/>
                <w:rFonts w:ascii="Times New Roman" w:hAnsi="Times New Roman"/>
                <w:b/>
                <w:noProof/>
                <w:sz w:val="24"/>
              </w:rPr>
              <w:t>temeljnih načel in pravic pri delu MOD</w:t>
            </w:r>
            <w:r w:rsidRPr="005E2190">
              <w:rPr>
                <w:rStyle w:val="None"/>
                <w:rFonts w:ascii="Times New Roman" w:hAnsi="Times New Roman"/>
                <w:noProof/>
                <w:sz w:val="24"/>
              </w:rPr>
              <w:t xml:space="preserve">. </w:t>
            </w:r>
          </w:p>
          <w:bookmarkEnd w:id="5"/>
          <w:p w14:paraId="2808C6E0" w14:textId="2B38C5F3" w:rsidR="007E6F5E" w:rsidRPr="005E2190" w:rsidRDefault="00336C0A" w:rsidP="00073A7F">
            <w:pPr>
              <w:pStyle w:val="ListParagraph"/>
              <w:spacing w:after="120" w:line="240" w:lineRule="auto"/>
              <w:ind w:left="459"/>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Pri uporabi trgovinskih sankcij se bodo upoštevala splošna pravila za reševanje sporov med državami; </w:t>
            </w:r>
          </w:p>
          <w:p w14:paraId="73C25743" w14:textId="2E5E82E0" w:rsidR="007E6F5E" w:rsidRPr="005E2190" w:rsidRDefault="00336C0A" w:rsidP="00A75D80">
            <w:pPr>
              <w:pStyle w:val="ListParagraph"/>
              <w:numPr>
                <w:ilvl w:val="0"/>
                <w:numId w:val="5"/>
              </w:numPr>
              <w:spacing w:after="0" w:line="240" w:lineRule="auto"/>
              <w:ind w:left="448" w:hanging="357"/>
              <w:jc w:val="both"/>
              <w:rPr>
                <w:rFonts w:ascii="Times New Roman" w:hAnsi="Times New Roman" w:cs="Times New Roman"/>
                <w:noProof/>
                <w:sz w:val="24"/>
                <w:szCs w:val="24"/>
              </w:rPr>
            </w:pPr>
            <w:r w:rsidRPr="005E2190">
              <w:rPr>
                <w:rFonts w:ascii="Times New Roman" w:hAnsi="Times New Roman"/>
                <w:noProof/>
                <w:sz w:val="24"/>
              </w:rPr>
              <w:t xml:space="preserve">prednostno obravnavala </w:t>
            </w:r>
            <w:r w:rsidRPr="005E2190">
              <w:rPr>
                <w:rFonts w:ascii="Times New Roman" w:hAnsi="Times New Roman"/>
                <w:b/>
                <w:noProof/>
                <w:sz w:val="24"/>
              </w:rPr>
              <w:t>izvrševanje zadev o trgovini in trajnostnem razvoju</w:t>
            </w:r>
            <w:r w:rsidRPr="005E2190">
              <w:rPr>
                <w:rFonts w:ascii="Times New Roman" w:hAnsi="Times New Roman"/>
                <w:noProof/>
                <w:sz w:val="24"/>
              </w:rPr>
              <w:t xml:space="preserve"> na podlagi pomena narave zadevnih zavez, </w:t>
            </w:r>
            <w:r w:rsidRPr="005E2190">
              <w:rPr>
                <w:rFonts w:ascii="Times New Roman" w:hAnsi="Times New Roman"/>
                <w:b/>
                <w:noProof/>
                <w:sz w:val="24"/>
              </w:rPr>
              <w:t>resnosti njihove kršitve</w:t>
            </w:r>
            <w:r w:rsidRPr="005E2190">
              <w:rPr>
                <w:rFonts w:ascii="Times New Roman" w:hAnsi="Times New Roman"/>
                <w:noProof/>
                <w:sz w:val="24"/>
              </w:rPr>
              <w:t xml:space="preserve"> in </w:t>
            </w:r>
            <w:r w:rsidRPr="005E2190">
              <w:rPr>
                <w:rFonts w:ascii="Times New Roman" w:hAnsi="Times New Roman"/>
                <w:b/>
                <w:noProof/>
                <w:sz w:val="24"/>
              </w:rPr>
              <w:t>vpliva na okolje ali delavce</w:t>
            </w:r>
            <w:r w:rsidRPr="005E2190">
              <w:rPr>
                <w:rFonts w:ascii="Times New Roman" w:hAnsi="Times New Roman"/>
                <w:noProof/>
                <w:sz w:val="24"/>
              </w:rPr>
              <w:t>.</w:t>
            </w:r>
          </w:p>
        </w:tc>
      </w:tr>
    </w:tbl>
    <w:p w14:paraId="3540CC68" w14:textId="77777777" w:rsidR="007E6F5E" w:rsidRPr="005E2190" w:rsidRDefault="007E6F5E" w:rsidP="0006671A">
      <w:pPr>
        <w:pStyle w:val="Body"/>
        <w:jc w:val="both"/>
        <w:rPr>
          <w:rStyle w:val="None"/>
          <w:rFonts w:cs="Times New Roman"/>
          <w:b/>
          <w:bCs/>
          <w:noProof/>
          <w:u w:val="single"/>
        </w:rPr>
      </w:pPr>
    </w:p>
    <w:p w14:paraId="11EE7183" w14:textId="744AF5EA" w:rsidR="007E6F5E" w:rsidRPr="005E2190" w:rsidRDefault="00336C0A" w:rsidP="00AF4829">
      <w:pPr>
        <w:pStyle w:val="ListParagraph"/>
        <w:numPr>
          <w:ilvl w:val="0"/>
          <w:numId w:val="2"/>
        </w:numPr>
        <w:spacing w:after="120"/>
        <w:ind w:left="714" w:hanging="357"/>
        <w:jc w:val="both"/>
        <w:rPr>
          <w:rFonts w:ascii="Times New Roman" w:hAnsi="Times New Roman" w:cs="Times New Roman"/>
          <w:b/>
          <w:smallCaps/>
          <w:noProof/>
          <w:sz w:val="24"/>
          <w:szCs w:val="24"/>
        </w:rPr>
      </w:pPr>
      <w:r w:rsidRPr="005E2190">
        <w:rPr>
          <w:rStyle w:val="None"/>
          <w:rFonts w:ascii="Times New Roman" w:hAnsi="Times New Roman"/>
          <w:b/>
          <w:smallCaps/>
          <w:noProof/>
          <w:sz w:val="24"/>
        </w:rPr>
        <w:t>Zaključek</w:t>
      </w:r>
    </w:p>
    <w:p w14:paraId="03856182" w14:textId="122D8F4A" w:rsidR="007E6F5E" w:rsidRPr="005E2190" w:rsidRDefault="001269C3" w:rsidP="00614BAD">
      <w:pPr>
        <w:pStyle w:val="Body"/>
        <w:spacing w:after="160" w:line="259" w:lineRule="auto"/>
        <w:jc w:val="both"/>
        <w:rPr>
          <w:rFonts w:cs="Times New Roman"/>
          <w:noProof/>
        </w:rPr>
      </w:pPr>
      <w:r w:rsidRPr="005E2190">
        <w:rPr>
          <w:rStyle w:val="None"/>
          <w:b/>
          <w:noProof/>
        </w:rPr>
        <w:t>Več opredeljenih glavnih ukrepov</w:t>
      </w:r>
      <w:r w:rsidRPr="005E2190">
        <w:rPr>
          <w:rStyle w:val="None"/>
          <w:noProof/>
        </w:rPr>
        <w:t xml:space="preserve">, zlasti večina tistih, ki se nanašajo na izvajanje zavez o trgovini in trajnostnem razvoju ter krepitev vloge civilne družbe, se lahko nemudoma </w:t>
      </w:r>
      <w:r w:rsidRPr="005E2190">
        <w:rPr>
          <w:rStyle w:val="None"/>
          <w:b/>
          <w:noProof/>
        </w:rPr>
        <w:t>uvede</w:t>
      </w:r>
      <w:r w:rsidRPr="005E2190">
        <w:rPr>
          <w:rStyle w:val="None"/>
          <w:noProof/>
        </w:rPr>
        <w:t xml:space="preserve">, tudi v </w:t>
      </w:r>
      <w:r w:rsidRPr="005E2190">
        <w:rPr>
          <w:rStyle w:val="None"/>
          <w:b/>
          <w:noProof/>
        </w:rPr>
        <w:t>že veljavnih trgovinskih sporazumih</w:t>
      </w:r>
      <w:r w:rsidRPr="005E2190">
        <w:rPr>
          <w:rStyle w:val="None"/>
          <w:noProof/>
        </w:rPr>
        <w:t>.</w:t>
      </w:r>
    </w:p>
    <w:p w14:paraId="6A684F9F" w14:textId="77777777" w:rsidR="00FB732B" w:rsidRPr="005E2190" w:rsidRDefault="003C3FB9" w:rsidP="00614BAD">
      <w:pPr>
        <w:pStyle w:val="BodyA"/>
        <w:jc w:val="both"/>
        <w:rPr>
          <w:rStyle w:val="None"/>
          <w:rFonts w:ascii="Times New Roman" w:hAnsi="Times New Roman" w:cs="Times New Roman"/>
          <w:noProof/>
          <w:sz w:val="24"/>
          <w:szCs w:val="24"/>
        </w:rPr>
      </w:pPr>
      <w:r w:rsidRPr="005E2190">
        <w:rPr>
          <w:rStyle w:val="None"/>
          <w:rFonts w:ascii="Times New Roman" w:hAnsi="Times New Roman"/>
          <w:noProof/>
          <w:sz w:val="24"/>
        </w:rPr>
        <w:t xml:space="preserve">V prihodnje se bo izid pregleda trgovine in trajnostnega razvoja predlagal za vsa </w:t>
      </w:r>
      <w:r w:rsidRPr="005E2190">
        <w:rPr>
          <w:rStyle w:val="None"/>
          <w:rFonts w:ascii="Times New Roman" w:hAnsi="Times New Roman"/>
          <w:b/>
          <w:noProof/>
          <w:sz w:val="24"/>
        </w:rPr>
        <w:t>prihodnja pogajanja</w:t>
      </w:r>
      <w:r w:rsidRPr="005E2190">
        <w:rPr>
          <w:rStyle w:val="None"/>
          <w:rFonts w:ascii="Times New Roman" w:hAnsi="Times New Roman"/>
          <w:noProof/>
          <w:sz w:val="24"/>
        </w:rPr>
        <w:t xml:space="preserve"> in se po potrebi upošteval v </w:t>
      </w:r>
      <w:r w:rsidRPr="005E2190">
        <w:rPr>
          <w:rStyle w:val="None"/>
          <w:rFonts w:ascii="Times New Roman" w:hAnsi="Times New Roman"/>
          <w:b/>
          <w:noProof/>
          <w:sz w:val="24"/>
        </w:rPr>
        <w:t>pogajanjih, ki trenutno potekajo</w:t>
      </w:r>
      <w:r w:rsidRPr="005E2190">
        <w:rPr>
          <w:rStyle w:val="None"/>
          <w:rFonts w:ascii="Times New Roman" w:hAnsi="Times New Roman"/>
          <w:noProof/>
          <w:sz w:val="24"/>
        </w:rPr>
        <w:t xml:space="preserve">. Komisija bo v svoje dejavnosti pred pogajanji že zgodaj ustrezno vključila opredeljene glavne ukrepe. </w:t>
      </w:r>
    </w:p>
    <w:p w14:paraId="777359F7" w14:textId="0F42F952" w:rsidR="002D312B" w:rsidRPr="005E2190" w:rsidRDefault="00336C0A" w:rsidP="00EF4B8E">
      <w:pPr>
        <w:pStyle w:val="BodyA"/>
        <w:spacing w:after="120"/>
        <w:jc w:val="both"/>
        <w:rPr>
          <w:rFonts w:ascii="Times New Roman" w:hAnsi="Times New Roman" w:cs="Times New Roman"/>
          <w:noProof/>
          <w:sz w:val="24"/>
          <w:szCs w:val="24"/>
        </w:rPr>
      </w:pPr>
      <w:r w:rsidRPr="005E2190">
        <w:rPr>
          <w:rStyle w:val="None"/>
          <w:rFonts w:ascii="Times New Roman" w:hAnsi="Times New Roman"/>
          <w:noProof/>
          <w:sz w:val="24"/>
        </w:rPr>
        <w:t>Komisija poziva Evropski parlament in Svet, naj podpreta pristop iz tega sporočila in sodelujeta pri izvajanju njegovih glavnih ukrepov.</w:t>
      </w:r>
    </w:p>
    <w:sectPr w:rsidR="002D312B" w:rsidRPr="005E2190" w:rsidSect="00EF4B8E">
      <w:headerReference w:type="even" r:id="rId20"/>
      <w:headerReference w:type="default" r:id="rId21"/>
      <w:footerReference w:type="even" r:id="rId22"/>
      <w:footerReference w:type="default" r:id="rId23"/>
      <w:headerReference w:type="first" r:id="rId24"/>
      <w:footerReference w:type="first" r:id="rId2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549AD" w14:textId="77777777" w:rsidR="00651AD0" w:rsidRDefault="00651AD0">
      <w:r>
        <w:separator/>
      </w:r>
    </w:p>
  </w:endnote>
  <w:endnote w:type="continuationSeparator" w:id="0">
    <w:p w14:paraId="1C7FE7D1" w14:textId="77777777" w:rsidR="00651AD0" w:rsidRDefault="00651AD0">
      <w:r>
        <w:continuationSeparator/>
      </w:r>
    </w:p>
  </w:endnote>
  <w:endnote w:type="continuationNotice" w:id="1">
    <w:p w14:paraId="2DBD83D4" w14:textId="77777777" w:rsidR="00651AD0" w:rsidRDefault="00651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17"/>
      <w:gridCol w:w="1399"/>
      <w:gridCol w:w="1204"/>
      <w:gridCol w:w="200"/>
      <w:gridCol w:w="1429"/>
      <w:gridCol w:w="848"/>
      <w:gridCol w:w="1135"/>
    </w:tblGrid>
    <w:tr w:rsidR="00223506" w:rsidRPr="00D94637" w14:paraId="65944D8B" w14:textId="77777777" w:rsidTr="00223506">
      <w:trPr>
        <w:jc w:val="center"/>
      </w:trPr>
      <w:tc>
        <w:tcPr>
          <w:tcW w:w="5000" w:type="pct"/>
          <w:gridSpan w:val="7"/>
          <w:shd w:val="clear" w:color="auto" w:fill="auto"/>
          <w:tcMar>
            <w:top w:w="57" w:type="dxa"/>
          </w:tcMar>
        </w:tcPr>
        <w:p w14:paraId="1709948B" w14:textId="77777777" w:rsidR="00223506" w:rsidRPr="00D94637" w:rsidRDefault="00223506" w:rsidP="00D94637">
          <w:pPr>
            <w:pStyle w:val="FooterText"/>
            <w:pBdr>
              <w:top w:val="single" w:sz="4" w:space="1" w:color="auto"/>
            </w:pBdr>
            <w:spacing w:before="200"/>
            <w:rPr>
              <w:sz w:val="2"/>
              <w:szCs w:val="2"/>
            </w:rPr>
          </w:pPr>
          <w:bookmarkStart w:id="3" w:name="FOOTER_STANDARD"/>
        </w:p>
      </w:tc>
    </w:tr>
    <w:tr w:rsidR="00223506" w:rsidRPr="00B310DC" w14:paraId="1C12A390" w14:textId="77777777" w:rsidTr="00223506">
      <w:trPr>
        <w:jc w:val="center"/>
      </w:trPr>
      <w:tc>
        <w:tcPr>
          <w:tcW w:w="2500" w:type="pct"/>
          <w:gridSpan w:val="2"/>
          <w:shd w:val="clear" w:color="auto" w:fill="auto"/>
          <w:tcMar>
            <w:top w:w="0" w:type="dxa"/>
          </w:tcMar>
        </w:tcPr>
        <w:p w14:paraId="056FBE6B" w14:textId="28FD1693" w:rsidR="00223506" w:rsidRPr="00AD7BF2" w:rsidRDefault="00223506" w:rsidP="004F54B2">
          <w:pPr>
            <w:pStyle w:val="FooterText"/>
          </w:pPr>
          <w:r>
            <w:t>10649/22</w:t>
          </w:r>
          <w:r w:rsidRPr="002511D8">
            <w:t xml:space="preserve"> </w:t>
          </w:r>
        </w:p>
      </w:tc>
      <w:tc>
        <w:tcPr>
          <w:tcW w:w="625" w:type="pct"/>
          <w:shd w:val="clear" w:color="auto" w:fill="auto"/>
          <w:tcMar>
            <w:top w:w="0" w:type="dxa"/>
          </w:tcMar>
        </w:tcPr>
        <w:p w14:paraId="2AE8B815" w14:textId="77777777" w:rsidR="00223506" w:rsidRPr="00AD7BF2" w:rsidRDefault="00223506" w:rsidP="00D94637">
          <w:pPr>
            <w:pStyle w:val="FooterText"/>
            <w:jc w:val="center"/>
          </w:pPr>
        </w:p>
      </w:tc>
      <w:tc>
        <w:tcPr>
          <w:tcW w:w="1286" w:type="pct"/>
          <w:gridSpan w:val="3"/>
          <w:shd w:val="clear" w:color="auto" w:fill="auto"/>
          <w:tcMar>
            <w:top w:w="0" w:type="dxa"/>
          </w:tcMar>
        </w:tcPr>
        <w:p w14:paraId="3CEAD3B9" w14:textId="276544B1" w:rsidR="00223506" w:rsidRPr="002511D8" w:rsidRDefault="00223506" w:rsidP="00D94637">
          <w:pPr>
            <w:pStyle w:val="FooterText"/>
            <w:jc w:val="center"/>
          </w:pPr>
          <w:r>
            <w:t>med</w:t>
          </w:r>
        </w:p>
      </w:tc>
      <w:tc>
        <w:tcPr>
          <w:tcW w:w="589" w:type="pct"/>
          <w:shd w:val="clear" w:color="auto" w:fill="auto"/>
          <w:tcMar>
            <w:top w:w="0" w:type="dxa"/>
          </w:tcMar>
        </w:tcPr>
        <w:p w14:paraId="17C92EBC" w14:textId="40375732" w:rsidR="00223506" w:rsidRPr="00B310DC" w:rsidRDefault="00223506" w:rsidP="00223506">
          <w:pPr>
            <w:pStyle w:val="FooterText"/>
            <w:jc w:val="right"/>
          </w:pPr>
          <w:r>
            <w:fldChar w:fldCharType="begin"/>
          </w:r>
          <w:r>
            <w:instrText xml:space="preserve"> PAGE  \* MERGEFORMAT </w:instrText>
          </w:r>
          <w:r>
            <w:fldChar w:fldCharType="separate"/>
          </w:r>
          <w:r>
            <w:rPr>
              <w:noProof/>
            </w:rPr>
            <w:t>0</w:t>
          </w:r>
          <w:r>
            <w:fldChar w:fldCharType="end"/>
          </w:r>
        </w:p>
      </w:tc>
    </w:tr>
    <w:tr w:rsidR="00223506" w:rsidRPr="00D94637" w14:paraId="1CA21C19" w14:textId="77777777" w:rsidTr="00223506">
      <w:trPr>
        <w:jc w:val="center"/>
      </w:trPr>
      <w:tc>
        <w:tcPr>
          <w:tcW w:w="1774" w:type="pct"/>
          <w:shd w:val="clear" w:color="auto" w:fill="auto"/>
        </w:tcPr>
        <w:p w14:paraId="121986CF" w14:textId="42407070" w:rsidR="00223506" w:rsidRPr="00AD7BF2" w:rsidRDefault="00223506" w:rsidP="00D94637">
          <w:pPr>
            <w:pStyle w:val="FooterText"/>
            <w:spacing w:before="40"/>
          </w:pPr>
        </w:p>
      </w:tc>
      <w:tc>
        <w:tcPr>
          <w:tcW w:w="1455" w:type="pct"/>
          <w:gridSpan w:val="3"/>
          <w:shd w:val="clear" w:color="auto" w:fill="auto"/>
        </w:tcPr>
        <w:p w14:paraId="78556F37" w14:textId="11412C5B" w:rsidR="00223506" w:rsidRPr="00AD7BF2" w:rsidRDefault="00223506" w:rsidP="00D204D6">
          <w:pPr>
            <w:pStyle w:val="FooterText"/>
            <w:spacing w:before="40"/>
            <w:jc w:val="center"/>
          </w:pPr>
          <w:r>
            <w:t>COMPET.3</w:t>
          </w:r>
        </w:p>
      </w:tc>
      <w:tc>
        <w:tcPr>
          <w:tcW w:w="742" w:type="pct"/>
          <w:shd w:val="clear" w:color="auto" w:fill="auto"/>
        </w:tcPr>
        <w:p w14:paraId="00987DC8" w14:textId="69BDBBC2" w:rsidR="00223506" w:rsidRPr="00D94637" w:rsidRDefault="00223506" w:rsidP="002F0099">
          <w:pPr>
            <w:pStyle w:val="FooterText"/>
            <w:jc w:val="center"/>
            <w:rPr>
              <w:b/>
              <w:position w:val="-4"/>
              <w:sz w:val="36"/>
            </w:rPr>
          </w:pPr>
        </w:p>
      </w:tc>
      <w:tc>
        <w:tcPr>
          <w:tcW w:w="1029" w:type="pct"/>
          <w:gridSpan w:val="2"/>
          <w:shd w:val="clear" w:color="auto" w:fill="auto"/>
        </w:tcPr>
        <w:p w14:paraId="751E0B3D" w14:textId="7D5F26FB" w:rsidR="00223506" w:rsidRPr="000310C2" w:rsidRDefault="00223506" w:rsidP="00D94637">
          <w:pPr>
            <w:pStyle w:val="FooterText"/>
            <w:jc w:val="right"/>
            <w:rPr>
              <w:spacing w:val="-20"/>
              <w:sz w:val="16"/>
            </w:rPr>
          </w:pPr>
          <w:r>
            <w:rPr>
              <w:b/>
              <w:spacing w:val="-20"/>
              <w:position w:val="-4"/>
              <w:sz w:val="36"/>
            </w:rPr>
            <w:t>SL</w:t>
          </w:r>
        </w:p>
      </w:tc>
    </w:tr>
    <w:bookmarkEnd w:id="3"/>
  </w:tbl>
  <w:p w14:paraId="2D5BFCA1" w14:textId="618F2687" w:rsidR="001D3A9D" w:rsidRPr="00223506" w:rsidRDefault="001D3A9D" w:rsidP="00223506">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17"/>
      <w:gridCol w:w="1399"/>
      <w:gridCol w:w="1204"/>
      <w:gridCol w:w="200"/>
      <w:gridCol w:w="1429"/>
      <w:gridCol w:w="848"/>
      <w:gridCol w:w="1135"/>
    </w:tblGrid>
    <w:tr w:rsidR="00223506" w:rsidRPr="00D94637" w14:paraId="26977CD9" w14:textId="77777777" w:rsidTr="00223506">
      <w:trPr>
        <w:jc w:val="center"/>
      </w:trPr>
      <w:tc>
        <w:tcPr>
          <w:tcW w:w="5000" w:type="pct"/>
          <w:gridSpan w:val="7"/>
          <w:shd w:val="clear" w:color="auto" w:fill="auto"/>
          <w:tcMar>
            <w:top w:w="57" w:type="dxa"/>
          </w:tcMar>
        </w:tcPr>
        <w:p w14:paraId="093A8F48" w14:textId="77777777" w:rsidR="00223506" w:rsidRPr="00D94637" w:rsidRDefault="00223506" w:rsidP="00D94637">
          <w:pPr>
            <w:pStyle w:val="FooterText"/>
            <w:pBdr>
              <w:top w:val="single" w:sz="4" w:space="1" w:color="auto"/>
            </w:pBdr>
            <w:spacing w:before="200"/>
            <w:rPr>
              <w:sz w:val="2"/>
              <w:szCs w:val="2"/>
            </w:rPr>
          </w:pPr>
        </w:p>
      </w:tc>
    </w:tr>
    <w:tr w:rsidR="00223506" w:rsidRPr="00B310DC" w14:paraId="177ECCE2" w14:textId="77777777" w:rsidTr="00223506">
      <w:trPr>
        <w:jc w:val="center"/>
      </w:trPr>
      <w:tc>
        <w:tcPr>
          <w:tcW w:w="2500" w:type="pct"/>
          <w:gridSpan w:val="2"/>
          <w:shd w:val="clear" w:color="auto" w:fill="auto"/>
          <w:tcMar>
            <w:top w:w="0" w:type="dxa"/>
          </w:tcMar>
        </w:tcPr>
        <w:p w14:paraId="1C9D5372" w14:textId="5DCB2A9D" w:rsidR="00223506" w:rsidRPr="00AD7BF2" w:rsidRDefault="00223506" w:rsidP="004F54B2">
          <w:pPr>
            <w:pStyle w:val="FooterText"/>
          </w:pPr>
          <w:r>
            <w:t>10649/22</w:t>
          </w:r>
          <w:r w:rsidRPr="002511D8">
            <w:t xml:space="preserve"> </w:t>
          </w:r>
        </w:p>
      </w:tc>
      <w:tc>
        <w:tcPr>
          <w:tcW w:w="625" w:type="pct"/>
          <w:shd w:val="clear" w:color="auto" w:fill="auto"/>
          <w:tcMar>
            <w:top w:w="0" w:type="dxa"/>
          </w:tcMar>
        </w:tcPr>
        <w:p w14:paraId="5A97023F" w14:textId="77777777" w:rsidR="00223506" w:rsidRPr="00AD7BF2" w:rsidRDefault="00223506" w:rsidP="00D94637">
          <w:pPr>
            <w:pStyle w:val="FooterText"/>
            <w:jc w:val="center"/>
          </w:pPr>
        </w:p>
      </w:tc>
      <w:tc>
        <w:tcPr>
          <w:tcW w:w="1286" w:type="pct"/>
          <w:gridSpan w:val="3"/>
          <w:shd w:val="clear" w:color="auto" w:fill="auto"/>
          <w:tcMar>
            <w:top w:w="0" w:type="dxa"/>
          </w:tcMar>
        </w:tcPr>
        <w:p w14:paraId="6E3E0FD0" w14:textId="081F3247" w:rsidR="00223506" w:rsidRPr="002511D8" w:rsidRDefault="00223506" w:rsidP="00D94637">
          <w:pPr>
            <w:pStyle w:val="FooterText"/>
            <w:jc w:val="center"/>
          </w:pPr>
          <w:r>
            <w:t>med</w:t>
          </w:r>
        </w:p>
      </w:tc>
      <w:tc>
        <w:tcPr>
          <w:tcW w:w="589" w:type="pct"/>
          <w:shd w:val="clear" w:color="auto" w:fill="auto"/>
          <w:tcMar>
            <w:top w:w="0" w:type="dxa"/>
          </w:tcMar>
        </w:tcPr>
        <w:p w14:paraId="5DF1921A" w14:textId="0ABE9419" w:rsidR="00223506" w:rsidRPr="00B310DC" w:rsidRDefault="00223506" w:rsidP="00D94637">
          <w:pPr>
            <w:pStyle w:val="FooterText"/>
            <w:jc w:val="right"/>
          </w:pPr>
        </w:p>
      </w:tc>
    </w:tr>
    <w:tr w:rsidR="00223506" w:rsidRPr="00D94637" w14:paraId="139EDEFD" w14:textId="77777777" w:rsidTr="00223506">
      <w:trPr>
        <w:jc w:val="center"/>
      </w:trPr>
      <w:tc>
        <w:tcPr>
          <w:tcW w:w="1774" w:type="pct"/>
          <w:shd w:val="clear" w:color="auto" w:fill="auto"/>
        </w:tcPr>
        <w:p w14:paraId="7686C0FB" w14:textId="68840EFC" w:rsidR="00223506" w:rsidRPr="00AD7BF2" w:rsidRDefault="00223506" w:rsidP="00D94637">
          <w:pPr>
            <w:pStyle w:val="FooterText"/>
            <w:spacing w:before="40"/>
          </w:pPr>
        </w:p>
      </w:tc>
      <w:tc>
        <w:tcPr>
          <w:tcW w:w="1455" w:type="pct"/>
          <w:gridSpan w:val="3"/>
          <w:shd w:val="clear" w:color="auto" w:fill="auto"/>
        </w:tcPr>
        <w:p w14:paraId="2AA656F2" w14:textId="4DABD2B9" w:rsidR="00223506" w:rsidRPr="00AD7BF2" w:rsidRDefault="00223506" w:rsidP="00D204D6">
          <w:pPr>
            <w:pStyle w:val="FooterText"/>
            <w:spacing w:before="40"/>
            <w:jc w:val="center"/>
          </w:pPr>
          <w:r>
            <w:t>COMPET.3</w:t>
          </w:r>
        </w:p>
      </w:tc>
      <w:tc>
        <w:tcPr>
          <w:tcW w:w="742" w:type="pct"/>
          <w:shd w:val="clear" w:color="auto" w:fill="auto"/>
        </w:tcPr>
        <w:p w14:paraId="4A623BD5" w14:textId="7FBEFD1D" w:rsidR="00223506" w:rsidRPr="00D94637" w:rsidRDefault="00223506" w:rsidP="002F0099">
          <w:pPr>
            <w:pStyle w:val="FooterText"/>
            <w:jc w:val="center"/>
            <w:rPr>
              <w:b/>
              <w:position w:val="-4"/>
              <w:sz w:val="36"/>
            </w:rPr>
          </w:pPr>
        </w:p>
      </w:tc>
      <w:tc>
        <w:tcPr>
          <w:tcW w:w="1029" w:type="pct"/>
          <w:gridSpan w:val="2"/>
          <w:shd w:val="clear" w:color="auto" w:fill="auto"/>
        </w:tcPr>
        <w:p w14:paraId="359E43E1" w14:textId="0B780BFB" w:rsidR="00223506" w:rsidRPr="000310C2" w:rsidRDefault="00223506" w:rsidP="00D94637">
          <w:pPr>
            <w:pStyle w:val="FooterText"/>
            <w:jc w:val="right"/>
            <w:rPr>
              <w:spacing w:val="-20"/>
              <w:sz w:val="16"/>
            </w:rPr>
          </w:pPr>
          <w:r>
            <w:rPr>
              <w:b/>
              <w:spacing w:val="-20"/>
              <w:position w:val="-4"/>
              <w:sz w:val="36"/>
            </w:rPr>
            <w:t>SL</w:t>
          </w:r>
        </w:p>
      </w:tc>
    </w:tr>
  </w:tbl>
  <w:p w14:paraId="3D2966F9" w14:textId="77777777" w:rsidR="006F7A5A" w:rsidRPr="00223506" w:rsidRDefault="006F7A5A" w:rsidP="00223506">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BF35" w14:textId="77777777" w:rsidR="00223506" w:rsidRPr="006F7A5A" w:rsidRDefault="00223506" w:rsidP="006F7A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D1C0" w14:textId="77777777" w:rsidR="00223506" w:rsidRPr="006F7A5A" w:rsidRDefault="00223506" w:rsidP="006F7A5A">
    <w:pPr>
      <w:pStyle w:val="FooterCoverPage"/>
      <w:rPr>
        <w:rFonts w:ascii="Arial" w:hAnsi="Arial" w:cs="Arial"/>
        <w:b/>
        <w:sz w:val="48"/>
      </w:rPr>
    </w:pPr>
    <w:r w:rsidRPr="006F7A5A">
      <w:rPr>
        <w:rFonts w:ascii="Arial" w:hAnsi="Arial" w:cs="Arial"/>
        <w:b/>
        <w:sz w:val="48"/>
      </w:rPr>
      <w:t>SL</w:t>
    </w:r>
    <w:r w:rsidRPr="006F7A5A">
      <w:rPr>
        <w:rFonts w:ascii="Arial" w:hAnsi="Arial" w:cs="Arial"/>
        <w:b/>
        <w:sz w:val="48"/>
      </w:rPr>
      <w:tab/>
    </w:r>
    <w:r w:rsidRPr="006F7A5A">
      <w:rPr>
        <w:rFonts w:ascii="Arial" w:hAnsi="Arial" w:cs="Arial"/>
        <w:b/>
        <w:sz w:val="48"/>
      </w:rPr>
      <w:tab/>
    </w:r>
    <w:r w:rsidRPr="006F7A5A">
      <w:tab/>
    </w:r>
    <w:r w:rsidRPr="006F7A5A">
      <w:rPr>
        <w:rFonts w:ascii="Arial" w:hAnsi="Arial" w:cs="Arial"/>
        <w:b/>
        <w:sz w:val="48"/>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328D" w14:textId="77777777" w:rsidR="00223506" w:rsidRPr="006F7A5A" w:rsidRDefault="00223506" w:rsidP="006F7A5A">
    <w:pPr>
      <w:pStyle w:val="FooterCover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2B96" w14:textId="77777777" w:rsidR="007A44E6" w:rsidRDefault="007A44E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567945713"/>
      <w:docPartObj>
        <w:docPartGallery w:val="Page Numbers (Bottom of Page)"/>
        <w:docPartUnique/>
      </w:docPartObj>
    </w:sdtPr>
    <w:sdtEndPr>
      <w:rPr>
        <w:noProof/>
      </w:rPr>
    </w:sdtEndPr>
    <w:sdtContent>
      <w:p w14:paraId="76AB1C4A" w14:textId="03C807B0" w:rsidR="007A44E6" w:rsidRPr="00E43B4B" w:rsidRDefault="007A44E6" w:rsidP="00E43B4B">
        <w:pPr>
          <w:pStyle w:val="Footer"/>
          <w:jc w:val="right"/>
          <w:rPr>
            <w:rFonts w:ascii="Times New Roman" w:hAnsi="Times New Roman" w:cs="Times New Roman"/>
            <w:sz w:val="20"/>
            <w:szCs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A97F7A">
          <w:rPr>
            <w:rFonts w:ascii="Times New Roman" w:hAnsi="Times New Roman" w:cs="Times New Roman"/>
            <w:noProof/>
            <w:sz w:val="20"/>
          </w:rPr>
          <w:t>13</w:t>
        </w:r>
        <w:r>
          <w:rPr>
            <w:rFonts w:ascii="Times New Roman" w:hAnsi="Times New Roman" w:cs="Times New Roman"/>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DEFE" w14:textId="77777777" w:rsidR="007A44E6" w:rsidRDefault="007A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26EAB" w14:textId="77777777" w:rsidR="00651AD0" w:rsidRDefault="00651AD0">
      <w:r>
        <w:separator/>
      </w:r>
    </w:p>
  </w:footnote>
  <w:footnote w:type="continuationSeparator" w:id="0">
    <w:p w14:paraId="38C74779" w14:textId="77777777" w:rsidR="00651AD0" w:rsidRDefault="00651AD0">
      <w:r>
        <w:continuationSeparator/>
      </w:r>
    </w:p>
  </w:footnote>
  <w:footnote w:type="continuationNotice" w:id="1">
    <w:p w14:paraId="38B072E4" w14:textId="77777777" w:rsidR="00651AD0" w:rsidRDefault="00651AD0"/>
  </w:footnote>
  <w:footnote w:id="2">
    <w:p w14:paraId="584A436B" w14:textId="4BD0CA86" w:rsidR="007A44E6" w:rsidRPr="00B82216" w:rsidRDefault="007A44E6" w:rsidP="006F536F">
      <w:pPr>
        <w:pStyle w:val="FootnoteText"/>
        <w:jc w:val="both"/>
        <w:rPr>
          <w:rFonts w:ascii="Times New Roman" w:hAnsi="Times New Roman" w:cs="Times New Roman"/>
        </w:rPr>
      </w:pPr>
      <w:r>
        <w:rPr>
          <w:rFonts w:ascii="Times New Roman" w:hAnsi="Times New Roman" w:cs="Times New Roman"/>
          <w:vertAlign w:val="superscript"/>
          <w:lang w:val="en-IE"/>
        </w:rPr>
        <w:footnoteRef/>
      </w:r>
      <w:r>
        <w:rPr>
          <w:rFonts w:ascii="Times New Roman" w:hAnsi="Times New Roman"/>
        </w:rPr>
        <w:t xml:space="preserve"> Delovni dokument služb Evropske komisije z naslovom „Feedback and way forward on improving the implementation and enforcement of Trade and Sustainable Development chapters in EU Free Trade Agreements“ (Povratne informacije in nadaljnja pot pri izboljšanju izvajanja in izvrševanja poglavij o trgovini in trajnostnem razvoju v sporazumih EU o prosti trgovini). Akcijski načrt v 15 točkah vključuje ukrepe za učinkovitejše izvajanje poglavij o trgovini in trajnostnem razvoju ter izboljšanje njihovega izvrševanja v štirih poglavjih: (i) sodelovanje; (ii) omogočanje civilni družbi, vključno s socialnimi partnerji, da prevzame večjo vlogo pri izvajanju; (iii) doseganje rezultatov ter (iv) preglednost in komuniciranje. Na voljo na:</w:t>
      </w:r>
      <w:r>
        <w:t xml:space="preserve"> </w:t>
      </w:r>
      <w:hyperlink r:id="rId1" w:history="1">
        <w:r>
          <w:rPr>
            <w:rStyle w:val="Hyperlink"/>
            <w:rFonts w:ascii="Times New Roman" w:hAnsi="Times New Roman"/>
          </w:rPr>
          <w:t>https://trade.ec.europa.eu/doclib/docs/2018/february/tradoc_156618.pdf</w:t>
        </w:r>
      </w:hyperlink>
      <w:r>
        <w:rPr>
          <w:rFonts w:ascii="Times New Roman" w:hAnsi="Times New Roman"/>
        </w:rPr>
        <w:t>.</w:t>
      </w:r>
    </w:p>
  </w:footnote>
  <w:footnote w:id="3">
    <w:p w14:paraId="0D8CFB9E" w14:textId="04E409CD" w:rsidR="00205C7B" w:rsidRPr="00B82216" w:rsidRDefault="00205C7B">
      <w:pPr>
        <w:pStyle w:val="FootnoteText"/>
        <w:rPr>
          <w:rFonts w:ascii="Times New Roman" w:hAnsi="Times New Roman" w:cs="Times New Roman"/>
        </w:rPr>
      </w:pPr>
      <w:r>
        <w:rPr>
          <w:rStyle w:val="FootnoteReference"/>
          <w:rFonts w:ascii="Times New Roman" w:hAnsi="Times New Roman" w:cs="Times New Roman"/>
          <w:lang w:val="en-IE"/>
        </w:rPr>
        <w:footnoteRef/>
      </w:r>
      <w:r w:rsidR="00757D4C">
        <w:rPr>
          <w:rFonts w:ascii="Times New Roman" w:hAnsi="Times New Roman"/>
        </w:rPr>
        <w:t xml:space="preserve"> </w:t>
      </w:r>
      <w:r>
        <w:rPr>
          <w:rFonts w:ascii="Times New Roman" w:hAnsi="Times New Roman"/>
        </w:rPr>
        <w:t>COM(2019) 640, na voljo na:</w:t>
      </w:r>
      <w:r>
        <w:t xml:space="preserve"> </w:t>
      </w:r>
      <w:hyperlink r:id="rId2" w:history="1">
        <w:r>
          <w:rPr>
            <w:rStyle w:val="Hyperlink"/>
            <w:rFonts w:ascii="Times New Roman" w:hAnsi="Times New Roman"/>
          </w:rPr>
          <w:t>https://eur-lex.europa.eu/resource.html?uri=cellar:b828d165-1c22-11ea-8c1f-01aa75ed71a1.0015.02/DOC_1&amp;format=PDF</w:t>
        </w:r>
      </w:hyperlink>
      <w:r>
        <w:rPr>
          <w:rFonts w:ascii="Times New Roman" w:hAnsi="Times New Roman"/>
        </w:rPr>
        <w:t xml:space="preserve">. </w:t>
      </w:r>
    </w:p>
  </w:footnote>
  <w:footnote w:id="4">
    <w:p w14:paraId="093E4BB5" w14:textId="1097D30C" w:rsidR="007A44E6" w:rsidRPr="00B82216" w:rsidRDefault="007A44E6" w:rsidP="002D29A1">
      <w:pPr>
        <w:pStyle w:val="FootnoteText"/>
        <w:rPr>
          <w:rFonts w:ascii="Times New Roman" w:hAnsi="Times New Roman" w:cs="Times New Roman"/>
        </w:rPr>
      </w:pPr>
      <w:r>
        <w:rPr>
          <w:rStyle w:val="FootnoteReference"/>
          <w:rFonts w:ascii="Times New Roman" w:hAnsi="Times New Roman" w:cs="Times New Roman"/>
          <w:lang w:val="en-IE"/>
        </w:rPr>
        <w:footnoteRef/>
      </w:r>
      <w:r>
        <w:t xml:space="preserve"> </w:t>
      </w:r>
      <w:r>
        <w:rPr>
          <w:rFonts w:ascii="Times New Roman" w:hAnsi="Times New Roman"/>
        </w:rPr>
        <w:t>Glej</w:t>
      </w:r>
      <w:r>
        <w:t xml:space="preserve"> </w:t>
      </w:r>
      <w:hyperlink r:id="rId3" w:history="1">
        <w:r>
          <w:rPr>
            <w:rStyle w:val="Hyperlink"/>
            <w:rFonts w:ascii="Times New Roman" w:hAnsi="Times New Roman"/>
          </w:rPr>
          <w:t>https://policy.trade.ec.europa.eu/development-and-sustainability/sustainable-development/sustainable-development-eu-trade-agreements_en</w:t>
        </w:r>
      </w:hyperlink>
      <w:r>
        <w:rPr>
          <w:rFonts w:ascii="Times New Roman" w:hAnsi="Times New Roman"/>
        </w:rPr>
        <w:t xml:space="preserve">. </w:t>
      </w:r>
    </w:p>
  </w:footnote>
  <w:footnote w:id="5">
    <w:p w14:paraId="6EE7A67A" w14:textId="3411982B" w:rsidR="007A44E6" w:rsidRPr="00B82216" w:rsidRDefault="007A44E6" w:rsidP="006F536F">
      <w:pPr>
        <w:pStyle w:val="FootnoteText"/>
        <w:rPr>
          <w:rFonts w:ascii="Times New Roman" w:hAnsi="Times New Roman" w:cs="Times New Roman"/>
        </w:rPr>
      </w:pPr>
      <w:r>
        <w:rPr>
          <w:rStyle w:val="None"/>
          <w:rFonts w:ascii="Times New Roman" w:hAnsi="Times New Roman" w:cs="Times New Roman"/>
          <w:vertAlign w:val="superscript"/>
          <w:lang w:val="en-IE"/>
        </w:rPr>
        <w:footnoteRef/>
      </w:r>
      <w:r>
        <w:rPr>
          <w:rStyle w:val="None"/>
          <w:rFonts w:ascii="Times New Roman" w:hAnsi="Times New Roman"/>
        </w:rPr>
        <w:t xml:space="preserve"> Velut, J. in drugi: „Comparative Analysis of Trade and Sustainable Development Provisions in Free Trade Agreements“ (Primerjalna analiza določb o trgovini in trajnostnem razvoju v sporazumih o prosti trgovini), LSE Consulting, London, 2022, na voljo na: </w:t>
      </w:r>
      <w:hyperlink r:id="rId4" w:history="1">
        <w:r>
          <w:rPr>
            <w:rStyle w:val="Hyperlink"/>
            <w:rFonts w:ascii="Times New Roman" w:hAnsi="Times New Roman"/>
          </w:rPr>
          <w:t>https://trade.ec.europa.eu/doclib/docs/2022/february/tradoc_160043.pdf</w:t>
        </w:r>
      </w:hyperlink>
      <w:r w:rsidR="00757D4C">
        <w:rPr>
          <w:rStyle w:val="None"/>
          <w:rFonts w:ascii="Times New Roman" w:hAnsi="Times New Roman"/>
        </w:rPr>
        <w:t>.</w:t>
      </w:r>
    </w:p>
  </w:footnote>
  <w:footnote w:id="6">
    <w:p w14:paraId="769F46A8" w14:textId="7A8D0A57" w:rsidR="007A44E6" w:rsidRPr="00B82216" w:rsidRDefault="007A44E6" w:rsidP="00DB57FB">
      <w:pPr>
        <w:pStyle w:val="FootnoteText"/>
        <w:ind w:left="142" w:hanging="142"/>
        <w:rPr>
          <w:rFonts w:ascii="Times New Roman" w:hAnsi="Times New Roman" w:cs="Times New Roman"/>
        </w:rPr>
      </w:pPr>
      <w:r>
        <w:rPr>
          <w:rStyle w:val="None"/>
          <w:rFonts w:ascii="Times New Roman" w:hAnsi="Times New Roman" w:cs="Times New Roman"/>
          <w:vertAlign w:val="superscript"/>
          <w:lang w:val="en-IE"/>
        </w:rPr>
        <w:footnoteRef/>
      </w:r>
      <w:r>
        <w:rPr>
          <w:rStyle w:val="None"/>
          <w:rFonts w:ascii="Times New Roman" w:hAnsi="Times New Roman"/>
        </w:rPr>
        <w:t xml:space="preserve"> Glej:</w:t>
      </w:r>
      <w:r>
        <w:t xml:space="preserve"> </w:t>
      </w:r>
      <w:hyperlink r:id="rId5" w:history="1">
        <w:r>
          <w:rPr>
            <w:rStyle w:val="Hyperlink"/>
            <w:rFonts w:ascii="Times New Roman" w:hAnsi="Times New Roman"/>
          </w:rPr>
          <w:t>https://policy.trade.ec.europa.eu/consultations/open-public-consultation-trade-and-sustainable-development-tsd-review_en</w:t>
        </w:r>
      </w:hyperlink>
      <w:r>
        <w:rPr>
          <w:rStyle w:val="None"/>
          <w:rFonts w:ascii="Times New Roman" w:hAnsi="Times New Roman"/>
        </w:rPr>
        <w:t xml:space="preserve">. </w:t>
      </w:r>
    </w:p>
  </w:footnote>
  <w:footnote w:id="7">
    <w:p w14:paraId="122FE6E6" w14:textId="3D1A91B0" w:rsidR="007A44E6" w:rsidRPr="00B82216" w:rsidRDefault="007A44E6" w:rsidP="006F536F">
      <w:pPr>
        <w:pStyle w:val="FootnoteText"/>
        <w:jc w:val="both"/>
        <w:rPr>
          <w:rFonts w:ascii="Times New Roman" w:hAnsi="Times New Roman" w:cs="Times New Roman"/>
        </w:rPr>
      </w:pPr>
      <w:r>
        <w:rPr>
          <w:rStyle w:val="FootnoteReference"/>
          <w:rFonts w:ascii="Times New Roman" w:hAnsi="Times New Roman" w:cs="Times New Roman"/>
          <w:lang w:val="en-IE"/>
        </w:rPr>
        <w:footnoteRef/>
      </w:r>
      <w:r>
        <w:t xml:space="preserve"> </w:t>
      </w:r>
      <w:r>
        <w:rPr>
          <w:rFonts w:ascii="Times New Roman" w:hAnsi="Times New Roman"/>
        </w:rPr>
        <w:t>Izvoz EU podpira 38 milijonov delovnih mest (dve tretjini več kot leta 2000), pomen trgovine pri ustvarjanju blaginje za državljanke in državljane EU pa se bo v prihodnosti še povečal, saj se pričakuje, da bo 86 % svetovne rasti do leta 2026 ustvarjene zunaj EU.</w:t>
      </w:r>
    </w:p>
  </w:footnote>
  <w:footnote w:id="8">
    <w:p w14:paraId="6B757B41" w14:textId="4EFB82B6" w:rsidR="007A44E6" w:rsidRPr="00B82216" w:rsidRDefault="007A44E6" w:rsidP="00FC0930">
      <w:pPr>
        <w:pStyle w:val="FootnoteText"/>
        <w:rPr>
          <w:rFonts w:ascii="Times New Roman" w:hAnsi="Times New Roman" w:cs="Times New Roman"/>
        </w:rPr>
      </w:pPr>
      <w:r>
        <w:rPr>
          <w:rStyle w:val="None"/>
          <w:rFonts w:ascii="Times New Roman" w:hAnsi="Times New Roman" w:cs="Times New Roman"/>
          <w:vertAlign w:val="superscript"/>
          <w:lang w:val="en-IE"/>
        </w:rPr>
        <w:footnoteRef/>
      </w:r>
      <w:r>
        <w:rPr>
          <w:rStyle w:val="None"/>
          <w:rFonts w:ascii="Times New Roman" w:hAnsi="Times New Roman"/>
        </w:rPr>
        <w:t xml:space="preserve"> </w:t>
      </w:r>
      <w:r>
        <w:rPr>
          <w:rFonts w:ascii="Times New Roman" w:hAnsi="Times New Roman"/>
        </w:rPr>
        <w:t xml:space="preserve">COM(2021) 66, na voljo na: </w:t>
      </w:r>
      <w:hyperlink r:id="rId6" w:history="1">
        <w:r>
          <w:rPr>
            <w:rStyle w:val="Hyperlink"/>
            <w:rFonts w:ascii="Times New Roman" w:hAnsi="Times New Roman"/>
          </w:rPr>
          <w:t>https://eur-lex.europa.eu/resource.html?uri=cellar:5bf4e9d0-71d2-11eb-9ac9-01aa75ed71a1.0020.02/DOC_1&amp;format=PDF</w:t>
        </w:r>
      </w:hyperlink>
      <w:r>
        <w:rPr>
          <w:rFonts w:ascii="Times New Roman" w:hAnsi="Times New Roman"/>
        </w:rPr>
        <w:t xml:space="preserve">. </w:t>
      </w:r>
    </w:p>
  </w:footnote>
  <w:footnote w:id="9">
    <w:p w14:paraId="6EAD8628" w14:textId="77777777" w:rsidR="007A44E6" w:rsidRPr="00B82216" w:rsidRDefault="007A44E6" w:rsidP="0053053E">
      <w:pPr>
        <w:pStyle w:val="FootnoteText"/>
        <w:rPr>
          <w:rFonts w:ascii="Times New Roman" w:hAnsi="Times New Roman" w:cs="Times New Roman"/>
        </w:rPr>
      </w:pPr>
      <w:r>
        <w:rPr>
          <w:rStyle w:val="None"/>
          <w:rFonts w:ascii="Times New Roman" w:hAnsi="Times New Roman" w:cs="Times New Roman"/>
          <w:vertAlign w:val="superscript"/>
          <w:lang w:val="en-IE"/>
        </w:rPr>
        <w:footnoteRef/>
      </w:r>
      <w:r>
        <w:rPr>
          <w:rStyle w:val="None"/>
          <w:rFonts w:ascii="Times New Roman" w:hAnsi="Times New Roman"/>
        </w:rPr>
        <w:t xml:space="preserve"> COM(2022) 66, na voljo na: </w:t>
      </w:r>
      <w:hyperlink r:id="rId7" w:history="1">
        <w:r>
          <w:rPr>
            <w:rStyle w:val="Hyperlink"/>
            <w:rFonts w:ascii="Times New Roman" w:hAnsi="Times New Roman"/>
          </w:rPr>
          <w:t>https://ec.europa.eu/commission/presscorner/detail/sl/ip_22_1187</w:t>
        </w:r>
      </w:hyperlink>
      <w:r>
        <w:rPr>
          <w:rStyle w:val="None"/>
          <w:rFonts w:ascii="Times New Roman" w:hAnsi="Times New Roman"/>
        </w:rPr>
        <w:t xml:space="preserve">. </w:t>
      </w:r>
    </w:p>
  </w:footnote>
  <w:footnote w:id="10">
    <w:p w14:paraId="07E2D0BA" w14:textId="012148BB" w:rsidR="00166142" w:rsidRPr="00B82216" w:rsidRDefault="00166142" w:rsidP="00166142">
      <w:pPr>
        <w:pStyle w:val="FootnoteText"/>
        <w:jc w:val="both"/>
        <w:rPr>
          <w:rFonts w:ascii="Times New Roman" w:hAnsi="Times New Roman" w:cs="Times New Roman"/>
        </w:rPr>
      </w:pPr>
      <w:r>
        <w:rPr>
          <w:rStyle w:val="FootnoteReference"/>
          <w:rFonts w:ascii="Times New Roman" w:hAnsi="Times New Roman" w:cs="Times New Roman"/>
          <w:lang w:val="en-IE"/>
        </w:rPr>
        <w:footnoteRef/>
      </w:r>
      <w:r>
        <w:rPr>
          <w:rFonts w:ascii="Times New Roman" w:hAnsi="Times New Roman"/>
        </w:rPr>
        <w:t xml:space="preserve"> In sicer: svoboda združevanja in učinkovito priznavanje pravice do kolektivnih pogajanj, odprava vseh oblik prisilnega dela, učinkovita odprava dela otrok in odprava diskriminacije pri zaposlovanju in poklicih. MOD je 10. junija 2022 spremenila deklaracijo iz leta 1998 in na seznam temeljnih načel dodala novo načelo varnosti in zdravja pri delu.</w:t>
      </w:r>
    </w:p>
  </w:footnote>
  <w:footnote w:id="11">
    <w:p w14:paraId="2F066BBD" w14:textId="77777777" w:rsidR="007A44E6" w:rsidRPr="00B82216" w:rsidRDefault="007A44E6" w:rsidP="003A4708">
      <w:pPr>
        <w:pStyle w:val="FootnoteText"/>
        <w:rPr>
          <w:rFonts w:ascii="Times New Roman" w:hAnsi="Times New Roman" w:cs="Times New Roman"/>
        </w:rPr>
      </w:pPr>
      <w:r>
        <w:rPr>
          <w:rStyle w:val="None"/>
          <w:rFonts w:ascii="Times New Roman" w:hAnsi="Times New Roman" w:cs="Times New Roman"/>
          <w:vertAlign w:val="superscript"/>
          <w:lang w:val="en-IE"/>
          <w14:textOutline w14:w="12700" w14:cap="flat" w14:cmpd="sng" w14:algn="ctr">
            <w14:noFill/>
            <w14:prstDash w14:val="solid"/>
            <w14:miter w14:lim="100000"/>
          </w14:textOutline>
        </w:rPr>
        <w:footnoteRef/>
      </w:r>
      <w:r>
        <w:rPr>
          <w:rStyle w:val="None"/>
          <w:rFonts w:ascii="Times New Roman" w:hAnsi="Times New Roman"/>
        </w:rPr>
        <w:t xml:space="preserve"> V skladu z ustreznimi mednarodnimi instrumenti, kot so vodilna načela ZN o podjetništvu in človekovih pravicah, smernice OECD za večnacionalna podjetja, tristranska deklaracija MOD o načelih večnacionalnih podjetij in socialne politike ter globalni dogovor ZN.</w:t>
      </w:r>
    </w:p>
  </w:footnote>
  <w:footnote w:id="12">
    <w:p w14:paraId="15066AB8" w14:textId="03571EB2" w:rsidR="007A44E6" w:rsidRPr="00B82216" w:rsidRDefault="007A44E6" w:rsidP="00FC0930">
      <w:pPr>
        <w:pStyle w:val="FootnoteText"/>
        <w:rPr>
          <w:rFonts w:ascii="Times New Roman" w:hAnsi="Times New Roman" w:cs="Times New Roman"/>
        </w:rPr>
      </w:pPr>
      <w:r>
        <w:rPr>
          <w:rStyle w:val="None"/>
          <w:rFonts w:ascii="Times New Roman" w:hAnsi="Times New Roman" w:cs="Times New Roman"/>
          <w:vertAlign w:val="superscript"/>
          <w:lang w:val="en-IE"/>
        </w:rPr>
        <w:footnoteRef/>
      </w:r>
      <w:r>
        <w:rPr>
          <w:rStyle w:val="None"/>
          <w:rFonts w:ascii="Times New Roman" w:hAnsi="Times New Roman"/>
        </w:rPr>
        <w:t xml:space="preserve"> COM(2021) 564, na voljo na: </w:t>
      </w:r>
      <w:hyperlink r:id="rId8" w:history="1">
        <w:r>
          <w:rPr>
            <w:rStyle w:val="Hyperlink"/>
            <w:rFonts w:ascii="Times New Roman" w:hAnsi="Times New Roman"/>
          </w:rPr>
          <w:t>https://eur-lex.europa.eu/legal-content/sl/TXT/?uri=CELEX:52021PC0564</w:t>
        </w:r>
      </w:hyperlink>
      <w:r>
        <w:rPr>
          <w:rStyle w:val="None"/>
          <w:rFonts w:ascii="Times New Roman" w:hAnsi="Times New Roman"/>
        </w:rPr>
        <w:t xml:space="preserve">. </w:t>
      </w:r>
    </w:p>
  </w:footnote>
  <w:footnote w:id="13">
    <w:p w14:paraId="3238E34B" w14:textId="6B5B710C" w:rsidR="007A44E6" w:rsidRPr="00B82216" w:rsidRDefault="007A44E6" w:rsidP="000E0D7A">
      <w:pPr>
        <w:pStyle w:val="FootnoteText"/>
        <w:rPr>
          <w:rFonts w:ascii="Times New Roman" w:hAnsi="Times New Roman" w:cs="Times New Roman"/>
        </w:rPr>
      </w:pPr>
      <w:r>
        <w:rPr>
          <w:rStyle w:val="None"/>
          <w:rFonts w:ascii="Times New Roman" w:hAnsi="Times New Roman" w:cs="Times New Roman"/>
          <w:vertAlign w:val="superscript"/>
          <w:lang w:val="en-IE"/>
        </w:rPr>
        <w:footnoteRef/>
      </w:r>
      <w:r>
        <w:rPr>
          <w:rStyle w:val="None"/>
          <w:rFonts w:ascii="Times New Roman" w:hAnsi="Times New Roman"/>
        </w:rPr>
        <w:t xml:space="preserve"> </w:t>
      </w:r>
      <w:r>
        <w:rPr>
          <w:rFonts w:ascii="Times New Roman" w:hAnsi="Times New Roman"/>
        </w:rPr>
        <w:t xml:space="preserve">COM(2021) 706, na voljo na: </w:t>
      </w:r>
      <w:hyperlink r:id="rId9" w:history="1">
        <w:r>
          <w:rPr>
            <w:rStyle w:val="Hyperlink"/>
            <w:rFonts w:ascii="Times New Roman" w:hAnsi="Times New Roman"/>
          </w:rPr>
          <w:t>https://eur-lex.europa.eu/legal-content/SL/TXT/?uri=CELEX%3A52021PC0706</w:t>
        </w:r>
      </w:hyperlink>
      <w:r>
        <w:rPr>
          <w:rFonts w:ascii="Times New Roman" w:hAnsi="Times New Roman"/>
        </w:rPr>
        <w:t xml:space="preserve">. </w:t>
      </w:r>
    </w:p>
  </w:footnote>
  <w:footnote w:id="14">
    <w:p w14:paraId="1A0860ED" w14:textId="03A8EFC9" w:rsidR="007A44E6" w:rsidRPr="00B82216" w:rsidRDefault="007A44E6" w:rsidP="00FC0930">
      <w:pPr>
        <w:pStyle w:val="FootnoteText"/>
        <w:rPr>
          <w:rFonts w:ascii="Times New Roman" w:hAnsi="Times New Roman" w:cs="Times New Roman"/>
        </w:rPr>
      </w:pPr>
      <w:r>
        <w:rPr>
          <w:rStyle w:val="FootnoteReference"/>
          <w:rFonts w:ascii="Times New Roman" w:hAnsi="Times New Roman" w:cs="Times New Roman"/>
          <w:lang w:val="en-IE"/>
        </w:rPr>
        <w:footnoteRef/>
      </w:r>
      <w:r>
        <w:rPr>
          <w:rFonts w:ascii="Times New Roman" w:hAnsi="Times New Roman"/>
        </w:rPr>
        <w:t xml:space="preserve"> COM(2021) 390, na voljo na:</w:t>
      </w:r>
      <w:r>
        <w:t xml:space="preserve"> </w:t>
      </w:r>
      <w:hyperlink r:id="rId10" w:history="1">
        <w:r>
          <w:rPr>
            <w:rStyle w:val="Hyperlink"/>
            <w:rFonts w:ascii="Times New Roman" w:hAnsi="Times New Roman"/>
          </w:rPr>
          <w:t>https://eur-lex.europa.eu/legal-content/SL/TXT/?uri=CELEX:52021DC0390</w:t>
        </w:r>
      </w:hyperlink>
      <w:r>
        <w:rPr>
          <w:rFonts w:ascii="Times New Roman" w:hAnsi="Times New Roman"/>
        </w:rPr>
        <w:t xml:space="preserve">. </w:t>
      </w:r>
    </w:p>
  </w:footnote>
  <w:footnote w:id="15">
    <w:p w14:paraId="4B7494E7" w14:textId="0E1ABFD0" w:rsidR="007A44E6" w:rsidRPr="00B82216" w:rsidRDefault="007A44E6" w:rsidP="00FC0930">
      <w:pPr>
        <w:pStyle w:val="FootnoteText"/>
        <w:rPr>
          <w:rFonts w:ascii="Times New Roman" w:hAnsi="Times New Roman" w:cs="Times New Roman"/>
        </w:rPr>
      </w:pPr>
      <w:r>
        <w:rPr>
          <w:rStyle w:val="None"/>
          <w:rFonts w:ascii="Times New Roman" w:hAnsi="Times New Roman" w:cs="Times New Roman"/>
          <w:vertAlign w:val="superscript"/>
          <w:lang w:val="en-IE"/>
        </w:rPr>
        <w:footnoteRef/>
      </w:r>
      <w:r>
        <w:rPr>
          <w:rStyle w:val="None"/>
          <w:rFonts w:ascii="Times New Roman" w:hAnsi="Times New Roman"/>
        </w:rPr>
        <w:t xml:space="preserve"> COM(2022) 71, na voljo na: </w:t>
      </w:r>
      <w:hyperlink r:id="rId11" w:history="1">
        <w:r>
          <w:rPr>
            <w:rStyle w:val="Hyperlink"/>
            <w:rFonts w:ascii="Times New Roman" w:hAnsi="Times New Roman"/>
          </w:rPr>
          <w:t>https://eur-lex.europa.eu/legal-content/SL/TXT/?uri=CELEX%3A52022PC0071</w:t>
        </w:r>
      </w:hyperlink>
      <w:r>
        <w:rPr>
          <w:rStyle w:val="None"/>
          <w:rFonts w:ascii="Times New Roman" w:hAnsi="Times New Roman"/>
        </w:rPr>
        <w:t xml:space="preserve">. </w:t>
      </w:r>
    </w:p>
  </w:footnote>
  <w:footnote w:id="16">
    <w:p w14:paraId="11BABA8C" w14:textId="19FA4C87" w:rsidR="007A44E6" w:rsidRPr="00B82216" w:rsidRDefault="007A44E6" w:rsidP="00924538">
      <w:pPr>
        <w:pStyle w:val="FootnoteText"/>
        <w:rPr>
          <w:rFonts w:ascii="Times New Roman" w:hAnsi="Times New Roman" w:cs="Times New Roman"/>
        </w:rPr>
      </w:pPr>
      <w:r>
        <w:rPr>
          <w:rStyle w:val="FootnoteReference"/>
          <w:rFonts w:ascii="Times New Roman" w:hAnsi="Times New Roman" w:cs="Times New Roman"/>
          <w:lang w:val="en-IE"/>
        </w:rPr>
        <w:footnoteRef/>
      </w:r>
      <w:r>
        <w:rPr>
          <w:rFonts w:ascii="Times New Roman" w:hAnsi="Times New Roman"/>
        </w:rPr>
        <w:t xml:space="preserve"> </w:t>
      </w:r>
      <w:r>
        <w:rPr>
          <w:rFonts w:ascii="Times New Roman" w:hAnsi="Times New Roman"/>
          <w:color w:val="333333"/>
          <w:shd w:val="clear" w:color="auto" w:fill="FFFFFF"/>
        </w:rPr>
        <w:t>COM(2022) 142, na voljo na: https://eur-lex.europa.eu/legal-content/SL/TXT/?uri=CELEX:52022PC0142.</w:t>
      </w:r>
    </w:p>
  </w:footnote>
  <w:footnote w:id="17">
    <w:p w14:paraId="528147E5" w14:textId="78DEB976" w:rsidR="007A44E6" w:rsidRPr="00B82216" w:rsidRDefault="007A44E6" w:rsidP="00FC0930">
      <w:pPr>
        <w:pStyle w:val="FootnoteText"/>
        <w:rPr>
          <w:rFonts w:ascii="Times New Roman" w:hAnsi="Times New Roman" w:cs="Times New Roman"/>
        </w:rPr>
      </w:pPr>
      <w:r>
        <w:rPr>
          <w:rStyle w:val="None"/>
          <w:rFonts w:ascii="Times New Roman" w:hAnsi="Times New Roman" w:cs="Times New Roman"/>
          <w:vertAlign w:val="superscript"/>
          <w:lang w:val="en-IE"/>
        </w:rPr>
        <w:footnoteRef/>
      </w:r>
      <w:r>
        <w:t xml:space="preserve"> </w:t>
      </w:r>
      <w:r>
        <w:rPr>
          <w:rFonts w:ascii="Times New Roman" w:hAnsi="Times New Roman"/>
        </w:rPr>
        <w:t>Glej opombo 8 zgoraj.</w:t>
      </w:r>
    </w:p>
  </w:footnote>
  <w:footnote w:id="18">
    <w:p w14:paraId="44AFFE33" w14:textId="015A68B4" w:rsidR="007A44E6" w:rsidRPr="00B82216" w:rsidRDefault="007A44E6" w:rsidP="00FC0930">
      <w:pPr>
        <w:pStyle w:val="FootnoteText"/>
        <w:rPr>
          <w:rFonts w:ascii="Times New Roman" w:hAnsi="Times New Roman" w:cs="Times New Roman"/>
        </w:rPr>
      </w:pPr>
      <w:r>
        <w:rPr>
          <w:rStyle w:val="None"/>
          <w:rFonts w:ascii="Times New Roman" w:eastAsia="Times New Roman" w:hAnsi="Times New Roman" w:cs="Times New Roman"/>
          <w:vertAlign w:val="superscript"/>
          <w:lang w:val="en-IE"/>
        </w:rPr>
        <w:footnoteRef/>
      </w:r>
      <w:r>
        <w:rPr>
          <w:rStyle w:val="None"/>
          <w:rFonts w:ascii="Times New Roman" w:hAnsi="Times New Roman"/>
        </w:rPr>
        <w:t xml:space="preserve"> COM(2021) 579, na voljo na: </w:t>
      </w:r>
      <w:hyperlink r:id="rId12" w:history="1">
        <w:r>
          <w:rPr>
            <w:rStyle w:val="Hyperlink"/>
            <w:rFonts w:ascii="Times New Roman" w:hAnsi="Times New Roman"/>
          </w:rPr>
          <w:t>https://eur-lex.europa.eu/resource.html?uri=cellar:0fe49a24-1c94-11ec-b4fe-01aa75ed71a1.0017.02/DOC_1&amp;format=PDF</w:t>
        </w:r>
      </w:hyperlink>
      <w:r>
        <w:rPr>
          <w:rStyle w:val="None"/>
          <w:rFonts w:ascii="Times New Roman" w:hAnsi="Times New Roman"/>
        </w:rPr>
        <w:t xml:space="preserve">. </w:t>
      </w:r>
    </w:p>
  </w:footnote>
  <w:footnote w:id="19">
    <w:p w14:paraId="2EB7B47C" w14:textId="0F3963AF" w:rsidR="007A44E6" w:rsidRPr="00B82216" w:rsidRDefault="007A44E6" w:rsidP="00FC0930">
      <w:pPr>
        <w:pStyle w:val="FootnoteText"/>
        <w:rPr>
          <w:rFonts w:ascii="Times New Roman" w:hAnsi="Times New Roman" w:cs="Times New Roman"/>
        </w:rPr>
      </w:pPr>
      <w:r>
        <w:rPr>
          <w:rStyle w:val="None"/>
          <w:rFonts w:ascii="Times New Roman" w:hAnsi="Times New Roman" w:cs="Times New Roman"/>
          <w:vertAlign w:val="superscript"/>
          <w:lang w:val="en-IE"/>
        </w:rPr>
        <w:footnoteRef/>
      </w:r>
      <w:r>
        <w:rPr>
          <w:rStyle w:val="None"/>
          <w:rFonts w:ascii="Times New Roman" w:hAnsi="Times New Roman"/>
        </w:rPr>
        <w:t xml:space="preserve"> Glej </w:t>
      </w:r>
      <w:hyperlink r:id="rId13" w:history="1">
        <w:r>
          <w:rPr>
            <w:rStyle w:val="Hyperlink"/>
            <w:rFonts w:ascii="Times New Roman" w:hAnsi="Times New Roman"/>
          </w:rPr>
          <w:t>https://ec.europa.eu/commission/presscorner/detail/sl/IP_21_6882</w:t>
        </w:r>
      </w:hyperlink>
      <w:r>
        <w:rPr>
          <w:rStyle w:val="None"/>
          <w:rFonts w:ascii="Times New Roman" w:hAnsi="Times New Roman"/>
        </w:rPr>
        <w:t xml:space="preserve">. </w:t>
      </w:r>
    </w:p>
  </w:footnote>
  <w:footnote w:id="20">
    <w:p w14:paraId="4DADB519" w14:textId="211F1A5D" w:rsidR="009024E5" w:rsidRPr="00B82216" w:rsidRDefault="009024E5">
      <w:pPr>
        <w:pStyle w:val="FootnoteText"/>
        <w:rPr>
          <w:rFonts w:ascii="Times New Roman" w:hAnsi="Times New Roman" w:cs="Times New Roman"/>
        </w:rPr>
      </w:pPr>
      <w:r>
        <w:rPr>
          <w:rStyle w:val="FootnoteReference"/>
          <w:rFonts w:ascii="Times New Roman" w:hAnsi="Times New Roman" w:cs="Times New Roman"/>
          <w:lang w:val="en-IE"/>
        </w:rPr>
        <w:footnoteRef/>
      </w:r>
      <w:r>
        <w:rPr>
          <w:rFonts w:ascii="Times New Roman" w:hAnsi="Times New Roman"/>
        </w:rPr>
        <w:t xml:space="preserve"> Glej https://ec.europa.eu/commission/presscorner/detail/sl/IP_22_3792.</w:t>
      </w:r>
    </w:p>
  </w:footnote>
  <w:footnote w:id="21">
    <w:p w14:paraId="5893B73C" w14:textId="067810FE" w:rsidR="007A44E6" w:rsidRPr="00B82216" w:rsidRDefault="007A44E6" w:rsidP="00FC0930">
      <w:pPr>
        <w:pStyle w:val="FootnoteText"/>
        <w:rPr>
          <w:rFonts w:ascii="Times New Roman" w:hAnsi="Times New Roman" w:cs="Times New Roman"/>
        </w:rPr>
      </w:pPr>
      <w:r>
        <w:rPr>
          <w:rStyle w:val="None"/>
          <w:rFonts w:ascii="Times New Roman" w:hAnsi="Times New Roman" w:cs="Times New Roman"/>
          <w:vertAlign w:val="superscript"/>
          <w:lang w:val="en-IE"/>
        </w:rPr>
        <w:footnoteRef/>
      </w:r>
      <w:r>
        <w:rPr>
          <w:rStyle w:val="None"/>
          <w:rFonts w:ascii="Times New Roman" w:hAnsi="Times New Roman"/>
        </w:rPr>
        <w:t xml:space="preserve"> Glej </w:t>
      </w:r>
      <w:hyperlink r:id="rId14" w:history="1">
        <w:r>
          <w:rPr>
            <w:rStyle w:val="Hyperlink"/>
            <w:rFonts w:ascii="Times New Roman" w:hAnsi="Times New Roman"/>
          </w:rPr>
          <w:t>https://ec.europa.eu/commission/commissioners/2019-2024/dombrovskis/announcements/speech-executive-vice-president-valdis-dombrovskis-trade-climate-cop26_en</w:t>
        </w:r>
      </w:hyperlink>
      <w:r>
        <w:rPr>
          <w:rStyle w:val="None"/>
          <w:rFonts w:ascii="Times New Roman" w:hAnsi="Times New Roman"/>
        </w:rPr>
        <w:t xml:space="preserve">. </w:t>
      </w:r>
    </w:p>
  </w:footnote>
  <w:footnote w:id="22">
    <w:p w14:paraId="35E96FDC" w14:textId="7B3D86CE" w:rsidR="007A44E6" w:rsidRPr="00B82216" w:rsidRDefault="007A44E6" w:rsidP="00FC0930">
      <w:pPr>
        <w:pStyle w:val="FootnoteText"/>
        <w:rPr>
          <w:rFonts w:ascii="Times New Roman" w:hAnsi="Times New Roman" w:cs="Times New Roman"/>
        </w:rPr>
      </w:pPr>
      <w:r>
        <w:rPr>
          <w:rStyle w:val="None"/>
          <w:rFonts w:ascii="Times New Roman" w:hAnsi="Times New Roman" w:cs="Times New Roman"/>
          <w:vertAlign w:val="superscript"/>
          <w:lang w:val="en-IE"/>
        </w:rPr>
        <w:footnoteRef/>
      </w:r>
      <w:r>
        <w:rPr>
          <w:rStyle w:val="None"/>
          <w:rFonts w:ascii="Times New Roman" w:hAnsi="Times New Roman"/>
        </w:rPr>
        <w:t xml:space="preserve"> </w:t>
      </w:r>
      <w:r>
        <w:rPr>
          <w:rFonts w:ascii="Times New Roman" w:hAnsi="Times New Roman"/>
          <w:color w:val="auto"/>
        </w:rPr>
        <w:t xml:space="preserve">Glej </w:t>
      </w:r>
      <w:hyperlink r:id="rId15" w:history="1">
        <w:r>
          <w:rPr>
            <w:rStyle w:val="Hyperlink"/>
            <w:rFonts w:ascii="Times New Roman" w:hAnsi="Times New Roman"/>
          </w:rPr>
          <w:t>https://policy.trade.ec.europa.eu/news/ban-export-credits-coal-fired-electricity-projects-agreed-oecd-2021-10-22_en</w:t>
        </w:r>
      </w:hyperlink>
      <w:r>
        <w:rPr>
          <w:color w:val="auto"/>
        </w:rPr>
        <w:t>.</w:t>
      </w:r>
      <w:r>
        <w:rPr>
          <w:rFonts w:ascii="Times New Roman" w:hAnsi="Times New Roman"/>
          <w:color w:val="auto"/>
        </w:rPr>
        <w:t xml:space="preserve"> </w:t>
      </w:r>
    </w:p>
  </w:footnote>
  <w:footnote w:id="23">
    <w:p w14:paraId="7F8C9D56" w14:textId="6DF98C05" w:rsidR="0061509F" w:rsidRPr="00B82216" w:rsidRDefault="0061509F">
      <w:pPr>
        <w:pStyle w:val="FootnoteText"/>
        <w:rPr>
          <w:rFonts w:ascii="Times New Roman" w:hAnsi="Times New Roman" w:cs="Times New Roman"/>
        </w:rPr>
      </w:pPr>
      <w:r>
        <w:rPr>
          <w:rStyle w:val="FootnoteReference"/>
          <w:rFonts w:ascii="Times New Roman" w:hAnsi="Times New Roman" w:cs="Times New Roman"/>
          <w:lang w:val="en-IE"/>
        </w:rPr>
        <w:footnoteRef/>
      </w:r>
      <w:r>
        <w:rPr>
          <w:rFonts w:ascii="Times New Roman" w:hAnsi="Times New Roman"/>
        </w:rPr>
        <w:t xml:space="preserve"> Spremljanje in izvrševanje poglavij o trgovini in trajnostnem razvoju iz trgovinskih sporazumov, vključno z možnostjo na sankcijah temelječega mehanizma kot skrajnega ukrepa, je tudi med 49 predlogi, vključenimi v končno poročilo Konference o prihodnosti Evrope, glej „Conference on the Future of Europe – Report on the Final Outcome“, maj 2022, predlog št. 19(4), str. 63.</w:t>
      </w:r>
    </w:p>
  </w:footnote>
  <w:footnote w:id="24">
    <w:p w14:paraId="13D27FD3" w14:textId="163F0501" w:rsidR="006C23D5" w:rsidRPr="00B82216" w:rsidRDefault="006C23D5">
      <w:pPr>
        <w:pStyle w:val="FootnoteText"/>
        <w:rPr>
          <w:rFonts w:ascii="Times New Roman" w:hAnsi="Times New Roman" w:cs="Times New Roman"/>
        </w:rPr>
      </w:pPr>
      <w:r>
        <w:rPr>
          <w:rStyle w:val="FootnoteReference"/>
          <w:rFonts w:ascii="Times New Roman" w:hAnsi="Times New Roman" w:cs="Times New Roman"/>
          <w:lang w:val="en-IE"/>
        </w:rPr>
        <w:footnoteRef/>
      </w:r>
      <w:r>
        <w:rPr>
          <w:rFonts w:ascii="Times New Roman" w:hAnsi="Times New Roman"/>
        </w:rPr>
        <w:t xml:space="preserve"> COM(2020) 380, na voljo na: https://eur-lex.europa.eu/legal-content/SL/TXT/HTML/?uri=CELEX:52020DC0380&amp;from=EN.</w:t>
      </w:r>
    </w:p>
  </w:footnote>
  <w:footnote w:id="25">
    <w:p w14:paraId="22E1E9D0" w14:textId="5EBDF300" w:rsidR="007A44E6" w:rsidRPr="00B82216" w:rsidRDefault="007A44E6" w:rsidP="00FC0930">
      <w:pPr>
        <w:pStyle w:val="FootnoteText"/>
        <w:rPr>
          <w:rFonts w:ascii="Times New Roman" w:hAnsi="Times New Roman" w:cs="Times New Roman"/>
        </w:rPr>
      </w:pPr>
      <w:r>
        <w:rPr>
          <w:rStyle w:val="None"/>
          <w:rFonts w:ascii="Times New Roman" w:eastAsia="Times New Roman" w:hAnsi="Times New Roman" w:cs="Times New Roman"/>
          <w:vertAlign w:val="superscript"/>
          <w:lang w:val="en-IE"/>
        </w:rPr>
        <w:footnoteRef/>
      </w:r>
      <w:r>
        <w:rPr>
          <w:rStyle w:val="None"/>
          <w:rFonts w:ascii="Times New Roman" w:hAnsi="Times New Roman"/>
        </w:rPr>
        <w:t xml:space="preserve"> Notranje svetovalne skupine so organi, ustanovljeni na podlagi trgovinskih sporazumov, ki jih sestavljajo neodvisni predstavniki skupin civilne družbe, vključno z nevladnimi organizacijami, podjetji in sindikati. V njih so uravnoteženo zastopani različni gospodarski, socialni in okoljski interesi, interesi v zvezi s človekovimi pravicami in drugi interesi. Te skupine spremljajo izvajanje zavez o trajnostnem razvoju iz trgovinskih sporazumov ter zadevnim pogodbenicam zagotavljajo nasvete in mnenja.</w:t>
      </w:r>
    </w:p>
  </w:footnote>
  <w:footnote w:id="26">
    <w:p w14:paraId="72E65FDC" w14:textId="7955571C" w:rsidR="007A44E6" w:rsidRPr="00B82216" w:rsidRDefault="007A44E6" w:rsidP="00FC0930">
      <w:pPr>
        <w:pStyle w:val="FootnoteText"/>
        <w:rPr>
          <w:rFonts w:ascii="Times New Roman" w:hAnsi="Times New Roman" w:cs="Times New Roman"/>
        </w:rPr>
      </w:pPr>
      <w:r>
        <w:rPr>
          <w:rStyle w:val="None"/>
          <w:rFonts w:ascii="Times New Roman" w:hAnsi="Times New Roman" w:cs="Times New Roman"/>
          <w:vertAlign w:val="superscript"/>
          <w:lang w:val="en-IE"/>
        </w:rPr>
        <w:footnoteRef/>
      </w:r>
      <w:r>
        <w:rPr>
          <w:rStyle w:val="None"/>
          <w:rFonts w:ascii="Times New Roman" w:hAnsi="Times New Roman"/>
        </w:rPr>
        <w:t xml:space="preserve"> Glej </w:t>
      </w:r>
      <w:hyperlink r:id="rId16" w:history="1">
        <w:r>
          <w:rPr>
            <w:rStyle w:val="Hyperlink"/>
            <w:rFonts w:ascii="Times New Roman" w:hAnsi="Times New Roman"/>
          </w:rPr>
          <w:t>https://policy.trade.ec.europa.eu/enforcement-and-protection/chief-trade-enforcement-officer_en</w:t>
        </w:r>
      </w:hyperlink>
      <w:r>
        <w:rPr>
          <w:rStyle w:val="None"/>
          <w:rFonts w:ascii="Times New Roman" w:hAnsi="Times New Roman"/>
        </w:rPr>
        <w:t xml:space="preserve">. </w:t>
      </w:r>
    </w:p>
  </w:footnote>
  <w:footnote w:id="27">
    <w:p w14:paraId="0AF874AF" w14:textId="3FDC829F" w:rsidR="007A44E6" w:rsidRPr="00B82216" w:rsidRDefault="007A44E6" w:rsidP="00FC0930">
      <w:pPr>
        <w:pStyle w:val="FootnoteText"/>
        <w:rPr>
          <w:rFonts w:ascii="Times New Roman" w:hAnsi="Times New Roman" w:cs="Times New Roman"/>
        </w:rPr>
      </w:pPr>
      <w:r>
        <w:rPr>
          <w:rStyle w:val="None"/>
          <w:rFonts w:ascii="Times New Roman" w:hAnsi="Times New Roman" w:cs="Times New Roman"/>
          <w:vertAlign w:val="superscript"/>
          <w:lang w:val="en-IE"/>
        </w:rPr>
        <w:footnoteRef/>
      </w:r>
      <w:r>
        <w:rPr>
          <w:rStyle w:val="None"/>
          <w:rFonts w:ascii="Times New Roman" w:hAnsi="Times New Roman"/>
        </w:rPr>
        <w:t xml:space="preserve"> Glej </w:t>
      </w:r>
      <w:hyperlink r:id="rId17" w:history="1">
        <w:r>
          <w:rPr>
            <w:rStyle w:val="Hyperlink"/>
            <w:rFonts w:ascii="Times New Roman" w:hAnsi="Times New Roman"/>
          </w:rPr>
          <w:t>https://trade.ec.europa.eu/doclib/docs/2021/november/tradoc_159907.pdf</w:t>
        </w:r>
      </w:hyperlink>
      <w:r>
        <w:rPr>
          <w:rStyle w:val="None"/>
          <w:rFonts w:ascii="Times New Roman" w:hAnsi="Times New Roman"/>
        </w:rPr>
        <w:t xml:space="preserve">. </w:t>
      </w:r>
    </w:p>
  </w:footnote>
  <w:footnote w:id="28">
    <w:p w14:paraId="78A1177E" w14:textId="44947763" w:rsidR="007A44E6" w:rsidRPr="00B82216" w:rsidRDefault="007A44E6" w:rsidP="00DB57FB">
      <w:pPr>
        <w:pStyle w:val="FootnoteText"/>
        <w:rPr>
          <w:rFonts w:ascii="Times New Roman" w:hAnsi="Times New Roman" w:cs="Times New Roman"/>
        </w:rPr>
      </w:pPr>
      <w:r>
        <w:rPr>
          <w:rStyle w:val="None"/>
          <w:rFonts w:ascii="Times New Roman" w:hAnsi="Times New Roman" w:cs="Times New Roman"/>
          <w:vertAlign w:val="superscript"/>
          <w:lang w:val="en-IE"/>
        </w:rPr>
        <w:footnoteRef/>
      </w:r>
      <w:r>
        <w:rPr>
          <w:rStyle w:val="None"/>
          <w:rFonts w:ascii="Times New Roman" w:hAnsi="Times New Roman"/>
        </w:rPr>
        <w:t xml:space="preserve"> „Operating guidelines for the Single Entry Point and complaints mechanism for the enforcement of EU trade agreements and arrangements“ (Operativne smernice za enotno vstopno točko in pritožbeni mehanizem za izvrševanje trgovinskih sporazumov in dogovorov EU), na voljo na:</w:t>
      </w:r>
      <w:r>
        <w:rPr>
          <w:rFonts w:ascii="Times New Roman" w:hAnsi="Times New Roman"/>
        </w:rPr>
        <w:t xml:space="preserve"> </w:t>
      </w:r>
      <w:hyperlink r:id="rId18" w:history="1">
        <w:r>
          <w:rPr>
            <w:rStyle w:val="Hyperlink"/>
            <w:rFonts w:ascii="Times New Roman" w:hAnsi="Times New Roman"/>
          </w:rPr>
          <w:t>https://trade.ec.europa.eu/access-to-markets/en/form-assets/operational_guidelines.pdf</w:t>
        </w:r>
      </w:hyperlink>
      <w:r>
        <w:rPr>
          <w:rStyle w:val="None"/>
        </w:rPr>
        <w:t>.</w:t>
      </w:r>
      <w:r>
        <w:rPr>
          <w:rStyle w:val="None"/>
          <w:rFonts w:ascii="Times New Roman" w:hAnsi="Times New Roman"/>
        </w:rPr>
        <w:t xml:space="preserve"> </w:t>
      </w:r>
    </w:p>
  </w:footnote>
  <w:footnote w:id="29">
    <w:p w14:paraId="73979506" w14:textId="1A26477E" w:rsidR="007A44E6" w:rsidRPr="00B82216" w:rsidRDefault="007A44E6">
      <w:pPr>
        <w:pStyle w:val="FootnoteText"/>
        <w:rPr>
          <w:rFonts w:ascii="Times New Roman" w:hAnsi="Times New Roman" w:cs="Times New Roman"/>
        </w:rPr>
      </w:pPr>
      <w:r>
        <w:rPr>
          <w:rStyle w:val="FootnoteReference"/>
          <w:rFonts w:ascii="Times New Roman" w:hAnsi="Times New Roman" w:cs="Times New Roman"/>
          <w:lang w:val="en-IE"/>
        </w:rPr>
        <w:footnoteRef/>
      </w:r>
      <w:r>
        <w:t xml:space="preserve"> </w:t>
      </w:r>
      <w:r>
        <w:rPr>
          <w:rFonts w:ascii="Times New Roman" w:hAnsi="Times New Roman"/>
        </w:rPr>
        <w:t xml:space="preserve">Namensko reševanje sporov o trgovini in trajnostnem razvoju sledi postopku mehanizma izvrševanja med državami, ki se uporablja za druge dele trgovinskega sporazuma, z nekaterimi prilagoditvami (kot je zahtevano strokovno znanje o trgovini, delu in okolju za člane odbora), vendar brez možnosti uporabe sankcij v primeru neupoštevanja poročila odbora. </w:t>
      </w:r>
    </w:p>
  </w:footnote>
  <w:footnote w:id="30">
    <w:p w14:paraId="330DA13C" w14:textId="53FF358B" w:rsidR="007A44E6" w:rsidRPr="00B82216" w:rsidRDefault="007A44E6" w:rsidP="00FC0930">
      <w:pPr>
        <w:pStyle w:val="FootnoteText"/>
        <w:rPr>
          <w:rFonts w:ascii="Times New Roman" w:hAnsi="Times New Roman" w:cs="Times New Roman"/>
        </w:rPr>
      </w:pPr>
      <w:r>
        <w:rPr>
          <w:rStyle w:val="FootnoteReference"/>
          <w:rFonts w:ascii="Times New Roman" w:hAnsi="Times New Roman" w:cs="Times New Roman"/>
          <w:lang w:val="en-IE"/>
        </w:rPr>
        <w:footnoteRef/>
      </w:r>
      <w:r>
        <w:t xml:space="preserve"> </w:t>
      </w:r>
      <w:r>
        <w:rPr>
          <w:rFonts w:ascii="Times New Roman" w:hAnsi="Times New Roman"/>
        </w:rPr>
        <w:t xml:space="preserve">Na primer s predložitvijo stališč </w:t>
      </w:r>
      <w:r>
        <w:rPr>
          <w:rFonts w:ascii="Times New Roman" w:hAnsi="Times New Roman"/>
          <w:i/>
        </w:rPr>
        <w:t>amicus curiae</w:t>
      </w:r>
      <w:r>
        <w:rPr>
          <w:rFonts w:ascii="Times New Roman" w:hAnsi="Times New Roman"/>
        </w:rPr>
        <w:t xml:space="preserve"> ali udeležbo na javnih zaslišanjih.</w:t>
      </w:r>
    </w:p>
  </w:footnote>
  <w:footnote w:id="31">
    <w:p w14:paraId="35968490" w14:textId="319FE94E" w:rsidR="005D4F8F" w:rsidRPr="00B82216" w:rsidRDefault="005D4F8F" w:rsidP="007E0A7D">
      <w:pPr>
        <w:pStyle w:val="FootnoteText"/>
        <w:jc w:val="both"/>
        <w:rPr>
          <w:rFonts w:ascii="Times New Roman" w:hAnsi="Times New Roman" w:cs="Times New Roman"/>
        </w:rPr>
      </w:pPr>
      <w:r>
        <w:rPr>
          <w:rStyle w:val="FootnoteReference"/>
          <w:rFonts w:ascii="Times New Roman" w:hAnsi="Times New Roman" w:cs="Times New Roman"/>
          <w:lang w:val="en-IE"/>
        </w:rPr>
        <w:footnoteRef/>
      </w:r>
      <w:r>
        <w:t xml:space="preserve"> </w:t>
      </w:r>
      <w:r>
        <w:rPr>
          <w:rFonts w:ascii="Times New Roman" w:hAnsi="Times New Roman"/>
        </w:rPr>
        <w:t>Komisija bo na podlagi razvoja prihodnjega trdnega svetovnega okvira za biotsko raznovrstnost, zlasti v zvezi z določitvijo ciljev biotske raznovrstnosti in ustreznega mehanizma za mednarodno poročanje in spremljanje, ocenila možnost vključitve Konvencije o biološki raznovrstnosti v ta novi pristop.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1E52" w14:textId="3F572A55" w:rsidR="006F7A5A" w:rsidRPr="00223506" w:rsidRDefault="00223506" w:rsidP="00223506">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8FE40" w14:textId="79C4C02D" w:rsidR="006F7A5A" w:rsidRPr="00223506" w:rsidRDefault="00223506" w:rsidP="00223506">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11F00" w14:textId="77777777" w:rsidR="00223506" w:rsidRPr="006F7A5A" w:rsidRDefault="00223506" w:rsidP="006F7A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7C63" w14:textId="77777777" w:rsidR="00223506" w:rsidRPr="006F7A5A" w:rsidRDefault="00223506" w:rsidP="006F7A5A">
    <w:pPr>
      <w:pStyle w:val="HeaderCoverPag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A611" w14:textId="77777777" w:rsidR="00223506" w:rsidRPr="006F7A5A" w:rsidRDefault="00223506" w:rsidP="006F7A5A">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D1010" w14:textId="77777777" w:rsidR="007A44E6" w:rsidRDefault="007A44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A987" w14:textId="77777777" w:rsidR="007A44E6" w:rsidRDefault="007A44E6">
    <w:pPr>
      <w:pStyle w:val="Header"/>
      <w:tabs>
        <w:tab w:val="clear" w:pos="9026"/>
        <w:tab w:val="right" w:pos="9000"/>
      </w:tabs>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E919" w14:textId="77777777" w:rsidR="007A44E6" w:rsidRDefault="007A4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1B2"/>
    <w:multiLevelType w:val="hybridMultilevel"/>
    <w:tmpl w:val="6D585C80"/>
    <w:lvl w:ilvl="0" w:tplc="1809001B">
      <w:start w:val="1"/>
      <w:numFmt w:val="lowerRoman"/>
      <w:lvlText w:val="%1."/>
      <w:lvlJc w:val="right"/>
      <w:pPr>
        <w:ind w:left="1179" w:hanging="360"/>
      </w:pPr>
      <w:rPr>
        <w:rFonts w:hint="default"/>
      </w:rPr>
    </w:lvl>
    <w:lvl w:ilvl="1" w:tplc="18090003" w:tentative="1">
      <w:start w:val="1"/>
      <w:numFmt w:val="bullet"/>
      <w:lvlText w:val="o"/>
      <w:lvlJc w:val="left"/>
      <w:pPr>
        <w:ind w:left="1899" w:hanging="360"/>
      </w:pPr>
      <w:rPr>
        <w:rFonts w:ascii="Courier New" w:hAnsi="Courier New" w:cs="Courier New" w:hint="default"/>
      </w:rPr>
    </w:lvl>
    <w:lvl w:ilvl="2" w:tplc="18090005" w:tentative="1">
      <w:start w:val="1"/>
      <w:numFmt w:val="bullet"/>
      <w:lvlText w:val=""/>
      <w:lvlJc w:val="left"/>
      <w:pPr>
        <w:ind w:left="2619" w:hanging="360"/>
      </w:pPr>
      <w:rPr>
        <w:rFonts w:ascii="Wingdings" w:hAnsi="Wingdings" w:hint="default"/>
      </w:rPr>
    </w:lvl>
    <w:lvl w:ilvl="3" w:tplc="18090001" w:tentative="1">
      <w:start w:val="1"/>
      <w:numFmt w:val="bullet"/>
      <w:lvlText w:val=""/>
      <w:lvlJc w:val="left"/>
      <w:pPr>
        <w:ind w:left="3339" w:hanging="360"/>
      </w:pPr>
      <w:rPr>
        <w:rFonts w:ascii="Symbol" w:hAnsi="Symbol" w:hint="default"/>
      </w:rPr>
    </w:lvl>
    <w:lvl w:ilvl="4" w:tplc="18090003" w:tentative="1">
      <w:start w:val="1"/>
      <w:numFmt w:val="bullet"/>
      <w:lvlText w:val="o"/>
      <w:lvlJc w:val="left"/>
      <w:pPr>
        <w:ind w:left="4059" w:hanging="360"/>
      </w:pPr>
      <w:rPr>
        <w:rFonts w:ascii="Courier New" w:hAnsi="Courier New" w:cs="Courier New" w:hint="default"/>
      </w:rPr>
    </w:lvl>
    <w:lvl w:ilvl="5" w:tplc="18090005" w:tentative="1">
      <w:start w:val="1"/>
      <w:numFmt w:val="bullet"/>
      <w:lvlText w:val=""/>
      <w:lvlJc w:val="left"/>
      <w:pPr>
        <w:ind w:left="4779" w:hanging="360"/>
      </w:pPr>
      <w:rPr>
        <w:rFonts w:ascii="Wingdings" w:hAnsi="Wingdings" w:hint="default"/>
      </w:rPr>
    </w:lvl>
    <w:lvl w:ilvl="6" w:tplc="18090001" w:tentative="1">
      <w:start w:val="1"/>
      <w:numFmt w:val="bullet"/>
      <w:lvlText w:val=""/>
      <w:lvlJc w:val="left"/>
      <w:pPr>
        <w:ind w:left="5499" w:hanging="360"/>
      </w:pPr>
      <w:rPr>
        <w:rFonts w:ascii="Symbol" w:hAnsi="Symbol" w:hint="default"/>
      </w:rPr>
    </w:lvl>
    <w:lvl w:ilvl="7" w:tplc="18090003" w:tentative="1">
      <w:start w:val="1"/>
      <w:numFmt w:val="bullet"/>
      <w:lvlText w:val="o"/>
      <w:lvlJc w:val="left"/>
      <w:pPr>
        <w:ind w:left="6219" w:hanging="360"/>
      </w:pPr>
      <w:rPr>
        <w:rFonts w:ascii="Courier New" w:hAnsi="Courier New" w:cs="Courier New" w:hint="default"/>
      </w:rPr>
    </w:lvl>
    <w:lvl w:ilvl="8" w:tplc="18090005" w:tentative="1">
      <w:start w:val="1"/>
      <w:numFmt w:val="bullet"/>
      <w:lvlText w:val=""/>
      <w:lvlJc w:val="left"/>
      <w:pPr>
        <w:ind w:left="6939" w:hanging="360"/>
      </w:pPr>
      <w:rPr>
        <w:rFonts w:ascii="Wingdings" w:hAnsi="Wingdings" w:hint="default"/>
      </w:rPr>
    </w:lvl>
  </w:abstractNum>
  <w:abstractNum w:abstractNumId="1" w15:restartNumberingAfterBreak="0">
    <w:nsid w:val="08D62B8D"/>
    <w:multiLevelType w:val="multilevel"/>
    <w:tmpl w:val="F800AD5A"/>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51"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11" w:hanging="8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11" w:hanging="8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571" w:hanging="1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571" w:hanging="1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931" w:hanging="1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931" w:hanging="1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291" w:hanging="19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E013C4"/>
    <w:multiLevelType w:val="hybridMultilevel"/>
    <w:tmpl w:val="D27693D0"/>
    <w:lvl w:ilvl="0" w:tplc="F7984138">
      <w:start w:val="1"/>
      <w:numFmt w:val="decimal"/>
      <w:lvlText w:val="%1."/>
      <w:lvlJc w:val="left"/>
      <w:pPr>
        <w:ind w:left="4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2BF08">
      <w:start w:val="1"/>
      <w:numFmt w:val="lowerLetter"/>
      <w:lvlText w:val="%2."/>
      <w:lvlJc w:val="left"/>
      <w:pPr>
        <w:ind w:left="117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6800AA">
      <w:start w:val="1"/>
      <w:numFmt w:val="lowerRoman"/>
      <w:lvlText w:val="%3."/>
      <w:lvlJc w:val="left"/>
      <w:pPr>
        <w:ind w:left="189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740E32">
      <w:start w:val="1"/>
      <w:numFmt w:val="decimal"/>
      <w:lvlText w:val="%4."/>
      <w:lvlJc w:val="left"/>
      <w:pPr>
        <w:ind w:left="26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B840">
      <w:start w:val="1"/>
      <w:numFmt w:val="lowerLetter"/>
      <w:lvlText w:val="%5."/>
      <w:lvlJc w:val="left"/>
      <w:pPr>
        <w:ind w:left="33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141546">
      <w:start w:val="1"/>
      <w:numFmt w:val="lowerRoman"/>
      <w:lvlText w:val="%6."/>
      <w:lvlJc w:val="left"/>
      <w:pPr>
        <w:ind w:left="405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76D5B8">
      <w:start w:val="1"/>
      <w:numFmt w:val="decimal"/>
      <w:lvlText w:val="%7."/>
      <w:lvlJc w:val="left"/>
      <w:pPr>
        <w:ind w:left="477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DCA3F2">
      <w:start w:val="1"/>
      <w:numFmt w:val="lowerLetter"/>
      <w:lvlText w:val="%8."/>
      <w:lvlJc w:val="left"/>
      <w:pPr>
        <w:ind w:left="549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7A6E74">
      <w:start w:val="1"/>
      <w:numFmt w:val="lowerRoman"/>
      <w:lvlText w:val="%9."/>
      <w:lvlJc w:val="left"/>
      <w:pPr>
        <w:ind w:left="621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E47575"/>
    <w:multiLevelType w:val="hybridMultilevel"/>
    <w:tmpl w:val="9D04149E"/>
    <w:lvl w:ilvl="0" w:tplc="79C27BBE">
      <w:start w:val="1"/>
      <w:numFmt w:val="lowerLetter"/>
      <w:lvlText w:val="%1."/>
      <w:lvlJc w:val="left"/>
      <w:pPr>
        <w:ind w:left="3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84708E">
      <w:start w:val="1"/>
      <w:numFmt w:val="lowerLetter"/>
      <w:lvlText w:val="%2."/>
      <w:lvlJc w:val="left"/>
      <w:pPr>
        <w:ind w:left="11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42B72">
      <w:start w:val="1"/>
      <w:numFmt w:val="lowerLetter"/>
      <w:lvlText w:val="%3."/>
      <w:lvlJc w:val="left"/>
      <w:pPr>
        <w:ind w:left="183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7077D4">
      <w:start w:val="1"/>
      <w:numFmt w:val="decimal"/>
      <w:lvlText w:val="%4."/>
      <w:lvlJc w:val="left"/>
      <w:pPr>
        <w:ind w:left="45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CA0ADE">
      <w:start w:val="1"/>
      <w:numFmt w:val="lowerLetter"/>
      <w:lvlText w:val="%5."/>
      <w:lvlJc w:val="left"/>
      <w:pPr>
        <w:ind w:left="933"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DCAE88">
      <w:start w:val="1"/>
      <w:numFmt w:val="decimal"/>
      <w:lvlText w:val="%6."/>
      <w:lvlJc w:val="left"/>
      <w:pPr>
        <w:ind w:left="96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667B7E">
      <w:start w:val="1"/>
      <w:numFmt w:val="decimal"/>
      <w:lvlText w:val="%7."/>
      <w:lvlJc w:val="left"/>
      <w:pPr>
        <w:ind w:left="100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56E7DC">
      <w:start w:val="1"/>
      <w:numFmt w:val="decimal"/>
      <w:lvlText w:val="%8."/>
      <w:lvlJc w:val="left"/>
      <w:pPr>
        <w:ind w:left="103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5A936C">
      <w:start w:val="1"/>
      <w:numFmt w:val="decimal"/>
      <w:lvlText w:val="%9."/>
      <w:lvlJc w:val="left"/>
      <w:pPr>
        <w:ind w:left="106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126AD0"/>
    <w:multiLevelType w:val="hybridMultilevel"/>
    <w:tmpl w:val="06380C68"/>
    <w:styleLink w:val="ImportedStyle3"/>
    <w:lvl w:ilvl="0" w:tplc="526A2D3C">
      <w:start w:val="1"/>
      <w:numFmt w:val="low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C66FA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3EF6A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9C69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9A05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941AF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601A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085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4209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B15271E"/>
    <w:multiLevelType w:val="hybridMultilevel"/>
    <w:tmpl w:val="3EC6AF52"/>
    <w:lvl w:ilvl="0" w:tplc="5894A5BC">
      <w:start w:val="1"/>
      <w:numFmt w:val="decimal"/>
      <w:lvlText w:val="%1."/>
      <w:lvlJc w:val="left"/>
      <w:pPr>
        <w:ind w:left="36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B4227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E88E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C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EBD9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BA495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6EC59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22913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061FA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193396C"/>
    <w:multiLevelType w:val="hybridMultilevel"/>
    <w:tmpl w:val="4A52C128"/>
    <w:lvl w:ilvl="0" w:tplc="1514081A">
      <w:start w:val="1"/>
      <w:numFmt w:val="decimal"/>
      <w:lvlText w:val="%1."/>
      <w:lvlJc w:val="left"/>
      <w:pPr>
        <w:ind w:left="4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6638E">
      <w:start w:val="1"/>
      <w:numFmt w:val="lowerLetter"/>
      <w:lvlText w:val="%2."/>
      <w:lvlJc w:val="left"/>
      <w:pPr>
        <w:ind w:left="11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C28506">
      <w:start w:val="1"/>
      <w:numFmt w:val="lowerRoman"/>
      <w:lvlText w:val="%3."/>
      <w:lvlJc w:val="left"/>
      <w:pPr>
        <w:ind w:left="1889"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B2D9E4">
      <w:start w:val="1"/>
      <w:numFmt w:val="decimal"/>
      <w:lvlText w:val="%4."/>
      <w:lvlJc w:val="left"/>
      <w:pPr>
        <w:ind w:left="26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011B6">
      <w:start w:val="1"/>
      <w:numFmt w:val="lowerLetter"/>
      <w:lvlText w:val="%5."/>
      <w:lvlJc w:val="left"/>
      <w:pPr>
        <w:ind w:left="33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0A1396">
      <w:start w:val="1"/>
      <w:numFmt w:val="lowerRoman"/>
      <w:lvlText w:val="%6."/>
      <w:lvlJc w:val="left"/>
      <w:pPr>
        <w:ind w:left="4049"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E6DF6">
      <w:start w:val="1"/>
      <w:numFmt w:val="decimal"/>
      <w:lvlText w:val="%7."/>
      <w:lvlJc w:val="left"/>
      <w:pPr>
        <w:ind w:left="47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4282E8">
      <w:start w:val="1"/>
      <w:numFmt w:val="lowerLetter"/>
      <w:lvlText w:val="%8."/>
      <w:lvlJc w:val="left"/>
      <w:pPr>
        <w:ind w:left="54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666FAA">
      <w:start w:val="1"/>
      <w:numFmt w:val="lowerRoman"/>
      <w:lvlText w:val="%9."/>
      <w:lvlJc w:val="left"/>
      <w:pPr>
        <w:ind w:left="6209"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5F423D"/>
    <w:multiLevelType w:val="multilevel"/>
    <w:tmpl w:val="3F2E11D2"/>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A2D4BE0"/>
    <w:multiLevelType w:val="hybridMultilevel"/>
    <w:tmpl w:val="47AE3896"/>
    <w:styleLink w:val="ImportedStyle1"/>
    <w:lvl w:ilvl="0" w:tplc="836A120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1453C8">
      <w:start w:val="1"/>
      <w:numFmt w:val="decimal"/>
      <w:lvlText w:val="%2."/>
      <w:lvlJc w:val="left"/>
      <w:pPr>
        <w:ind w:left="11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EC6228">
      <w:start w:val="1"/>
      <w:numFmt w:val="lowerRoman"/>
      <w:lvlText w:val="%3."/>
      <w:lvlJc w:val="left"/>
      <w:pPr>
        <w:ind w:left="1854"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F295DC">
      <w:start w:val="1"/>
      <w:numFmt w:val="decimal"/>
      <w:lvlText w:val="%4."/>
      <w:lvlJc w:val="left"/>
      <w:pPr>
        <w:ind w:left="25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7A5712">
      <w:start w:val="1"/>
      <w:numFmt w:val="lowerLetter"/>
      <w:lvlText w:val="%5."/>
      <w:lvlJc w:val="left"/>
      <w:pPr>
        <w:ind w:left="329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C4CE32">
      <w:start w:val="1"/>
      <w:numFmt w:val="lowerRoman"/>
      <w:lvlText w:val="%6."/>
      <w:lvlJc w:val="left"/>
      <w:pPr>
        <w:ind w:left="4014"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78386C">
      <w:start w:val="1"/>
      <w:numFmt w:val="decimal"/>
      <w:lvlText w:val="%7."/>
      <w:lvlJc w:val="left"/>
      <w:pPr>
        <w:ind w:left="47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24A9E6">
      <w:start w:val="1"/>
      <w:numFmt w:val="lowerLetter"/>
      <w:lvlText w:val="%8."/>
      <w:lvlJc w:val="left"/>
      <w:pPr>
        <w:ind w:left="545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4FFAE">
      <w:start w:val="1"/>
      <w:numFmt w:val="lowerRoman"/>
      <w:lvlText w:val="%9."/>
      <w:lvlJc w:val="left"/>
      <w:pPr>
        <w:ind w:left="6174"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186766"/>
    <w:multiLevelType w:val="hybridMultilevel"/>
    <w:tmpl w:val="F63C1096"/>
    <w:lvl w:ilvl="0" w:tplc="366E7924">
      <w:start w:val="1"/>
      <w:numFmt w:val="decimal"/>
      <w:lvlText w:val="%1."/>
      <w:lvlJc w:val="left"/>
      <w:pPr>
        <w:ind w:left="4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FA4D0A">
      <w:start w:val="1"/>
      <w:numFmt w:val="lowerLetter"/>
      <w:lvlText w:val="%2."/>
      <w:lvlJc w:val="left"/>
      <w:pPr>
        <w:ind w:left="117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046CBC">
      <w:start w:val="1"/>
      <w:numFmt w:val="lowerRoman"/>
      <w:lvlText w:val="%3."/>
      <w:lvlJc w:val="left"/>
      <w:pPr>
        <w:ind w:left="189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6296C2">
      <w:start w:val="1"/>
      <w:numFmt w:val="decimal"/>
      <w:lvlText w:val="%4."/>
      <w:lvlJc w:val="left"/>
      <w:pPr>
        <w:ind w:left="26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BC7E7A">
      <w:start w:val="1"/>
      <w:numFmt w:val="lowerLetter"/>
      <w:lvlText w:val="%5."/>
      <w:lvlJc w:val="left"/>
      <w:pPr>
        <w:ind w:left="33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C35AE">
      <w:start w:val="1"/>
      <w:numFmt w:val="lowerRoman"/>
      <w:lvlText w:val="%6."/>
      <w:lvlJc w:val="left"/>
      <w:pPr>
        <w:ind w:left="405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CA64F6">
      <w:start w:val="1"/>
      <w:numFmt w:val="decimal"/>
      <w:lvlText w:val="%7."/>
      <w:lvlJc w:val="left"/>
      <w:pPr>
        <w:ind w:left="477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0A22EC">
      <w:start w:val="1"/>
      <w:numFmt w:val="lowerLetter"/>
      <w:lvlText w:val="%8."/>
      <w:lvlJc w:val="left"/>
      <w:pPr>
        <w:ind w:left="549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1A4C94">
      <w:start w:val="1"/>
      <w:numFmt w:val="lowerRoman"/>
      <w:lvlText w:val="%9."/>
      <w:lvlJc w:val="left"/>
      <w:pPr>
        <w:ind w:left="621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2E1CF6"/>
    <w:multiLevelType w:val="hybridMultilevel"/>
    <w:tmpl w:val="9864C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23058"/>
    <w:multiLevelType w:val="hybridMultilevel"/>
    <w:tmpl w:val="B5ECC970"/>
    <w:lvl w:ilvl="0" w:tplc="AE84AE0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1ED57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29C2C">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2805AA">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C8000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46ED5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D6F7E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EEFD9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4609A4">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A647E8"/>
    <w:multiLevelType w:val="hybridMultilevel"/>
    <w:tmpl w:val="FFB8C2FC"/>
    <w:lvl w:ilvl="0" w:tplc="5C187F94">
      <w:numFmt w:val="bullet"/>
      <w:lvlText w:val=""/>
      <w:lvlJc w:val="left"/>
      <w:pPr>
        <w:ind w:left="720" w:hanging="360"/>
      </w:pPr>
      <w:rPr>
        <w:rFonts w:ascii="Wingdings" w:eastAsia="Arial Unicode MS" w:hAnsi="Wingdings" w:cs="Times New Roman" w:hint="default"/>
      </w:rPr>
    </w:lvl>
    <w:lvl w:ilvl="1" w:tplc="AE7406D2" w:tentative="1">
      <w:start w:val="1"/>
      <w:numFmt w:val="bullet"/>
      <w:lvlText w:val="o"/>
      <w:lvlJc w:val="left"/>
      <w:pPr>
        <w:ind w:left="1440" w:hanging="360"/>
      </w:pPr>
      <w:rPr>
        <w:rFonts w:ascii="Courier New" w:hAnsi="Courier New" w:cs="Courier New" w:hint="default"/>
      </w:rPr>
    </w:lvl>
    <w:lvl w:ilvl="2" w:tplc="1D5A74D4" w:tentative="1">
      <w:start w:val="1"/>
      <w:numFmt w:val="bullet"/>
      <w:lvlText w:val=""/>
      <w:lvlJc w:val="left"/>
      <w:pPr>
        <w:ind w:left="2160" w:hanging="360"/>
      </w:pPr>
      <w:rPr>
        <w:rFonts w:ascii="Wingdings" w:hAnsi="Wingdings" w:hint="default"/>
      </w:rPr>
    </w:lvl>
    <w:lvl w:ilvl="3" w:tplc="499A136C" w:tentative="1">
      <w:start w:val="1"/>
      <w:numFmt w:val="bullet"/>
      <w:lvlText w:val=""/>
      <w:lvlJc w:val="left"/>
      <w:pPr>
        <w:ind w:left="2880" w:hanging="360"/>
      </w:pPr>
      <w:rPr>
        <w:rFonts w:ascii="Symbol" w:hAnsi="Symbol" w:hint="default"/>
      </w:rPr>
    </w:lvl>
    <w:lvl w:ilvl="4" w:tplc="84E262B4" w:tentative="1">
      <w:start w:val="1"/>
      <w:numFmt w:val="bullet"/>
      <w:lvlText w:val="o"/>
      <w:lvlJc w:val="left"/>
      <w:pPr>
        <w:ind w:left="3600" w:hanging="360"/>
      </w:pPr>
      <w:rPr>
        <w:rFonts w:ascii="Courier New" w:hAnsi="Courier New" w:cs="Courier New" w:hint="default"/>
      </w:rPr>
    </w:lvl>
    <w:lvl w:ilvl="5" w:tplc="2562AC4E" w:tentative="1">
      <w:start w:val="1"/>
      <w:numFmt w:val="bullet"/>
      <w:lvlText w:val=""/>
      <w:lvlJc w:val="left"/>
      <w:pPr>
        <w:ind w:left="4320" w:hanging="360"/>
      </w:pPr>
      <w:rPr>
        <w:rFonts w:ascii="Wingdings" w:hAnsi="Wingdings" w:hint="default"/>
      </w:rPr>
    </w:lvl>
    <w:lvl w:ilvl="6" w:tplc="E16A377A" w:tentative="1">
      <w:start w:val="1"/>
      <w:numFmt w:val="bullet"/>
      <w:lvlText w:val=""/>
      <w:lvlJc w:val="left"/>
      <w:pPr>
        <w:ind w:left="5040" w:hanging="360"/>
      </w:pPr>
      <w:rPr>
        <w:rFonts w:ascii="Symbol" w:hAnsi="Symbol" w:hint="default"/>
      </w:rPr>
    </w:lvl>
    <w:lvl w:ilvl="7" w:tplc="ADECB104" w:tentative="1">
      <w:start w:val="1"/>
      <w:numFmt w:val="bullet"/>
      <w:lvlText w:val="o"/>
      <w:lvlJc w:val="left"/>
      <w:pPr>
        <w:ind w:left="5760" w:hanging="360"/>
      </w:pPr>
      <w:rPr>
        <w:rFonts w:ascii="Courier New" w:hAnsi="Courier New" w:cs="Courier New" w:hint="default"/>
      </w:rPr>
    </w:lvl>
    <w:lvl w:ilvl="8" w:tplc="60E0C936" w:tentative="1">
      <w:start w:val="1"/>
      <w:numFmt w:val="bullet"/>
      <w:lvlText w:val=""/>
      <w:lvlJc w:val="left"/>
      <w:pPr>
        <w:ind w:left="6480" w:hanging="360"/>
      </w:pPr>
      <w:rPr>
        <w:rFonts w:ascii="Wingdings" w:hAnsi="Wingdings" w:hint="default"/>
      </w:rPr>
    </w:lvl>
  </w:abstractNum>
  <w:abstractNum w:abstractNumId="13" w15:restartNumberingAfterBreak="0">
    <w:nsid w:val="2F131B78"/>
    <w:multiLevelType w:val="hybridMultilevel"/>
    <w:tmpl w:val="8076C7B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C7C4A"/>
    <w:multiLevelType w:val="hybridMultilevel"/>
    <w:tmpl w:val="825C6ABE"/>
    <w:lvl w:ilvl="0" w:tplc="991675C2">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1F11548"/>
    <w:multiLevelType w:val="hybridMultilevel"/>
    <w:tmpl w:val="1FA6A8CC"/>
    <w:lvl w:ilvl="0" w:tplc="04090019">
      <w:start w:val="1"/>
      <w:numFmt w:val="bullet"/>
      <w:lvlText w:val="·"/>
      <w:lvlJc w:val="left"/>
      <w:pPr>
        <w:ind w:left="852"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ind w:left="1572"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ind w:left="2292"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lvlText w:val="%4."/>
      <w:lvlJc w:val="right"/>
      <w:pPr>
        <w:ind w:left="3012" w:hanging="393"/>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ind w:left="148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ind w:left="220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ind w:left="292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ind w:left="36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ind w:left="436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30A428E"/>
    <w:multiLevelType w:val="multilevel"/>
    <w:tmpl w:val="21D2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D45084"/>
    <w:multiLevelType w:val="hybridMultilevel"/>
    <w:tmpl w:val="4E2A05C0"/>
    <w:lvl w:ilvl="0" w:tplc="F11A2C0C">
      <w:start w:val="1"/>
      <w:numFmt w:val="decimal"/>
      <w:lvlText w:val="%1."/>
      <w:lvlJc w:val="left"/>
      <w:pPr>
        <w:ind w:left="37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B8D9DE">
      <w:start w:val="1"/>
      <w:numFmt w:val="lowerLetter"/>
      <w:lvlText w:val="%2."/>
      <w:lvlJc w:val="left"/>
      <w:pPr>
        <w:ind w:left="109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C8798C">
      <w:start w:val="1"/>
      <w:numFmt w:val="lowerRoman"/>
      <w:lvlText w:val="%3."/>
      <w:lvlJc w:val="left"/>
      <w:pPr>
        <w:ind w:left="1815"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09001B">
      <w:start w:val="1"/>
      <w:numFmt w:val="decimal"/>
      <w:lvlText w:val="%4."/>
      <w:lvlJc w:val="left"/>
      <w:pPr>
        <w:ind w:left="25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3C03AC">
      <w:start w:val="1"/>
      <w:numFmt w:val="lowerLetter"/>
      <w:lvlText w:val="%5."/>
      <w:lvlJc w:val="left"/>
      <w:pPr>
        <w:ind w:left="325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B4A8B0">
      <w:start w:val="1"/>
      <w:numFmt w:val="lowerRoman"/>
      <w:lvlText w:val="%6."/>
      <w:lvlJc w:val="left"/>
      <w:pPr>
        <w:ind w:left="3975"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6B28A">
      <w:start w:val="1"/>
      <w:numFmt w:val="decimal"/>
      <w:lvlText w:val="%7."/>
      <w:lvlJc w:val="left"/>
      <w:pPr>
        <w:ind w:left="469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7EA0FE">
      <w:start w:val="1"/>
      <w:numFmt w:val="lowerLetter"/>
      <w:lvlText w:val="%8."/>
      <w:lvlJc w:val="left"/>
      <w:pPr>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32A15E">
      <w:start w:val="1"/>
      <w:numFmt w:val="lowerRoman"/>
      <w:lvlText w:val="%9."/>
      <w:lvlJc w:val="left"/>
      <w:pPr>
        <w:ind w:left="6135"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4726B0"/>
    <w:multiLevelType w:val="hybridMultilevel"/>
    <w:tmpl w:val="ACCC7A40"/>
    <w:lvl w:ilvl="0" w:tplc="DE1675F4">
      <w:start w:val="1"/>
      <w:numFmt w:val="bullet"/>
      <w:lvlText w:val="o"/>
      <w:lvlJc w:val="left"/>
      <w:pPr>
        <w:ind w:left="1179" w:hanging="360"/>
      </w:pPr>
      <w:rPr>
        <w:rFonts w:ascii="Courier New" w:hAnsi="Courier New" w:cs="Courier New" w:hint="default"/>
      </w:rPr>
    </w:lvl>
    <w:lvl w:ilvl="1" w:tplc="7CBA5A8E" w:tentative="1">
      <w:start w:val="1"/>
      <w:numFmt w:val="bullet"/>
      <w:lvlText w:val="o"/>
      <w:lvlJc w:val="left"/>
      <w:pPr>
        <w:ind w:left="1899" w:hanging="360"/>
      </w:pPr>
      <w:rPr>
        <w:rFonts w:ascii="Courier New" w:hAnsi="Courier New" w:cs="Courier New" w:hint="default"/>
      </w:rPr>
    </w:lvl>
    <w:lvl w:ilvl="2" w:tplc="4D12FCDE" w:tentative="1">
      <w:start w:val="1"/>
      <w:numFmt w:val="bullet"/>
      <w:lvlText w:val=""/>
      <w:lvlJc w:val="left"/>
      <w:pPr>
        <w:ind w:left="2619" w:hanging="360"/>
      </w:pPr>
      <w:rPr>
        <w:rFonts w:ascii="Wingdings" w:hAnsi="Wingdings" w:hint="default"/>
      </w:rPr>
    </w:lvl>
    <w:lvl w:ilvl="3" w:tplc="55EA6A56" w:tentative="1">
      <w:start w:val="1"/>
      <w:numFmt w:val="bullet"/>
      <w:lvlText w:val=""/>
      <w:lvlJc w:val="left"/>
      <w:pPr>
        <w:ind w:left="3339" w:hanging="360"/>
      </w:pPr>
      <w:rPr>
        <w:rFonts w:ascii="Symbol" w:hAnsi="Symbol" w:hint="default"/>
      </w:rPr>
    </w:lvl>
    <w:lvl w:ilvl="4" w:tplc="DD860F6E" w:tentative="1">
      <w:start w:val="1"/>
      <w:numFmt w:val="bullet"/>
      <w:lvlText w:val="o"/>
      <w:lvlJc w:val="left"/>
      <w:pPr>
        <w:ind w:left="4059" w:hanging="360"/>
      </w:pPr>
      <w:rPr>
        <w:rFonts w:ascii="Courier New" w:hAnsi="Courier New" w:cs="Courier New" w:hint="default"/>
      </w:rPr>
    </w:lvl>
    <w:lvl w:ilvl="5" w:tplc="3C1415E4" w:tentative="1">
      <w:start w:val="1"/>
      <w:numFmt w:val="bullet"/>
      <w:lvlText w:val=""/>
      <w:lvlJc w:val="left"/>
      <w:pPr>
        <w:ind w:left="4779" w:hanging="360"/>
      </w:pPr>
      <w:rPr>
        <w:rFonts w:ascii="Wingdings" w:hAnsi="Wingdings" w:hint="default"/>
      </w:rPr>
    </w:lvl>
    <w:lvl w:ilvl="6" w:tplc="1E3C3976" w:tentative="1">
      <w:start w:val="1"/>
      <w:numFmt w:val="bullet"/>
      <w:lvlText w:val=""/>
      <w:lvlJc w:val="left"/>
      <w:pPr>
        <w:ind w:left="5499" w:hanging="360"/>
      </w:pPr>
      <w:rPr>
        <w:rFonts w:ascii="Symbol" w:hAnsi="Symbol" w:hint="default"/>
      </w:rPr>
    </w:lvl>
    <w:lvl w:ilvl="7" w:tplc="B67C4ED0" w:tentative="1">
      <w:start w:val="1"/>
      <w:numFmt w:val="bullet"/>
      <w:lvlText w:val="o"/>
      <w:lvlJc w:val="left"/>
      <w:pPr>
        <w:ind w:left="6219" w:hanging="360"/>
      </w:pPr>
      <w:rPr>
        <w:rFonts w:ascii="Courier New" w:hAnsi="Courier New" w:cs="Courier New" w:hint="default"/>
      </w:rPr>
    </w:lvl>
    <w:lvl w:ilvl="8" w:tplc="00006E60" w:tentative="1">
      <w:start w:val="1"/>
      <w:numFmt w:val="bullet"/>
      <w:lvlText w:val=""/>
      <w:lvlJc w:val="left"/>
      <w:pPr>
        <w:ind w:left="6939" w:hanging="360"/>
      </w:pPr>
      <w:rPr>
        <w:rFonts w:ascii="Wingdings" w:hAnsi="Wingdings" w:hint="default"/>
      </w:rPr>
    </w:lvl>
  </w:abstractNum>
  <w:abstractNum w:abstractNumId="19" w15:restartNumberingAfterBreak="0">
    <w:nsid w:val="439E45BE"/>
    <w:multiLevelType w:val="singleLevel"/>
    <w:tmpl w:val="EEFCF72A"/>
    <w:lvl w:ilvl="0">
      <w:start w:val="3"/>
      <w:numFmt w:val="decimal"/>
      <w:lvlText w:val="3.%1."/>
      <w:lvlJc w:val="left"/>
      <w:pPr>
        <w:ind w:left="851" w:hanging="501"/>
      </w:pPr>
      <w:rPr>
        <w:rFonts w:ascii="Times New Roman" w:hAnsi="Times New Roman" w:cs="Times New Roman" w:hint="default"/>
        <w:b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BBC399C"/>
    <w:multiLevelType w:val="hybridMultilevel"/>
    <w:tmpl w:val="06380C68"/>
    <w:numStyleLink w:val="ImportedStyle3"/>
  </w:abstractNum>
  <w:abstractNum w:abstractNumId="21" w15:restartNumberingAfterBreak="0">
    <w:nsid w:val="4C82699D"/>
    <w:multiLevelType w:val="hybridMultilevel"/>
    <w:tmpl w:val="4F48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6304D"/>
    <w:multiLevelType w:val="hybridMultilevel"/>
    <w:tmpl w:val="3EEA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73B80"/>
    <w:multiLevelType w:val="hybridMultilevel"/>
    <w:tmpl w:val="47AE3896"/>
    <w:numStyleLink w:val="ImportedStyle1"/>
  </w:abstractNum>
  <w:abstractNum w:abstractNumId="24" w15:restartNumberingAfterBreak="0">
    <w:nsid w:val="5A426843"/>
    <w:multiLevelType w:val="hybridMultilevel"/>
    <w:tmpl w:val="30940C2E"/>
    <w:lvl w:ilvl="0" w:tplc="A222896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D6586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0C51B8">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81A6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64844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2C60EC">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ECA7D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6C231A">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9A4D9C">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DAB430F"/>
    <w:multiLevelType w:val="hybridMultilevel"/>
    <w:tmpl w:val="BE6E055A"/>
    <w:lvl w:ilvl="0" w:tplc="8758A24C">
      <w:start w:val="1"/>
      <w:numFmt w:val="decimal"/>
      <w:lvlText w:val="%1."/>
      <w:lvlJc w:val="left"/>
      <w:pPr>
        <w:ind w:left="4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08F820">
      <w:start w:val="1"/>
      <w:numFmt w:val="lowerLetter"/>
      <w:lvlText w:val="%2."/>
      <w:lvlJc w:val="left"/>
      <w:pPr>
        <w:ind w:left="11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60EBD4">
      <w:start w:val="1"/>
      <w:numFmt w:val="lowerRoman"/>
      <w:lvlText w:val="%3."/>
      <w:lvlJc w:val="left"/>
      <w:pPr>
        <w:ind w:left="1889"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627180">
      <w:start w:val="1"/>
      <w:numFmt w:val="decimal"/>
      <w:lvlText w:val="%4."/>
      <w:lvlJc w:val="left"/>
      <w:pPr>
        <w:ind w:left="26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02D58A">
      <w:start w:val="1"/>
      <w:numFmt w:val="lowerLetter"/>
      <w:lvlText w:val="%5."/>
      <w:lvlJc w:val="left"/>
      <w:pPr>
        <w:ind w:left="33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B60462">
      <w:start w:val="1"/>
      <w:numFmt w:val="lowerRoman"/>
      <w:lvlText w:val="%6."/>
      <w:lvlJc w:val="left"/>
      <w:pPr>
        <w:ind w:left="4049"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6A28F2">
      <w:start w:val="1"/>
      <w:numFmt w:val="decimal"/>
      <w:lvlText w:val="%7."/>
      <w:lvlJc w:val="left"/>
      <w:pPr>
        <w:ind w:left="47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C64E20">
      <w:start w:val="1"/>
      <w:numFmt w:val="lowerLetter"/>
      <w:lvlText w:val="%8."/>
      <w:lvlJc w:val="left"/>
      <w:pPr>
        <w:ind w:left="54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43336">
      <w:start w:val="1"/>
      <w:numFmt w:val="lowerRoman"/>
      <w:lvlText w:val="%9."/>
      <w:lvlJc w:val="left"/>
      <w:pPr>
        <w:ind w:left="6209"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BE642A"/>
    <w:multiLevelType w:val="hybridMultilevel"/>
    <w:tmpl w:val="BB6A57D4"/>
    <w:lvl w:ilvl="0" w:tplc="FFFFFFFF">
      <w:start w:val="1"/>
      <w:numFmt w:val="decimal"/>
      <w:lvlText w:val="%1."/>
      <w:lvlJc w:val="left"/>
      <w:pPr>
        <w:ind w:left="426"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3A2FFE">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F6B192">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AB57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801C8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14F02A">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0A660">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EB64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D29662">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442064C"/>
    <w:multiLevelType w:val="hybridMultilevel"/>
    <w:tmpl w:val="9860148E"/>
    <w:lvl w:ilvl="0" w:tplc="C346F9EC">
      <w:start w:val="1"/>
      <w:numFmt w:val="decimal"/>
      <w:lvlText w:val="%1."/>
      <w:lvlJc w:val="left"/>
      <w:pPr>
        <w:ind w:left="360" w:hanging="360"/>
      </w:pPr>
      <w:rPr>
        <w:rFonts w:hint="default"/>
      </w:rPr>
    </w:lvl>
    <w:lvl w:ilvl="1" w:tplc="70B68532">
      <w:start w:val="1"/>
      <w:numFmt w:val="bullet"/>
      <w:lvlText w:val="o"/>
      <w:lvlJc w:val="left"/>
      <w:pPr>
        <w:ind w:left="1080" w:hanging="360"/>
      </w:pPr>
      <w:rPr>
        <w:rFonts w:ascii="Courier New" w:hAnsi="Courier New" w:cs="Courier New" w:hint="default"/>
      </w:rPr>
    </w:lvl>
    <w:lvl w:ilvl="2" w:tplc="541C4A84">
      <w:start w:val="1"/>
      <w:numFmt w:val="bullet"/>
      <w:lvlText w:val=""/>
      <w:lvlJc w:val="left"/>
      <w:pPr>
        <w:ind w:left="1800" w:hanging="360"/>
      </w:pPr>
      <w:rPr>
        <w:rFonts w:ascii="Wingdings" w:hAnsi="Wingdings" w:hint="default"/>
      </w:rPr>
    </w:lvl>
    <w:lvl w:ilvl="3" w:tplc="3636118E" w:tentative="1">
      <w:start w:val="1"/>
      <w:numFmt w:val="bullet"/>
      <w:lvlText w:val=""/>
      <w:lvlJc w:val="left"/>
      <w:pPr>
        <w:ind w:left="2520" w:hanging="360"/>
      </w:pPr>
      <w:rPr>
        <w:rFonts w:ascii="Symbol" w:hAnsi="Symbol" w:hint="default"/>
      </w:rPr>
    </w:lvl>
    <w:lvl w:ilvl="4" w:tplc="D980C4CA" w:tentative="1">
      <w:start w:val="1"/>
      <w:numFmt w:val="bullet"/>
      <w:lvlText w:val="o"/>
      <w:lvlJc w:val="left"/>
      <w:pPr>
        <w:ind w:left="3240" w:hanging="360"/>
      </w:pPr>
      <w:rPr>
        <w:rFonts w:ascii="Courier New" w:hAnsi="Courier New" w:cs="Courier New" w:hint="default"/>
      </w:rPr>
    </w:lvl>
    <w:lvl w:ilvl="5" w:tplc="0AFEF968" w:tentative="1">
      <w:start w:val="1"/>
      <w:numFmt w:val="bullet"/>
      <w:lvlText w:val=""/>
      <w:lvlJc w:val="left"/>
      <w:pPr>
        <w:ind w:left="3960" w:hanging="360"/>
      </w:pPr>
      <w:rPr>
        <w:rFonts w:ascii="Wingdings" w:hAnsi="Wingdings" w:hint="default"/>
      </w:rPr>
    </w:lvl>
    <w:lvl w:ilvl="6" w:tplc="98D6D36A" w:tentative="1">
      <w:start w:val="1"/>
      <w:numFmt w:val="bullet"/>
      <w:lvlText w:val=""/>
      <w:lvlJc w:val="left"/>
      <w:pPr>
        <w:ind w:left="4680" w:hanging="360"/>
      </w:pPr>
      <w:rPr>
        <w:rFonts w:ascii="Symbol" w:hAnsi="Symbol" w:hint="default"/>
      </w:rPr>
    </w:lvl>
    <w:lvl w:ilvl="7" w:tplc="442A54BC" w:tentative="1">
      <w:start w:val="1"/>
      <w:numFmt w:val="bullet"/>
      <w:lvlText w:val="o"/>
      <w:lvlJc w:val="left"/>
      <w:pPr>
        <w:ind w:left="5400" w:hanging="360"/>
      </w:pPr>
      <w:rPr>
        <w:rFonts w:ascii="Courier New" w:hAnsi="Courier New" w:cs="Courier New" w:hint="default"/>
      </w:rPr>
    </w:lvl>
    <w:lvl w:ilvl="8" w:tplc="4B9E8186" w:tentative="1">
      <w:start w:val="1"/>
      <w:numFmt w:val="bullet"/>
      <w:lvlText w:val=""/>
      <w:lvlJc w:val="left"/>
      <w:pPr>
        <w:ind w:left="6120" w:hanging="360"/>
      </w:pPr>
      <w:rPr>
        <w:rFonts w:ascii="Wingdings" w:hAnsi="Wingdings" w:hint="default"/>
      </w:rPr>
    </w:lvl>
  </w:abstractNum>
  <w:abstractNum w:abstractNumId="28" w15:restartNumberingAfterBreak="0">
    <w:nsid w:val="66800C0F"/>
    <w:multiLevelType w:val="hybridMultilevel"/>
    <w:tmpl w:val="2AC2D14E"/>
    <w:lvl w:ilvl="0" w:tplc="1809000F">
      <w:start w:val="4"/>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A841BC8"/>
    <w:multiLevelType w:val="hybridMultilevel"/>
    <w:tmpl w:val="F8104128"/>
    <w:lvl w:ilvl="0" w:tplc="406271A4">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6BBE1D56"/>
    <w:multiLevelType w:val="hybridMultilevel"/>
    <w:tmpl w:val="287C6ECC"/>
    <w:lvl w:ilvl="0" w:tplc="1809000F">
      <w:start w:val="1"/>
      <w:numFmt w:val="lowerLetter"/>
      <w:lvlText w:val="%1."/>
      <w:lvlJc w:val="left"/>
      <w:pPr>
        <w:ind w:left="3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1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Letter"/>
      <w:lvlText w:val="%3."/>
      <w:lvlJc w:val="left"/>
      <w:pPr>
        <w:ind w:left="183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45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493" w:hanging="357"/>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decimal"/>
      <w:lvlText w:val="%6."/>
      <w:lvlJc w:val="left"/>
      <w:pPr>
        <w:ind w:left="52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56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decimal"/>
      <w:lvlText w:val="%8."/>
      <w:lvlJc w:val="left"/>
      <w:pPr>
        <w:ind w:left="59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decimal"/>
      <w:lvlText w:val="%9."/>
      <w:lvlJc w:val="left"/>
      <w:pPr>
        <w:ind w:left="62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1674C4C"/>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222ED5"/>
    <w:multiLevelType w:val="hybridMultilevel"/>
    <w:tmpl w:val="88E2E430"/>
    <w:lvl w:ilvl="0" w:tplc="5F56F92A">
      <w:start w:val="1"/>
      <w:numFmt w:val="decimal"/>
      <w:lvlText w:val="%1."/>
      <w:lvlJc w:val="left"/>
      <w:pPr>
        <w:ind w:left="360" w:hanging="360"/>
      </w:pPr>
      <w:rPr>
        <w:rFonts w:hAnsi="Arial Unicode M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8BD4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4E27E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DA095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4C661C">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FA4FF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94980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B8B352">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FA248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6F0472"/>
    <w:multiLevelType w:val="hybridMultilevel"/>
    <w:tmpl w:val="47AE3896"/>
    <w:numStyleLink w:val="ImportedStyle1"/>
  </w:abstractNum>
  <w:abstractNum w:abstractNumId="34" w15:restartNumberingAfterBreak="0">
    <w:nsid w:val="7B0C49B2"/>
    <w:multiLevelType w:val="hybridMultilevel"/>
    <w:tmpl w:val="F9F4B66C"/>
    <w:lvl w:ilvl="0" w:tplc="763081EE">
      <w:start w:val="1"/>
      <w:numFmt w:val="bullet"/>
      <w:lvlText w:val="·"/>
      <w:lvlJc w:val="left"/>
      <w:pPr>
        <w:ind w:left="3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26A9B8">
      <w:start w:val="1"/>
      <w:numFmt w:val="bullet"/>
      <w:lvlText w:val="·"/>
      <w:lvlJc w:val="left"/>
      <w:pPr>
        <w:ind w:left="11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9499EE">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503C">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76C65C">
      <w:start w:val="1"/>
      <w:numFmt w:val="bullet"/>
      <w:lvlText w:val="o"/>
      <w:lvlJc w:val="left"/>
      <w:pPr>
        <w:ind w:left="102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7A42CA">
      <w:start w:val="1"/>
      <w:numFmt w:val="bullet"/>
      <w:lvlText w:val="▪"/>
      <w:lvlJc w:val="left"/>
      <w:pPr>
        <w:ind w:left="174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D0BE4E">
      <w:start w:val="1"/>
      <w:numFmt w:val="bullet"/>
      <w:lvlText w:val="•"/>
      <w:lvlJc w:val="left"/>
      <w:pPr>
        <w:ind w:left="246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CC691A">
      <w:start w:val="1"/>
      <w:numFmt w:val="bullet"/>
      <w:lvlText w:val="o"/>
      <w:lvlJc w:val="left"/>
      <w:pPr>
        <w:ind w:left="318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006F02">
      <w:start w:val="1"/>
      <w:numFmt w:val="bullet"/>
      <w:lvlText w:val="▪"/>
      <w:lvlJc w:val="left"/>
      <w:pPr>
        <w:ind w:left="390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F070C01"/>
    <w:multiLevelType w:val="multilevel"/>
    <w:tmpl w:val="65C8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lvlOverride w:ilvl="0">
      <w:lvl w:ilvl="0" w:tplc="8C88C052">
        <w:start w:val="1"/>
        <w:numFmt w:val="decimal"/>
        <w:pStyle w:val="TechnicalBlock"/>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19"/>
  </w:num>
  <w:num w:numId="5">
    <w:abstractNumId w:val="6"/>
  </w:num>
  <w:num w:numId="6">
    <w:abstractNumId w:val="19"/>
  </w:num>
  <w:num w:numId="7">
    <w:abstractNumId w:val="17"/>
  </w:num>
  <w:num w:numId="8">
    <w:abstractNumId w:val="19"/>
  </w:num>
  <w:num w:numId="9">
    <w:abstractNumId w:val="26"/>
  </w:num>
  <w:num w:numId="10">
    <w:abstractNumId w:val="19"/>
  </w:num>
  <w:num w:numId="11">
    <w:abstractNumId w:val="9"/>
  </w:num>
  <w:num w:numId="12">
    <w:abstractNumId w:val="19"/>
  </w:num>
  <w:num w:numId="13">
    <w:abstractNumId w:val="5"/>
  </w:num>
  <w:num w:numId="14">
    <w:abstractNumId w:val="19"/>
  </w:num>
  <w:num w:numId="15">
    <w:abstractNumId w:val="3"/>
  </w:num>
  <w:num w:numId="16">
    <w:abstractNumId w:val="23"/>
    <w:lvlOverride w:ilvl="0">
      <w:startOverride w:val="4"/>
    </w:lvlOverride>
  </w:num>
  <w:num w:numId="17">
    <w:abstractNumId w:val="33"/>
  </w:num>
  <w:num w:numId="18">
    <w:abstractNumId w:val="25"/>
  </w:num>
  <w:num w:numId="19">
    <w:abstractNumId w:val="4"/>
  </w:num>
  <w:num w:numId="20">
    <w:abstractNumId w:val="20"/>
  </w:num>
  <w:num w:numId="21">
    <w:abstractNumId w:val="11"/>
  </w:num>
  <w:num w:numId="22">
    <w:abstractNumId w:val="24"/>
  </w:num>
  <w:num w:numId="23">
    <w:abstractNumId w:val="2"/>
  </w:num>
  <w:num w:numId="24">
    <w:abstractNumId w:val="33"/>
    <w:lvlOverride w:ilvl="0">
      <w:startOverride w:val="1"/>
      <w:lvl w:ilvl="0" w:tplc="F4E8135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45A8D598">
        <w:start w:val="5"/>
        <w:numFmt w:val="decimal"/>
        <w:lvlText w:val="%2."/>
        <w:lvlJc w:val="left"/>
        <w:pPr>
          <w:ind w:left="11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26876E">
        <w:start w:val="1"/>
        <w:numFmt w:val="lowerRoman"/>
        <w:lvlText w:val="%3."/>
        <w:lvlJc w:val="left"/>
        <w:pPr>
          <w:ind w:left="185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546B26">
        <w:start w:val="1"/>
        <w:numFmt w:val="decimal"/>
        <w:lvlText w:val="%4."/>
        <w:lvlJc w:val="left"/>
        <w:pPr>
          <w:ind w:left="25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14E988">
        <w:start w:val="1"/>
        <w:numFmt w:val="lowerLetter"/>
        <w:lvlText w:val="%5."/>
        <w:lvlJc w:val="left"/>
        <w:pPr>
          <w:ind w:left="32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7EE2AE">
        <w:start w:val="1"/>
        <w:numFmt w:val="lowerRoman"/>
        <w:lvlText w:val="%6."/>
        <w:lvlJc w:val="left"/>
        <w:pPr>
          <w:ind w:left="401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1E14D6">
        <w:start w:val="1"/>
        <w:numFmt w:val="decimal"/>
        <w:lvlText w:val="%7."/>
        <w:lvlJc w:val="left"/>
        <w:pPr>
          <w:ind w:left="47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345A4A">
        <w:start w:val="1"/>
        <w:numFmt w:val="lowerLetter"/>
        <w:lvlText w:val="%8."/>
        <w:lvlJc w:val="left"/>
        <w:pPr>
          <w:ind w:left="54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EAC24E">
        <w:start w:val="1"/>
        <w:numFmt w:val="lowerRoman"/>
        <w:lvlText w:val="%9."/>
        <w:lvlJc w:val="left"/>
        <w:pPr>
          <w:ind w:left="6174"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2"/>
  </w:num>
  <w:num w:numId="26">
    <w:abstractNumId w:val="33"/>
    <w:lvlOverride w:ilvl="0">
      <w:startOverride w:val="1"/>
      <w:lvl w:ilvl="0" w:tplc="F4E8135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45A8D598">
        <w:start w:val="6"/>
        <w:numFmt w:val="decimal"/>
        <w:lvlText w:val="%2."/>
        <w:lvlJc w:val="left"/>
        <w:pPr>
          <w:ind w:left="11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26876E">
        <w:start w:val="1"/>
        <w:numFmt w:val="lowerRoman"/>
        <w:lvlText w:val="%3."/>
        <w:lvlJc w:val="left"/>
        <w:pPr>
          <w:ind w:left="185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546B26">
        <w:start w:val="1"/>
        <w:numFmt w:val="decimal"/>
        <w:lvlText w:val="%4."/>
        <w:lvlJc w:val="left"/>
        <w:pPr>
          <w:ind w:left="25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14E988">
        <w:start w:val="1"/>
        <w:numFmt w:val="lowerLetter"/>
        <w:lvlText w:val="%5."/>
        <w:lvlJc w:val="left"/>
        <w:pPr>
          <w:ind w:left="32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7EE2AE">
        <w:start w:val="1"/>
        <w:numFmt w:val="lowerRoman"/>
        <w:lvlText w:val="%6."/>
        <w:lvlJc w:val="left"/>
        <w:pPr>
          <w:ind w:left="401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1E14D6">
        <w:start w:val="1"/>
        <w:numFmt w:val="decimal"/>
        <w:lvlText w:val="%7."/>
        <w:lvlJc w:val="left"/>
        <w:pPr>
          <w:ind w:left="47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345A4A">
        <w:start w:val="1"/>
        <w:numFmt w:val="lowerLetter"/>
        <w:lvlText w:val="%8."/>
        <w:lvlJc w:val="left"/>
        <w:pPr>
          <w:ind w:left="54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EAC24E">
        <w:start w:val="1"/>
        <w:numFmt w:val="lowerRoman"/>
        <w:lvlText w:val="%9."/>
        <w:lvlJc w:val="left"/>
        <w:pPr>
          <w:ind w:left="6174"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0"/>
  </w:num>
  <w:num w:numId="28">
    <w:abstractNumId w:val="34"/>
  </w:num>
  <w:num w:numId="29">
    <w:abstractNumId w:val="33"/>
    <w:lvlOverride w:ilvl="0">
      <w:startOverride w:val="4"/>
    </w:lvlOverride>
  </w:num>
  <w:num w:numId="30">
    <w:abstractNumId w:val="27"/>
  </w:num>
  <w:num w:numId="31">
    <w:abstractNumId w:val="12"/>
  </w:num>
  <w:num w:numId="32">
    <w:abstractNumId w:val="15"/>
  </w:num>
  <w:num w:numId="33">
    <w:abstractNumId w:val="18"/>
  </w:num>
  <w:num w:numId="34">
    <w:abstractNumId w:val="0"/>
  </w:num>
  <w:num w:numId="35">
    <w:abstractNumId w:val="14"/>
  </w:num>
  <w:num w:numId="36">
    <w:abstractNumId w:val="28"/>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31"/>
  </w:num>
  <w:num w:numId="39">
    <w:abstractNumId w:val="7"/>
  </w:num>
  <w:num w:numId="40">
    <w:abstractNumId w:val="29"/>
  </w:num>
  <w:num w:numId="41">
    <w:abstractNumId w:val="35"/>
  </w:num>
  <w:num w:numId="42">
    <w:abstractNumId w:val="13"/>
  </w:num>
  <w:num w:numId="43">
    <w:abstractNumId w:val="10"/>
  </w:num>
  <w:num w:numId="44">
    <w:abstractNumId w:val="22"/>
  </w:num>
  <w:num w:numId="45">
    <w:abstractNumId w:val="2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en-IE"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true"/>
    <w:docVar w:name="DocStatus" w:val="Green"/>
    <w:docVar w:name="DocuWriteMetaData" w:val="&lt;metadataset docuwriteversion=&quot;4.6.7&quot; technicalblockguid=&quot;5610343178963826270&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2-06-23&lt;/text&gt;_x000d__x000a_  &lt;/metadata&gt;_x000d__x000a_  &lt;metadata key=&quot;md_Prefix&quot;&gt;_x000d__x000a_    &lt;text&gt;&lt;/text&gt;_x000d__x000a_  &lt;/metadata&gt;_x000d__x000a_  &lt;metadata key=&quot;md_DocumentNumber&quot;&gt;_x000d__x000a_    &lt;text&gt;10649&lt;/text&gt;_x000d__x000a_  &lt;/metadata&gt;_x000d__x000a_  &lt;metadata key=&quot;md_YearDocumentNumber&quot;&gt;_x000d__x000a_    &lt;text&gt;2022&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OLCOM 68&lt;/text&gt;_x000d__x000a_      &lt;text&gt;WTO 126&lt;/text&gt;_x000d__x000a_      &lt;text&gt;SERVICES 8&lt;/text&gt;_x000d__x000a_      &lt;text&gt;FDI 9&lt;/text&gt;_x000d__x000a_      &lt;text&gt;COMER 81&lt;/text&gt;_x000d__x000a_      &lt;text&gt;ENV 664&lt;/text&gt;_x000d__x000a_      &lt;text&gt;SOC 402&lt;/text&gt;_x000d__x000a_      &lt;text&gt;COMPET 543&lt;/text&gt;_x000d__x000a_      &lt;text&gt;DEVGEN 131&lt;/text&gt;_x000d__x000a_      &lt;text&gt;RELEX 88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za generalno sekretarko Evropske komisije: direktorica Martine DEPREZ&quot; /&gt;_x000d__x000a_    &lt;/basicdatatype&gt;_x000d__x000a_  &lt;/metadata&gt;_x000d__x000a_  &lt;metadata key=&quot;md_Recipient&quot;&gt;_x000d__x000a_    &lt;basicdatatype&gt;_x000d__x000a_      &lt;recipient key=&quot;re_11&quot; text=&quot;Generalni sekretariat Sveta&quot; /&gt;_x000d__x000a_    &lt;/basicdatatype&gt;_x000d__x000a_  &lt;/metadata&gt;_x000d__x000a_  &lt;metadata key=&quot;md_DateOfReceipt&quot;&gt;_x000d__x000a_    &lt;text&gt;2022-06-23&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2) 409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SPORO&amp;#268;ILO KOMISIJE EVROPSKEMU PARLAMENTU, SVETU, EVROPSKEMU EKONOMSKO-SOCIALNEMU ODBORU IN ODBORU REGIJ Mo&amp;#269; trgovinskih partnerstev: skupaj za zeleno in pravi&amp;#269;no gospodarsko rast&quot;&gt;&amp;lt;FlowDocument FontFamily=&quot;Segoe UI&quot; FontSize=&quot;12&quot; PagePadding=&quot;2,2,2,2&quot; AllowDrop=&quot;False&quot; xmlns=&quot;http://schemas.microsoft.com/winfx/2006/xaml/presentation&quot;&amp;gt;&amp;lt;Paragraph&amp;gt;SPORO&amp;#268;ILO KOMISIJE EVROPSKEMU PARLAMENTU, SVETU, EVROPSKEMU EKONOMSKO-SOCIALNEMU ODBORU IN ODBORU REGIJ Mo&amp;#269; trgovinskih partnerstev: skupaj za zeleno in pravi&amp;#269;no gospodarsko rast&amp;lt;/Paragraph&amp;gt;&amp;lt;/FlowDocument&amp;gt;&lt;/xaml&gt;_x000d__x000a_  &lt;/metadata&gt;_x000d__x000a_  &lt;metadata key=&quot;md_SubjectFootnote&quot; /&gt;_x000d__x000a_  &lt;metadata key=&quot;md_DG&quot;&gt;_x000d__x000a_    &lt;text&gt;COMPET.3&lt;/text&gt;_x000d__x000a_  &lt;/metadata&gt;_x000d__x000a_  &lt;metadata key=&quot;md_Initials&quot;&gt;_x000d__x000a_    &lt;text&gt;med&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SPORO&amp;#268;ILO KOMISIJE EVROPSKEMU PARLAMENTU, SVETU, EVROPSKEMU EKONOMSKO-SOCIALNEMU ODBORU IN ODBORU REGIJ&lt;/text&gt;_x000d__x000a_  &lt;/metadata&gt;_x000d__x000a_  &lt;metadata key=&quot;md_SourceDocTitle&quot;&gt;_x000d__x000a_    &lt;text&gt;Mo&amp;#269; trgovinskih partnerstev: skupaj za zeleno in pravi&amp;#269;no gospodarsko rast&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LW_ACCOMPAGNANT.CP" w:val="&lt;UNUSED&gt;"/>
    <w:docVar w:name="LW_CORRIGENDUM" w:val="&lt;UNUSED&gt;"/>
    <w:docVar w:name="LW_COVERPAGE_EXISTS" w:val="True"/>
    <w:docVar w:name="LW_COVERPAGE_GUID" w:val="3D6ACDFA-1EAE-4840-921D-D42CB9D7EF79"/>
    <w:docVar w:name="LW_COVERPAGE_TYPE" w:val="1"/>
    <w:docVar w:name="LW_CROSSREFERENCE" w:val="&lt;UNUSED&gt;"/>
    <w:docVar w:name="LW_DATE.ADOPT.CP_ISODATE" w:val="&lt;EMPTY&gt;"/>
    <w:docVar w:name="LW_DocType" w:val="NORMAL"/>
    <w:docVar w:name="LW_EMISSION" w:val="22.6.2022"/>
    <w:docVar w:name="LW_EMISSION_ISODATE" w:val="2022-06-22"/>
    <w:docVar w:name="LW_EMISSION_LOCATION" w:val="BRX"/>
    <w:docVar w:name="LW_EMISSION_PREFIX" w:val="Bruselj, "/>
    <w:docVar w:name="LW_EMISSION_SUFFIX" w:val=" "/>
    <w:docVar w:name="LW_ID_DOCTYPE_NONLW" w:val="CP-014"/>
    <w:docVar w:name="LW_INTERETEEE.CP" w:val="&lt;UNUSED&gt;"/>
    <w:docVar w:name="LW_LANGUE" w:val="SL"/>
    <w:docVar w:name="LW_LANGUESFAISANTFOI.CP" w:val="&lt;UNUSED&gt;"/>
    <w:docVar w:name="LW_LEVEL_OF_SENSITIVITY" w:val="Standard treatment"/>
    <w:docVar w:name="LW_NOM.INST" w:val="EVROPSKA KOMISIJ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2"/>
    <w:docVar w:name="LW_REF.INST.NEW" w:val="COM"/>
    <w:docVar w:name="LW_REF.INST.NEW_ADOPTED" w:val="final"/>
    <w:docVar w:name="LW_REF.INST.NEW_TEXT" w:val="(2022) 4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Moč trgovinskih partnerstev: skupaj za zeleno in pravično gospodarsko rast"/>
    <w:docVar w:name="LW_TYPE.DOC.CP" w:val="SPOROČILO KOMISIJE EVROPSKEMU PARLAMENTU, SVETU, EVROPSKEMU EKONOMSKO-SOCIALNEMU ODBORU IN ODBORU REGIJ"/>
    <w:docVar w:name="LW_TYPE.DOC.CP.USERTEXT" w:val="&lt;EMPTY&gt;"/>
    <w:docVar w:name="LW_TYPEACTEPRINCIPAL.CP" w:val="&lt;UNUSED&gt;"/>
    <w:docVar w:name="LwApiVersions" w:val="LW4CoDe 1.23.2.0; LW 8.0, Build 20211117"/>
  </w:docVars>
  <w:rsids>
    <w:rsidRoot w:val="007E6F5E"/>
    <w:rsid w:val="00000635"/>
    <w:rsid w:val="000040D9"/>
    <w:rsid w:val="0000425C"/>
    <w:rsid w:val="00004504"/>
    <w:rsid w:val="00004E9A"/>
    <w:rsid w:val="00011967"/>
    <w:rsid w:val="00011C9A"/>
    <w:rsid w:val="0001251E"/>
    <w:rsid w:val="000134E6"/>
    <w:rsid w:val="000171AA"/>
    <w:rsid w:val="000202C9"/>
    <w:rsid w:val="000203D2"/>
    <w:rsid w:val="00022235"/>
    <w:rsid w:val="00022808"/>
    <w:rsid w:val="000235F9"/>
    <w:rsid w:val="00025B7D"/>
    <w:rsid w:val="00025FE7"/>
    <w:rsid w:val="000276B1"/>
    <w:rsid w:val="00033B68"/>
    <w:rsid w:val="00034430"/>
    <w:rsid w:val="00034BE0"/>
    <w:rsid w:val="0003738A"/>
    <w:rsid w:val="0004074F"/>
    <w:rsid w:val="00041950"/>
    <w:rsid w:val="0004489F"/>
    <w:rsid w:val="00044BA2"/>
    <w:rsid w:val="00052F74"/>
    <w:rsid w:val="000538EC"/>
    <w:rsid w:val="00054C55"/>
    <w:rsid w:val="0005522B"/>
    <w:rsid w:val="000558DA"/>
    <w:rsid w:val="000600C3"/>
    <w:rsid w:val="000604B0"/>
    <w:rsid w:val="000606BD"/>
    <w:rsid w:val="00061361"/>
    <w:rsid w:val="000622A1"/>
    <w:rsid w:val="000622DE"/>
    <w:rsid w:val="0006391D"/>
    <w:rsid w:val="00065045"/>
    <w:rsid w:val="0006671A"/>
    <w:rsid w:val="00066B41"/>
    <w:rsid w:val="00067AEB"/>
    <w:rsid w:val="0007265E"/>
    <w:rsid w:val="000729B7"/>
    <w:rsid w:val="00073A7F"/>
    <w:rsid w:val="00074094"/>
    <w:rsid w:val="000743F8"/>
    <w:rsid w:val="000752CD"/>
    <w:rsid w:val="00075B74"/>
    <w:rsid w:val="000763AB"/>
    <w:rsid w:val="00076A95"/>
    <w:rsid w:val="00077386"/>
    <w:rsid w:val="00077CB6"/>
    <w:rsid w:val="00077D58"/>
    <w:rsid w:val="00080CC3"/>
    <w:rsid w:val="00080E08"/>
    <w:rsid w:val="00080FDB"/>
    <w:rsid w:val="00081D02"/>
    <w:rsid w:val="0008322D"/>
    <w:rsid w:val="000838D1"/>
    <w:rsid w:val="00083945"/>
    <w:rsid w:val="00085D6D"/>
    <w:rsid w:val="00086F3C"/>
    <w:rsid w:val="00087086"/>
    <w:rsid w:val="000870BF"/>
    <w:rsid w:val="00090E1A"/>
    <w:rsid w:val="000910EE"/>
    <w:rsid w:val="00091C85"/>
    <w:rsid w:val="0009624C"/>
    <w:rsid w:val="000972D6"/>
    <w:rsid w:val="000A06CA"/>
    <w:rsid w:val="000A15A1"/>
    <w:rsid w:val="000A1748"/>
    <w:rsid w:val="000A176B"/>
    <w:rsid w:val="000A1F1D"/>
    <w:rsid w:val="000A3DEE"/>
    <w:rsid w:val="000A3EE8"/>
    <w:rsid w:val="000A4274"/>
    <w:rsid w:val="000A6123"/>
    <w:rsid w:val="000A6B1B"/>
    <w:rsid w:val="000A7B5F"/>
    <w:rsid w:val="000A7CAB"/>
    <w:rsid w:val="000B0F9A"/>
    <w:rsid w:val="000B15D3"/>
    <w:rsid w:val="000B173E"/>
    <w:rsid w:val="000B540A"/>
    <w:rsid w:val="000B56BE"/>
    <w:rsid w:val="000B6598"/>
    <w:rsid w:val="000B7731"/>
    <w:rsid w:val="000C59C5"/>
    <w:rsid w:val="000C5FD2"/>
    <w:rsid w:val="000C652A"/>
    <w:rsid w:val="000C753D"/>
    <w:rsid w:val="000C78E2"/>
    <w:rsid w:val="000D047A"/>
    <w:rsid w:val="000D0BCC"/>
    <w:rsid w:val="000D1E6F"/>
    <w:rsid w:val="000D382B"/>
    <w:rsid w:val="000D609A"/>
    <w:rsid w:val="000E0632"/>
    <w:rsid w:val="000E0D7A"/>
    <w:rsid w:val="000E2457"/>
    <w:rsid w:val="000E4726"/>
    <w:rsid w:val="000E49C0"/>
    <w:rsid w:val="000E61A6"/>
    <w:rsid w:val="000E6265"/>
    <w:rsid w:val="000E6D3E"/>
    <w:rsid w:val="000E73B9"/>
    <w:rsid w:val="000E7518"/>
    <w:rsid w:val="000F075F"/>
    <w:rsid w:val="000F2426"/>
    <w:rsid w:val="000F3DFC"/>
    <w:rsid w:val="000F6090"/>
    <w:rsid w:val="000F780C"/>
    <w:rsid w:val="001004C0"/>
    <w:rsid w:val="00102D87"/>
    <w:rsid w:val="00107F02"/>
    <w:rsid w:val="00114E8E"/>
    <w:rsid w:val="00115E48"/>
    <w:rsid w:val="00116CC6"/>
    <w:rsid w:val="0012225C"/>
    <w:rsid w:val="00122B1C"/>
    <w:rsid w:val="001233E0"/>
    <w:rsid w:val="001269C3"/>
    <w:rsid w:val="00127048"/>
    <w:rsid w:val="00127DAC"/>
    <w:rsid w:val="00130C7F"/>
    <w:rsid w:val="00133DF7"/>
    <w:rsid w:val="001349CB"/>
    <w:rsid w:val="00134A18"/>
    <w:rsid w:val="00134E99"/>
    <w:rsid w:val="00135F1C"/>
    <w:rsid w:val="001360BA"/>
    <w:rsid w:val="001412D2"/>
    <w:rsid w:val="00142F91"/>
    <w:rsid w:val="00144C3B"/>
    <w:rsid w:val="00145785"/>
    <w:rsid w:val="00146B7B"/>
    <w:rsid w:val="00151204"/>
    <w:rsid w:val="001551F6"/>
    <w:rsid w:val="0015662A"/>
    <w:rsid w:val="001573C8"/>
    <w:rsid w:val="00161619"/>
    <w:rsid w:val="0016417F"/>
    <w:rsid w:val="001659AF"/>
    <w:rsid w:val="00165E05"/>
    <w:rsid w:val="00166142"/>
    <w:rsid w:val="0016727A"/>
    <w:rsid w:val="001678AF"/>
    <w:rsid w:val="001709F6"/>
    <w:rsid w:val="001734EC"/>
    <w:rsid w:val="0017404F"/>
    <w:rsid w:val="001765C0"/>
    <w:rsid w:val="00177203"/>
    <w:rsid w:val="001775A7"/>
    <w:rsid w:val="00177E78"/>
    <w:rsid w:val="00183EC3"/>
    <w:rsid w:val="00184070"/>
    <w:rsid w:val="00186827"/>
    <w:rsid w:val="001878D7"/>
    <w:rsid w:val="001918B8"/>
    <w:rsid w:val="0019381B"/>
    <w:rsid w:val="00193A67"/>
    <w:rsid w:val="0019619F"/>
    <w:rsid w:val="00196E35"/>
    <w:rsid w:val="001A01A5"/>
    <w:rsid w:val="001A15AA"/>
    <w:rsid w:val="001A1FDA"/>
    <w:rsid w:val="001A2D4E"/>
    <w:rsid w:val="001A327B"/>
    <w:rsid w:val="001A3889"/>
    <w:rsid w:val="001A4896"/>
    <w:rsid w:val="001A63D3"/>
    <w:rsid w:val="001B119A"/>
    <w:rsid w:val="001B22DB"/>
    <w:rsid w:val="001B285D"/>
    <w:rsid w:val="001B29D2"/>
    <w:rsid w:val="001B3FA7"/>
    <w:rsid w:val="001B5429"/>
    <w:rsid w:val="001C1574"/>
    <w:rsid w:val="001D1784"/>
    <w:rsid w:val="001D1F92"/>
    <w:rsid w:val="001D3A9D"/>
    <w:rsid w:val="001D58F9"/>
    <w:rsid w:val="001D6675"/>
    <w:rsid w:val="001D7846"/>
    <w:rsid w:val="001D7880"/>
    <w:rsid w:val="001E38D4"/>
    <w:rsid w:val="001E443E"/>
    <w:rsid w:val="001E5B01"/>
    <w:rsid w:val="001E75A2"/>
    <w:rsid w:val="001E7F55"/>
    <w:rsid w:val="001F02ED"/>
    <w:rsid w:val="001F06F2"/>
    <w:rsid w:val="001F1776"/>
    <w:rsid w:val="001F3051"/>
    <w:rsid w:val="001F44C3"/>
    <w:rsid w:val="001F5CDC"/>
    <w:rsid w:val="001F6FFE"/>
    <w:rsid w:val="001F7700"/>
    <w:rsid w:val="00200118"/>
    <w:rsid w:val="00201D18"/>
    <w:rsid w:val="00205505"/>
    <w:rsid w:val="00205C7B"/>
    <w:rsid w:val="00206A36"/>
    <w:rsid w:val="0021153A"/>
    <w:rsid w:val="002119F2"/>
    <w:rsid w:val="00212FF8"/>
    <w:rsid w:val="002163C1"/>
    <w:rsid w:val="00217AD0"/>
    <w:rsid w:val="0022099B"/>
    <w:rsid w:val="002211CE"/>
    <w:rsid w:val="002225AA"/>
    <w:rsid w:val="00223506"/>
    <w:rsid w:val="00223788"/>
    <w:rsid w:val="002239D2"/>
    <w:rsid w:val="00227131"/>
    <w:rsid w:val="002302B6"/>
    <w:rsid w:val="00230F3F"/>
    <w:rsid w:val="00231E78"/>
    <w:rsid w:val="00234B7C"/>
    <w:rsid w:val="002361D3"/>
    <w:rsid w:val="00241126"/>
    <w:rsid w:val="00241999"/>
    <w:rsid w:val="0024793D"/>
    <w:rsid w:val="00247F2F"/>
    <w:rsid w:val="002524D7"/>
    <w:rsid w:val="0025342B"/>
    <w:rsid w:val="0025533C"/>
    <w:rsid w:val="00256229"/>
    <w:rsid w:val="00257700"/>
    <w:rsid w:val="002620E1"/>
    <w:rsid w:val="002642C1"/>
    <w:rsid w:val="0026538F"/>
    <w:rsid w:val="00266AC3"/>
    <w:rsid w:val="00271445"/>
    <w:rsid w:val="00271930"/>
    <w:rsid w:val="00271D68"/>
    <w:rsid w:val="00272807"/>
    <w:rsid w:val="00272D43"/>
    <w:rsid w:val="00272E82"/>
    <w:rsid w:val="00273210"/>
    <w:rsid w:val="00274176"/>
    <w:rsid w:val="00274930"/>
    <w:rsid w:val="00274CC0"/>
    <w:rsid w:val="00274DC3"/>
    <w:rsid w:val="00277C90"/>
    <w:rsid w:val="002806D1"/>
    <w:rsid w:val="00280865"/>
    <w:rsid w:val="002830CF"/>
    <w:rsid w:val="00284CAE"/>
    <w:rsid w:val="002875E3"/>
    <w:rsid w:val="002918DA"/>
    <w:rsid w:val="00293933"/>
    <w:rsid w:val="002A070D"/>
    <w:rsid w:val="002A214D"/>
    <w:rsid w:val="002A31F7"/>
    <w:rsid w:val="002A3BC5"/>
    <w:rsid w:val="002A47CC"/>
    <w:rsid w:val="002A5F7B"/>
    <w:rsid w:val="002A6D0F"/>
    <w:rsid w:val="002A708C"/>
    <w:rsid w:val="002B14F4"/>
    <w:rsid w:val="002B4112"/>
    <w:rsid w:val="002B6B02"/>
    <w:rsid w:val="002C101E"/>
    <w:rsid w:val="002C3095"/>
    <w:rsid w:val="002C3740"/>
    <w:rsid w:val="002C5625"/>
    <w:rsid w:val="002C6546"/>
    <w:rsid w:val="002D0E31"/>
    <w:rsid w:val="002D24DA"/>
    <w:rsid w:val="002D2615"/>
    <w:rsid w:val="002D29A1"/>
    <w:rsid w:val="002D312B"/>
    <w:rsid w:val="002D7755"/>
    <w:rsid w:val="002D779A"/>
    <w:rsid w:val="002E117B"/>
    <w:rsid w:val="002E201D"/>
    <w:rsid w:val="002E3E5D"/>
    <w:rsid w:val="002E70E9"/>
    <w:rsid w:val="002F01DF"/>
    <w:rsid w:val="002F2145"/>
    <w:rsid w:val="002F30C9"/>
    <w:rsid w:val="002F377E"/>
    <w:rsid w:val="002F39BA"/>
    <w:rsid w:val="00302232"/>
    <w:rsid w:val="003027BC"/>
    <w:rsid w:val="00303C34"/>
    <w:rsid w:val="00303E8A"/>
    <w:rsid w:val="00304BE6"/>
    <w:rsid w:val="00310F02"/>
    <w:rsid w:val="00312591"/>
    <w:rsid w:val="00314137"/>
    <w:rsid w:val="00314145"/>
    <w:rsid w:val="003144DD"/>
    <w:rsid w:val="00314605"/>
    <w:rsid w:val="003146D9"/>
    <w:rsid w:val="00315A1F"/>
    <w:rsid w:val="00316ADB"/>
    <w:rsid w:val="00317301"/>
    <w:rsid w:val="00317630"/>
    <w:rsid w:val="003228A4"/>
    <w:rsid w:val="00322BE8"/>
    <w:rsid w:val="00322FBB"/>
    <w:rsid w:val="00323945"/>
    <w:rsid w:val="0032464E"/>
    <w:rsid w:val="00324BFB"/>
    <w:rsid w:val="00324E87"/>
    <w:rsid w:val="00325DB3"/>
    <w:rsid w:val="00330B13"/>
    <w:rsid w:val="00336649"/>
    <w:rsid w:val="00336C0A"/>
    <w:rsid w:val="00337784"/>
    <w:rsid w:val="0034083C"/>
    <w:rsid w:val="00343F51"/>
    <w:rsid w:val="0034624A"/>
    <w:rsid w:val="003479B8"/>
    <w:rsid w:val="00347D08"/>
    <w:rsid w:val="003527E1"/>
    <w:rsid w:val="00353484"/>
    <w:rsid w:val="00362331"/>
    <w:rsid w:val="003626C5"/>
    <w:rsid w:val="00362AF8"/>
    <w:rsid w:val="00363F2D"/>
    <w:rsid w:val="00365171"/>
    <w:rsid w:val="0036688D"/>
    <w:rsid w:val="00367FFE"/>
    <w:rsid w:val="0037134B"/>
    <w:rsid w:val="00373E01"/>
    <w:rsid w:val="00374B73"/>
    <w:rsid w:val="003761A2"/>
    <w:rsid w:val="00377D69"/>
    <w:rsid w:val="00377DED"/>
    <w:rsid w:val="00381BCB"/>
    <w:rsid w:val="00382D91"/>
    <w:rsid w:val="003854C6"/>
    <w:rsid w:val="00385C1E"/>
    <w:rsid w:val="00390743"/>
    <w:rsid w:val="00390AEF"/>
    <w:rsid w:val="00393CAC"/>
    <w:rsid w:val="00394187"/>
    <w:rsid w:val="003977B9"/>
    <w:rsid w:val="003A0CEF"/>
    <w:rsid w:val="003A2D18"/>
    <w:rsid w:val="003A4708"/>
    <w:rsid w:val="003A54F0"/>
    <w:rsid w:val="003A55E9"/>
    <w:rsid w:val="003A6492"/>
    <w:rsid w:val="003A6A79"/>
    <w:rsid w:val="003A6B28"/>
    <w:rsid w:val="003B1C75"/>
    <w:rsid w:val="003B396B"/>
    <w:rsid w:val="003B5167"/>
    <w:rsid w:val="003C23ED"/>
    <w:rsid w:val="003C3FB9"/>
    <w:rsid w:val="003C5B87"/>
    <w:rsid w:val="003C5BC6"/>
    <w:rsid w:val="003C73A6"/>
    <w:rsid w:val="003D0128"/>
    <w:rsid w:val="003D089E"/>
    <w:rsid w:val="003D09EF"/>
    <w:rsid w:val="003D0ABD"/>
    <w:rsid w:val="003D46FB"/>
    <w:rsid w:val="003D4A9E"/>
    <w:rsid w:val="003D674C"/>
    <w:rsid w:val="003D6B7B"/>
    <w:rsid w:val="003D6BC2"/>
    <w:rsid w:val="003D6C12"/>
    <w:rsid w:val="003D75FF"/>
    <w:rsid w:val="003E442A"/>
    <w:rsid w:val="003E698B"/>
    <w:rsid w:val="003E7510"/>
    <w:rsid w:val="003F04D6"/>
    <w:rsid w:val="003F295A"/>
    <w:rsid w:val="003F2EB5"/>
    <w:rsid w:val="003F2F27"/>
    <w:rsid w:val="003F3C25"/>
    <w:rsid w:val="003F6983"/>
    <w:rsid w:val="003F75DF"/>
    <w:rsid w:val="00402CF9"/>
    <w:rsid w:val="0040416A"/>
    <w:rsid w:val="00405664"/>
    <w:rsid w:val="0040679B"/>
    <w:rsid w:val="00407A14"/>
    <w:rsid w:val="004101A9"/>
    <w:rsid w:val="00411824"/>
    <w:rsid w:val="00414102"/>
    <w:rsid w:val="00414C73"/>
    <w:rsid w:val="004165AE"/>
    <w:rsid w:val="00417B0D"/>
    <w:rsid w:val="00421A47"/>
    <w:rsid w:val="004234AA"/>
    <w:rsid w:val="004235F9"/>
    <w:rsid w:val="004266DE"/>
    <w:rsid w:val="00432567"/>
    <w:rsid w:val="00432CCF"/>
    <w:rsid w:val="00433576"/>
    <w:rsid w:val="004353EF"/>
    <w:rsid w:val="0044067B"/>
    <w:rsid w:val="00441A86"/>
    <w:rsid w:val="00441E76"/>
    <w:rsid w:val="0044291C"/>
    <w:rsid w:val="0044343B"/>
    <w:rsid w:val="00444833"/>
    <w:rsid w:val="004450C1"/>
    <w:rsid w:val="00446CE5"/>
    <w:rsid w:val="004500F5"/>
    <w:rsid w:val="0045051B"/>
    <w:rsid w:val="0045091C"/>
    <w:rsid w:val="00450BEB"/>
    <w:rsid w:val="00450C0B"/>
    <w:rsid w:val="00452DE5"/>
    <w:rsid w:val="004538FB"/>
    <w:rsid w:val="004606B3"/>
    <w:rsid w:val="00460BF1"/>
    <w:rsid w:val="004617F4"/>
    <w:rsid w:val="00462ACE"/>
    <w:rsid w:val="0046474A"/>
    <w:rsid w:val="00466E0A"/>
    <w:rsid w:val="00467F99"/>
    <w:rsid w:val="00470379"/>
    <w:rsid w:val="004772C1"/>
    <w:rsid w:val="00480536"/>
    <w:rsid w:val="00480A66"/>
    <w:rsid w:val="00480CCA"/>
    <w:rsid w:val="00480F21"/>
    <w:rsid w:val="00486F6C"/>
    <w:rsid w:val="00492323"/>
    <w:rsid w:val="00492F8B"/>
    <w:rsid w:val="00493FD6"/>
    <w:rsid w:val="004953A4"/>
    <w:rsid w:val="004A16C7"/>
    <w:rsid w:val="004A1A76"/>
    <w:rsid w:val="004A2BDB"/>
    <w:rsid w:val="004A4954"/>
    <w:rsid w:val="004A6F96"/>
    <w:rsid w:val="004A75F0"/>
    <w:rsid w:val="004B159A"/>
    <w:rsid w:val="004B3BC5"/>
    <w:rsid w:val="004B4596"/>
    <w:rsid w:val="004B469E"/>
    <w:rsid w:val="004B55E2"/>
    <w:rsid w:val="004B5FEF"/>
    <w:rsid w:val="004B6DC9"/>
    <w:rsid w:val="004B7ECE"/>
    <w:rsid w:val="004C07D5"/>
    <w:rsid w:val="004C1A84"/>
    <w:rsid w:val="004C775A"/>
    <w:rsid w:val="004D1E90"/>
    <w:rsid w:val="004D28E0"/>
    <w:rsid w:val="004D2B23"/>
    <w:rsid w:val="004D73F8"/>
    <w:rsid w:val="004D7857"/>
    <w:rsid w:val="004E0610"/>
    <w:rsid w:val="004E0779"/>
    <w:rsid w:val="004E1184"/>
    <w:rsid w:val="004E198B"/>
    <w:rsid w:val="004E41A8"/>
    <w:rsid w:val="004E429F"/>
    <w:rsid w:val="004E57CE"/>
    <w:rsid w:val="004E6F58"/>
    <w:rsid w:val="004F0442"/>
    <w:rsid w:val="004F3ABD"/>
    <w:rsid w:val="004F4095"/>
    <w:rsid w:val="004F7B85"/>
    <w:rsid w:val="00500CD5"/>
    <w:rsid w:val="00504727"/>
    <w:rsid w:val="005052E7"/>
    <w:rsid w:val="0051125A"/>
    <w:rsid w:val="00511DD4"/>
    <w:rsid w:val="0051684D"/>
    <w:rsid w:val="0052206E"/>
    <w:rsid w:val="00522E6C"/>
    <w:rsid w:val="00522F32"/>
    <w:rsid w:val="00526E1C"/>
    <w:rsid w:val="0053053E"/>
    <w:rsid w:val="005330E3"/>
    <w:rsid w:val="00533CC5"/>
    <w:rsid w:val="00534014"/>
    <w:rsid w:val="0053543F"/>
    <w:rsid w:val="00536178"/>
    <w:rsid w:val="00537F24"/>
    <w:rsid w:val="00541FD7"/>
    <w:rsid w:val="0054245C"/>
    <w:rsid w:val="0054321B"/>
    <w:rsid w:val="00546A83"/>
    <w:rsid w:val="00546EE1"/>
    <w:rsid w:val="005477C0"/>
    <w:rsid w:val="005502A4"/>
    <w:rsid w:val="00550FC0"/>
    <w:rsid w:val="00550FD0"/>
    <w:rsid w:val="00556712"/>
    <w:rsid w:val="00556C0C"/>
    <w:rsid w:val="00556D95"/>
    <w:rsid w:val="0056076E"/>
    <w:rsid w:val="0056190B"/>
    <w:rsid w:val="00564072"/>
    <w:rsid w:val="00565307"/>
    <w:rsid w:val="00567AC8"/>
    <w:rsid w:val="00570080"/>
    <w:rsid w:val="0057126E"/>
    <w:rsid w:val="00571B60"/>
    <w:rsid w:val="00574C06"/>
    <w:rsid w:val="00575934"/>
    <w:rsid w:val="00577C20"/>
    <w:rsid w:val="0058357D"/>
    <w:rsid w:val="0058515A"/>
    <w:rsid w:val="00586756"/>
    <w:rsid w:val="00586B86"/>
    <w:rsid w:val="00587C7C"/>
    <w:rsid w:val="00590314"/>
    <w:rsid w:val="00592B18"/>
    <w:rsid w:val="0059342F"/>
    <w:rsid w:val="00593B0A"/>
    <w:rsid w:val="005972F0"/>
    <w:rsid w:val="00597D7A"/>
    <w:rsid w:val="005A2E48"/>
    <w:rsid w:val="005A3DD2"/>
    <w:rsid w:val="005A431B"/>
    <w:rsid w:val="005A4CEA"/>
    <w:rsid w:val="005A5500"/>
    <w:rsid w:val="005B1AAF"/>
    <w:rsid w:val="005B2178"/>
    <w:rsid w:val="005B2F1C"/>
    <w:rsid w:val="005B3924"/>
    <w:rsid w:val="005B48CA"/>
    <w:rsid w:val="005B6D0D"/>
    <w:rsid w:val="005C00CB"/>
    <w:rsid w:val="005C0793"/>
    <w:rsid w:val="005C1C21"/>
    <w:rsid w:val="005C21F0"/>
    <w:rsid w:val="005C251C"/>
    <w:rsid w:val="005C2C4B"/>
    <w:rsid w:val="005C57AD"/>
    <w:rsid w:val="005C5AF1"/>
    <w:rsid w:val="005C6F3A"/>
    <w:rsid w:val="005D0AB7"/>
    <w:rsid w:val="005D15B8"/>
    <w:rsid w:val="005D43AB"/>
    <w:rsid w:val="005D4F8F"/>
    <w:rsid w:val="005D6FEB"/>
    <w:rsid w:val="005E0935"/>
    <w:rsid w:val="005E2190"/>
    <w:rsid w:val="005E5F58"/>
    <w:rsid w:val="005F034E"/>
    <w:rsid w:val="005F1289"/>
    <w:rsid w:val="005F1CDF"/>
    <w:rsid w:val="005F6351"/>
    <w:rsid w:val="0060000B"/>
    <w:rsid w:val="00601537"/>
    <w:rsid w:val="0060307A"/>
    <w:rsid w:val="00603CCE"/>
    <w:rsid w:val="006050B1"/>
    <w:rsid w:val="00605766"/>
    <w:rsid w:val="006074C8"/>
    <w:rsid w:val="006076DD"/>
    <w:rsid w:val="006118E0"/>
    <w:rsid w:val="0061305C"/>
    <w:rsid w:val="0061392F"/>
    <w:rsid w:val="00614BAD"/>
    <w:rsid w:val="0061509F"/>
    <w:rsid w:val="00615C5E"/>
    <w:rsid w:val="00616D2D"/>
    <w:rsid w:val="006216AA"/>
    <w:rsid w:val="00621AB3"/>
    <w:rsid w:val="00621E41"/>
    <w:rsid w:val="0062685C"/>
    <w:rsid w:val="00627A5C"/>
    <w:rsid w:val="00630151"/>
    <w:rsid w:val="006325D1"/>
    <w:rsid w:val="00637116"/>
    <w:rsid w:val="00637CC0"/>
    <w:rsid w:val="00642839"/>
    <w:rsid w:val="00643EBF"/>
    <w:rsid w:val="006444BB"/>
    <w:rsid w:val="006460A1"/>
    <w:rsid w:val="0064612F"/>
    <w:rsid w:val="006475C1"/>
    <w:rsid w:val="00647855"/>
    <w:rsid w:val="006519EF"/>
    <w:rsid w:val="00651AD0"/>
    <w:rsid w:val="00653DFB"/>
    <w:rsid w:val="00655213"/>
    <w:rsid w:val="00655E59"/>
    <w:rsid w:val="00660B2E"/>
    <w:rsid w:val="00661535"/>
    <w:rsid w:val="006637F6"/>
    <w:rsid w:val="006641B2"/>
    <w:rsid w:val="00667D3A"/>
    <w:rsid w:val="0067047B"/>
    <w:rsid w:val="006707DB"/>
    <w:rsid w:val="00680DE8"/>
    <w:rsid w:val="00680EB2"/>
    <w:rsid w:val="00693370"/>
    <w:rsid w:val="00695916"/>
    <w:rsid w:val="00696063"/>
    <w:rsid w:val="00696707"/>
    <w:rsid w:val="006A0FD4"/>
    <w:rsid w:val="006A499F"/>
    <w:rsid w:val="006A57C5"/>
    <w:rsid w:val="006B157B"/>
    <w:rsid w:val="006B1C80"/>
    <w:rsid w:val="006B3EF4"/>
    <w:rsid w:val="006B6806"/>
    <w:rsid w:val="006B799A"/>
    <w:rsid w:val="006C0F2B"/>
    <w:rsid w:val="006C0FE7"/>
    <w:rsid w:val="006C1549"/>
    <w:rsid w:val="006C23D5"/>
    <w:rsid w:val="006C6456"/>
    <w:rsid w:val="006C7E09"/>
    <w:rsid w:val="006D13AA"/>
    <w:rsid w:val="006D23FF"/>
    <w:rsid w:val="006D3494"/>
    <w:rsid w:val="006D5D64"/>
    <w:rsid w:val="006D6161"/>
    <w:rsid w:val="006D646D"/>
    <w:rsid w:val="006D7BB3"/>
    <w:rsid w:val="006E0E37"/>
    <w:rsid w:val="006E1241"/>
    <w:rsid w:val="006E1445"/>
    <w:rsid w:val="006E14ED"/>
    <w:rsid w:val="006E280C"/>
    <w:rsid w:val="006E3032"/>
    <w:rsid w:val="006E465D"/>
    <w:rsid w:val="006E666B"/>
    <w:rsid w:val="006E77B2"/>
    <w:rsid w:val="006F0931"/>
    <w:rsid w:val="006F24AC"/>
    <w:rsid w:val="006F25BF"/>
    <w:rsid w:val="006F536F"/>
    <w:rsid w:val="006F61AB"/>
    <w:rsid w:val="006F68FD"/>
    <w:rsid w:val="006F7A5A"/>
    <w:rsid w:val="007018A3"/>
    <w:rsid w:val="00701970"/>
    <w:rsid w:val="007033D7"/>
    <w:rsid w:val="007043AA"/>
    <w:rsid w:val="00706C24"/>
    <w:rsid w:val="0070715B"/>
    <w:rsid w:val="00707B9C"/>
    <w:rsid w:val="00710B7E"/>
    <w:rsid w:val="00713137"/>
    <w:rsid w:val="007132C0"/>
    <w:rsid w:val="007150A7"/>
    <w:rsid w:val="0072099B"/>
    <w:rsid w:val="0072207C"/>
    <w:rsid w:val="00723509"/>
    <w:rsid w:val="00726DD1"/>
    <w:rsid w:val="007322CF"/>
    <w:rsid w:val="00732423"/>
    <w:rsid w:val="00732840"/>
    <w:rsid w:val="0073707A"/>
    <w:rsid w:val="007379D5"/>
    <w:rsid w:val="00741309"/>
    <w:rsid w:val="007459E8"/>
    <w:rsid w:val="00747AFD"/>
    <w:rsid w:val="007513CD"/>
    <w:rsid w:val="00752B51"/>
    <w:rsid w:val="007560E7"/>
    <w:rsid w:val="007566EA"/>
    <w:rsid w:val="00756D93"/>
    <w:rsid w:val="00757D4C"/>
    <w:rsid w:val="007627C9"/>
    <w:rsid w:val="00762AF0"/>
    <w:rsid w:val="00762BB4"/>
    <w:rsid w:val="007660D0"/>
    <w:rsid w:val="007707BA"/>
    <w:rsid w:val="00770DA6"/>
    <w:rsid w:val="007714FA"/>
    <w:rsid w:val="00772578"/>
    <w:rsid w:val="00772CAB"/>
    <w:rsid w:val="00773F59"/>
    <w:rsid w:val="0077730A"/>
    <w:rsid w:val="00777E16"/>
    <w:rsid w:val="007809B1"/>
    <w:rsid w:val="00780A56"/>
    <w:rsid w:val="0078197A"/>
    <w:rsid w:val="00782935"/>
    <w:rsid w:val="00782E93"/>
    <w:rsid w:val="00784599"/>
    <w:rsid w:val="00784DDB"/>
    <w:rsid w:val="0078574B"/>
    <w:rsid w:val="00785844"/>
    <w:rsid w:val="007908A6"/>
    <w:rsid w:val="00792D36"/>
    <w:rsid w:val="007934B7"/>
    <w:rsid w:val="0079384C"/>
    <w:rsid w:val="00793BBD"/>
    <w:rsid w:val="00794AC6"/>
    <w:rsid w:val="00794CC2"/>
    <w:rsid w:val="00796053"/>
    <w:rsid w:val="007960A6"/>
    <w:rsid w:val="00796BEA"/>
    <w:rsid w:val="007970DF"/>
    <w:rsid w:val="007972C2"/>
    <w:rsid w:val="007A068B"/>
    <w:rsid w:val="007A0D70"/>
    <w:rsid w:val="007A174B"/>
    <w:rsid w:val="007A1B08"/>
    <w:rsid w:val="007A1DD3"/>
    <w:rsid w:val="007A25F7"/>
    <w:rsid w:val="007A44E6"/>
    <w:rsid w:val="007A5A87"/>
    <w:rsid w:val="007A5F44"/>
    <w:rsid w:val="007B0EC4"/>
    <w:rsid w:val="007B1BF8"/>
    <w:rsid w:val="007B241B"/>
    <w:rsid w:val="007B3E48"/>
    <w:rsid w:val="007B487B"/>
    <w:rsid w:val="007B6500"/>
    <w:rsid w:val="007C1BBD"/>
    <w:rsid w:val="007C6340"/>
    <w:rsid w:val="007D0BB5"/>
    <w:rsid w:val="007D3A52"/>
    <w:rsid w:val="007D4C29"/>
    <w:rsid w:val="007D4D40"/>
    <w:rsid w:val="007D5B6D"/>
    <w:rsid w:val="007D5C7C"/>
    <w:rsid w:val="007E0234"/>
    <w:rsid w:val="007E0A7D"/>
    <w:rsid w:val="007E2788"/>
    <w:rsid w:val="007E2B7E"/>
    <w:rsid w:val="007E2CFB"/>
    <w:rsid w:val="007E3417"/>
    <w:rsid w:val="007E4014"/>
    <w:rsid w:val="007E431D"/>
    <w:rsid w:val="007E48B4"/>
    <w:rsid w:val="007E552D"/>
    <w:rsid w:val="007E6F5E"/>
    <w:rsid w:val="007E7805"/>
    <w:rsid w:val="007F1657"/>
    <w:rsid w:val="007F2475"/>
    <w:rsid w:val="007F2E53"/>
    <w:rsid w:val="007F4B20"/>
    <w:rsid w:val="007F4B82"/>
    <w:rsid w:val="007F53C1"/>
    <w:rsid w:val="007F57CE"/>
    <w:rsid w:val="007F5EFC"/>
    <w:rsid w:val="008009F2"/>
    <w:rsid w:val="00801F8A"/>
    <w:rsid w:val="00802814"/>
    <w:rsid w:val="008037A4"/>
    <w:rsid w:val="00807187"/>
    <w:rsid w:val="0080719A"/>
    <w:rsid w:val="00810763"/>
    <w:rsid w:val="00811628"/>
    <w:rsid w:val="0081400C"/>
    <w:rsid w:val="00814025"/>
    <w:rsid w:val="008167EA"/>
    <w:rsid w:val="00816FB9"/>
    <w:rsid w:val="00817798"/>
    <w:rsid w:val="00822EA2"/>
    <w:rsid w:val="008236B0"/>
    <w:rsid w:val="008275A0"/>
    <w:rsid w:val="00827678"/>
    <w:rsid w:val="00830587"/>
    <w:rsid w:val="00833DD2"/>
    <w:rsid w:val="008340B8"/>
    <w:rsid w:val="00834FBA"/>
    <w:rsid w:val="0083609D"/>
    <w:rsid w:val="00836138"/>
    <w:rsid w:val="0083673E"/>
    <w:rsid w:val="00836C56"/>
    <w:rsid w:val="008378CC"/>
    <w:rsid w:val="008379F9"/>
    <w:rsid w:val="0084309C"/>
    <w:rsid w:val="00846B3D"/>
    <w:rsid w:val="00846C44"/>
    <w:rsid w:val="00851E06"/>
    <w:rsid w:val="008521B3"/>
    <w:rsid w:val="00852702"/>
    <w:rsid w:val="00854096"/>
    <w:rsid w:val="00854981"/>
    <w:rsid w:val="00856635"/>
    <w:rsid w:val="0085741F"/>
    <w:rsid w:val="008675DF"/>
    <w:rsid w:val="008705B3"/>
    <w:rsid w:val="00873F8D"/>
    <w:rsid w:val="008740E5"/>
    <w:rsid w:val="00875CBB"/>
    <w:rsid w:val="00876001"/>
    <w:rsid w:val="00876516"/>
    <w:rsid w:val="008827E2"/>
    <w:rsid w:val="008858CA"/>
    <w:rsid w:val="00886191"/>
    <w:rsid w:val="00886694"/>
    <w:rsid w:val="00893D46"/>
    <w:rsid w:val="00893FF8"/>
    <w:rsid w:val="00894F16"/>
    <w:rsid w:val="00897154"/>
    <w:rsid w:val="0089778F"/>
    <w:rsid w:val="008A0819"/>
    <w:rsid w:val="008A19A1"/>
    <w:rsid w:val="008A25AF"/>
    <w:rsid w:val="008A294E"/>
    <w:rsid w:val="008A2E48"/>
    <w:rsid w:val="008A43D8"/>
    <w:rsid w:val="008A441C"/>
    <w:rsid w:val="008A4708"/>
    <w:rsid w:val="008A47CC"/>
    <w:rsid w:val="008A6A3B"/>
    <w:rsid w:val="008A7634"/>
    <w:rsid w:val="008A77EE"/>
    <w:rsid w:val="008B1DDB"/>
    <w:rsid w:val="008B4C16"/>
    <w:rsid w:val="008B6415"/>
    <w:rsid w:val="008B67EA"/>
    <w:rsid w:val="008C09E7"/>
    <w:rsid w:val="008C14DD"/>
    <w:rsid w:val="008C2F16"/>
    <w:rsid w:val="008C4B8B"/>
    <w:rsid w:val="008C5A67"/>
    <w:rsid w:val="008C5E82"/>
    <w:rsid w:val="008C61CD"/>
    <w:rsid w:val="008D0CF9"/>
    <w:rsid w:val="008D21FA"/>
    <w:rsid w:val="008D4203"/>
    <w:rsid w:val="008D5D3E"/>
    <w:rsid w:val="008E0FB2"/>
    <w:rsid w:val="008E1056"/>
    <w:rsid w:val="008E1A52"/>
    <w:rsid w:val="008E415D"/>
    <w:rsid w:val="008F0B6D"/>
    <w:rsid w:val="008F2989"/>
    <w:rsid w:val="0090092D"/>
    <w:rsid w:val="00901859"/>
    <w:rsid w:val="0090198C"/>
    <w:rsid w:val="009024E5"/>
    <w:rsid w:val="009031D2"/>
    <w:rsid w:val="009043E9"/>
    <w:rsid w:val="00913D66"/>
    <w:rsid w:val="009171B7"/>
    <w:rsid w:val="00917DBB"/>
    <w:rsid w:val="00920179"/>
    <w:rsid w:val="00920A3D"/>
    <w:rsid w:val="00922513"/>
    <w:rsid w:val="009237EE"/>
    <w:rsid w:val="00924538"/>
    <w:rsid w:val="00924546"/>
    <w:rsid w:val="00924E88"/>
    <w:rsid w:val="009277D0"/>
    <w:rsid w:val="009322F0"/>
    <w:rsid w:val="00932512"/>
    <w:rsid w:val="00940593"/>
    <w:rsid w:val="00941348"/>
    <w:rsid w:val="009413AA"/>
    <w:rsid w:val="0094490D"/>
    <w:rsid w:val="00944E72"/>
    <w:rsid w:val="0094602E"/>
    <w:rsid w:val="0094692D"/>
    <w:rsid w:val="00950AD8"/>
    <w:rsid w:val="009545E8"/>
    <w:rsid w:val="00957ED6"/>
    <w:rsid w:val="009628C4"/>
    <w:rsid w:val="009655B4"/>
    <w:rsid w:val="00965A33"/>
    <w:rsid w:val="00966114"/>
    <w:rsid w:val="009667C3"/>
    <w:rsid w:val="00971459"/>
    <w:rsid w:val="00971DB9"/>
    <w:rsid w:val="00973743"/>
    <w:rsid w:val="009740F5"/>
    <w:rsid w:val="0097533B"/>
    <w:rsid w:val="009766B4"/>
    <w:rsid w:val="0097716A"/>
    <w:rsid w:val="009804D6"/>
    <w:rsid w:val="00980D18"/>
    <w:rsid w:val="0098135E"/>
    <w:rsid w:val="009842CB"/>
    <w:rsid w:val="00984464"/>
    <w:rsid w:val="009846CC"/>
    <w:rsid w:val="009847E7"/>
    <w:rsid w:val="00990578"/>
    <w:rsid w:val="00992423"/>
    <w:rsid w:val="00997EF9"/>
    <w:rsid w:val="009A0AA2"/>
    <w:rsid w:val="009A1796"/>
    <w:rsid w:val="009A1D9C"/>
    <w:rsid w:val="009A3EAD"/>
    <w:rsid w:val="009A69F8"/>
    <w:rsid w:val="009B1387"/>
    <w:rsid w:val="009B28D3"/>
    <w:rsid w:val="009B4F39"/>
    <w:rsid w:val="009C253D"/>
    <w:rsid w:val="009C6EAA"/>
    <w:rsid w:val="009C767A"/>
    <w:rsid w:val="009D124A"/>
    <w:rsid w:val="009D3803"/>
    <w:rsid w:val="009D5B17"/>
    <w:rsid w:val="009D7139"/>
    <w:rsid w:val="009D7426"/>
    <w:rsid w:val="009E0309"/>
    <w:rsid w:val="009E1439"/>
    <w:rsid w:val="009E5444"/>
    <w:rsid w:val="009E5D07"/>
    <w:rsid w:val="009E6A10"/>
    <w:rsid w:val="009E7179"/>
    <w:rsid w:val="009E7A67"/>
    <w:rsid w:val="009F022C"/>
    <w:rsid w:val="009F4559"/>
    <w:rsid w:val="009F70E7"/>
    <w:rsid w:val="009F72BD"/>
    <w:rsid w:val="009F7F0A"/>
    <w:rsid w:val="00A036E8"/>
    <w:rsid w:val="00A04B04"/>
    <w:rsid w:val="00A05DDD"/>
    <w:rsid w:val="00A05EA4"/>
    <w:rsid w:val="00A103B3"/>
    <w:rsid w:val="00A11663"/>
    <w:rsid w:val="00A173AC"/>
    <w:rsid w:val="00A1780F"/>
    <w:rsid w:val="00A20085"/>
    <w:rsid w:val="00A20BDB"/>
    <w:rsid w:val="00A22DFB"/>
    <w:rsid w:val="00A231D1"/>
    <w:rsid w:val="00A24BF6"/>
    <w:rsid w:val="00A25264"/>
    <w:rsid w:val="00A2639E"/>
    <w:rsid w:val="00A26F8F"/>
    <w:rsid w:val="00A3012B"/>
    <w:rsid w:val="00A30A80"/>
    <w:rsid w:val="00A31369"/>
    <w:rsid w:val="00A313F3"/>
    <w:rsid w:val="00A33B63"/>
    <w:rsid w:val="00A34CD1"/>
    <w:rsid w:val="00A37B61"/>
    <w:rsid w:val="00A40E90"/>
    <w:rsid w:val="00A4312A"/>
    <w:rsid w:val="00A455A5"/>
    <w:rsid w:val="00A45C31"/>
    <w:rsid w:val="00A475F8"/>
    <w:rsid w:val="00A50258"/>
    <w:rsid w:val="00A510BC"/>
    <w:rsid w:val="00A51257"/>
    <w:rsid w:val="00A5386F"/>
    <w:rsid w:val="00A55139"/>
    <w:rsid w:val="00A556F0"/>
    <w:rsid w:val="00A558A5"/>
    <w:rsid w:val="00A6002B"/>
    <w:rsid w:val="00A619C3"/>
    <w:rsid w:val="00A645FF"/>
    <w:rsid w:val="00A64BCF"/>
    <w:rsid w:val="00A64EA1"/>
    <w:rsid w:val="00A65B14"/>
    <w:rsid w:val="00A70E46"/>
    <w:rsid w:val="00A7110C"/>
    <w:rsid w:val="00A7160B"/>
    <w:rsid w:val="00A71771"/>
    <w:rsid w:val="00A73DE8"/>
    <w:rsid w:val="00A74E2E"/>
    <w:rsid w:val="00A7525C"/>
    <w:rsid w:val="00A757BF"/>
    <w:rsid w:val="00A759B3"/>
    <w:rsid w:val="00A75D80"/>
    <w:rsid w:val="00A76530"/>
    <w:rsid w:val="00A86FD9"/>
    <w:rsid w:val="00A90779"/>
    <w:rsid w:val="00A90878"/>
    <w:rsid w:val="00A91584"/>
    <w:rsid w:val="00A921EB"/>
    <w:rsid w:val="00A97F7A"/>
    <w:rsid w:val="00AA190A"/>
    <w:rsid w:val="00AA709D"/>
    <w:rsid w:val="00AA7C39"/>
    <w:rsid w:val="00AB3A0C"/>
    <w:rsid w:val="00AB4445"/>
    <w:rsid w:val="00AB4AD7"/>
    <w:rsid w:val="00AB5857"/>
    <w:rsid w:val="00AB6A5F"/>
    <w:rsid w:val="00AB7349"/>
    <w:rsid w:val="00AC16C6"/>
    <w:rsid w:val="00AC1ADD"/>
    <w:rsid w:val="00AC246C"/>
    <w:rsid w:val="00AC2C48"/>
    <w:rsid w:val="00AC3D20"/>
    <w:rsid w:val="00AC3FFC"/>
    <w:rsid w:val="00AC5F1A"/>
    <w:rsid w:val="00AD09B6"/>
    <w:rsid w:val="00AD0F4A"/>
    <w:rsid w:val="00AD2053"/>
    <w:rsid w:val="00AD4E4B"/>
    <w:rsid w:val="00AD718C"/>
    <w:rsid w:val="00AD7C92"/>
    <w:rsid w:val="00AD7E79"/>
    <w:rsid w:val="00AE0606"/>
    <w:rsid w:val="00AE0A5E"/>
    <w:rsid w:val="00AE0EC4"/>
    <w:rsid w:val="00AE271E"/>
    <w:rsid w:val="00AE410A"/>
    <w:rsid w:val="00AE4D7B"/>
    <w:rsid w:val="00AE650A"/>
    <w:rsid w:val="00AF0939"/>
    <w:rsid w:val="00AF132F"/>
    <w:rsid w:val="00AF2EAB"/>
    <w:rsid w:val="00AF4829"/>
    <w:rsid w:val="00AF6509"/>
    <w:rsid w:val="00AF7674"/>
    <w:rsid w:val="00AF7D98"/>
    <w:rsid w:val="00B04BC9"/>
    <w:rsid w:val="00B04E73"/>
    <w:rsid w:val="00B07BC8"/>
    <w:rsid w:val="00B12A61"/>
    <w:rsid w:val="00B13226"/>
    <w:rsid w:val="00B14ED6"/>
    <w:rsid w:val="00B16B14"/>
    <w:rsid w:val="00B224B5"/>
    <w:rsid w:val="00B2289F"/>
    <w:rsid w:val="00B237CE"/>
    <w:rsid w:val="00B2488A"/>
    <w:rsid w:val="00B25049"/>
    <w:rsid w:val="00B2578D"/>
    <w:rsid w:val="00B26594"/>
    <w:rsid w:val="00B31CAC"/>
    <w:rsid w:val="00B3361B"/>
    <w:rsid w:val="00B34517"/>
    <w:rsid w:val="00B345C2"/>
    <w:rsid w:val="00B365FE"/>
    <w:rsid w:val="00B36776"/>
    <w:rsid w:val="00B368F1"/>
    <w:rsid w:val="00B375D7"/>
    <w:rsid w:val="00B424A1"/>
    <w:rsid w:val="00B44911"/>
    <w:rsid w:val="00B44CCA"/>
    <w:rsid w:val="00B46124"/>
    <w:rsid w:val="00B47481"/>
    <w:rsid w:val="00B47A27"/>
    <w:rsid w:val="00B47AEB"/>
    <w:rsid w:val="00B5091C"/>
    <w:rsid w:val="00B50BD8"/>
    <w:rsid w:val="00B510FA"/>
    <w:rsid w:val="00B516B4"/>
    <w:rsid w:val="00B52628"/>
    <w:rsid w:val="00B52B86"/>
    <w:rsid w:val="00B53E83"/>
    <w:rsid w:val="00B5498F"/>
    <w:rsid w:val="00B56342"/>
    <w:rsid w:val="00B57AFD"/>
    <w:rsid w:val="00B62A3D"/>
    <w:rsid w:val="00B664A4"/>
    <w:rsid w:val="00B6722C"/>
    <w:rsid w:val="00B73E6A"/>
    <w:rsid w:val="00B755F9"/>
    <w:rsid w:val="00B75F02"/>
    <w:rsid w:val="00B76260"/>
    <w:rsid w:val="00B777EE"/>
    <w:rsid w:val="00B81701"/>
    <w:rsid w:val="00B82216"/>
    <w:rsid w:val="00B837EA"/>
    <w:rsid w:val="00B872D1"/>
    <w:rsid w:val="00B87B5F"/>
    <w:rsid w:val="00B93910"/>
    <w:rsid w:val="00BA1303"/>
    <w:rsid w:val="00BA1F7A"/>
    <w:rsid w:val="00BA3435"/>
    <w:rsid w:val="00BA63B2"/>
    <w:rsid w:val="00BA78F0"/>
    <w:rsid w:val="00BB1DD0"/>
    <w:rsid w:val="00BB1EC6"/>
    <w:rsid w:val="00BB26CE"/>
    <w:rsid w:val="00BB3E9A"/>
    <w:rsid w:val="00BB4DBC"/>
    <w:rsid w:val="00BB5229"/>
    <w:rsid w:val="00BB6365"/>
    <w:rsid w:val="00BB641F"/>
    <w:rsid w:val="00BB6755"/>
    <w:rsid w:val="00BC0194"/>
    <w:rsid w:val="00BC0D18"/>
    <w:rsid w:val="00BC18F1"/>
    <w:rsid w:val="00BC1D74"/>
    <w:rsid w:val="00BC3C7C"/>
    <w:rsid w:val="00BC4E36"/>
    <w:rsid w:val="00BC757A"/>
    <w:rsid w:val="00BD20F1"/>
    <w:rsid w:val="00BD3D10"/>
    <w:rsid w:val="00BD6D9C"/>
    <w:rsid w:val="00BD7ECC"/>
    <w:rsid w:val="00BE2F1F"/>
    <w:rsid w:val="00BE3FF8"/>
    <w:rsid w:val="00BE46F0"/>
    <w:rsid w:val="00BE4EF3"/>
    <w:rsid w:val="00BE5002"/>
    <w:rsid w:val="00BE5A48"/>
    <w:rsid w:val="00BE7D90"/>
    <w:rsid w:val="00BF1E43"/>
    <w:rsid w:val="00BF27EE"/>
    <w:rsid w:val="00BF368F"/>
    <w:rsid w:val="00BF6CF4"/>
    <w:rsid w:val="00C02D6A"/>
    <w:rsid w:val="00C04407"/>
    <w:rsid w:val="00C04AA3"/>
    <w:rsid w:val="00C05D81"/>
    <w:rsid w:val="00C05EEA"/>
    <w:rsid w:val="00C064C4"/>
    <w:rsid w:val="00C06673"/>
    <w:rsid w:val="00C07EBA"/>
    <w:rsid w:val="00C11AA6"/>
    <w:rsid w:val="00C14E65"/>
    <w:rsid w:val="00C15E4D"/>
    <w:rsid w:val="00C17748"/>
    <w:rsid w:val="00C200F6"/>
    <w:rsid w:val="00C20415"/>
    <w:rsid w:val="00C23627"/>
    <w:rsid w:val="00C2474B"/>
    <w:rsid w:val="00C25621"/>
    <w:rsid w:val="00C25BD4"/>
    <w:rsid w:val="00C265A2"/>
    <w:rsid w:val="00C26856"/>
    <w:rsid w:val="00C27F27"/>
    <w:rsid w:val="00C312E9"/>
    <w:rsid w:val="00C3297B"/>
    <w:rsid w:val="00C35420"/>
    <w:rsid w:val="00C35AAF"/>
    <w:rsid w:val="00C36721"/>
    <w:rsid w:val="00C37F55"/>
    <w:rsid w:val="00C40001"/>
    <w:rsid w:val="00C40FDA"/>
    <w:rsid w:val="00C4135C"/>
    <w:rsid w:val="00C4247D"/>
    <w:rsid w:val="00C46DAE"/>
    <w:rsid w:val="00C4713A"/>
    <w:rsid w:val="00C4793F"/>
    <w:rsid w:val="00C47D4A"/>
    <w:rsid w:val="00C47FBD"/>
    <w:rsid w:val="00C512E7"/>
    <w:rsid w:val="00C51D39"/>
    <w:rsid w:val="00C524D7"/>
    <w:rsid w:val="00C52F93"/>
    <w:rsid w:val="00C540D3"/>
    <w:rsid w:val="00C56D4E"/>
    <w:rsid w:val="00C57EF6"/>
    <w:rsid w:val="00C61BD7"/>
    <w:rsid w:val="00C63FE1"/>
    <w:rsid w:val="00C64CD9"/>
    <w:rsid w:val="00C65135"/>
    <w:rsid w:val="00C65F7D"/>
    <w:rsid w:val="00C700BA"/>
    <w:rsid w:val="00C707E0"/>
    <w:rsid w:val="00C7323F"/>
    <w:rsid w:val="00C73C22"/>
    <w:rsid w:val="00C74AB3"/>
    <w:rsid w:val="00C74B0A"/>
    <w:rsid w:val="00C75CD2"/>
    <w:rsid w:val="00C7671B"/>
    <w:rsid w:val="00C77DBA"/>
    <w:rsid w:val="00C77EB4"/>
    <w:rsid w:val="00C803C5"/>
    <w:rsid w:val="00C80469"/>
    <w:rsid w:val="00C82560"/>
    <w:rsid w:val="00C844FB"/>
    <w:rsid w:val="00C84524"/>
    <w:rsid w:val="00C90B50"/>
    <w:rsid w:val="00C91B46"/>
    <w:rsid w:val="00C92485"/>
    <w:rsid w:val="00C92EBB"/>
    <w:rsid w:val="00C930F2"/>
    <w:rsid w:val="00C94756"/>
    <w:rsid w:val="00C9497A"/>
    <w:rsid w:val="00C94A2C"/>
    <w:rsid w:val="00C96054"/>
    <w:rsid w:val="00C964DC"/>
    <w:rsid w:val="00C9683D"/>
    <w:rsid w:val="00C97C50"/>
    <w:rsid w:val="00CA1A93"/>
    <w:rsid w:val="00CA2C7E"/>
    <w:rsid w:val="00CA5365"/>
    <w:rsid w:val="00CA6EE3"/>
    <w:rsid w:val="00CB1B00"/>
    <w:rsid w:val="00CB1F44"/>
    <w:rsid w:val="00CB4D1F"/>
    <w:rsid w:val="00CB556E"/>
    <w:rsid w:val="00CB7F2B"/>
    <w:rsid w:val="00CC04DE"/>
    <w:rsid w:val="00CC562B"/>
    <w:rsid w:val="00CC58CC"/>
    <w:rsid w:val="00CC6EB0"/>
    <w:rsid w:val="00CD0FBB"/>
    <w:rsid w:val="00CD2302"/>
    <w:rsid w:val="00CD2FEC"/>
    <w:rsid w:val="00CD3E99"/>
    <w:rsid w:val="00CD63F0"/>
    <w:rsid w:val="00CD7CC3"/>
    <w:rsid w:val="00CE0BEB"/>
    <w:rsid w:val="00CE29A3"/>
    <w:rsid w:val="00CE305C"/>
    <w:rsid w:val="00CE3406"/>
    <w:rsid w:val="00CE3717"/>
    <w:rsid w:val="00CE5099"/>
    <w:rsid w:val="00CE539E"/>
    <w:rsid w:val="00CE5AE5"/>
    <w:rsid w:val="00CF0356"/>
    <w:rsid w:val="00CF26BA"/>
    <w:rsid w:val="00CF646F"/>
    <w:rsid w:val="00D00747"/>
    <w:rsid w:val="00D022B8"/>
    <w:rsid w:val="00D05E7A"/>
    <w:rsid w:val="00D0644D"/>
    <w:rsid w:val="00D109CC"/>
    <w:rsid w:val="00D11E23"/>
    <w:rsid w:val="00D12517"/>
    <w:rsid w:val="00D12F62"/>
    <w:rsid w:val="00D16AB0"/>
    <w:rsid w:val="00D1702C"/>
    <w:rsid w:val="00D25AB5"/>
    <w:rsid w:val="00D27069"/>
    <w:rsid w:val="00D33700"/>
    <w:rsid w:val="00D351EE"/>
    <w:rsid w:val="00D37C08"/>
    <w:rsid w:val="00D40DEB"/>
    <w:rsid w:val="00D438C4"/>
    <w:rsid w:val="00D460B9"/>
    <w:rsid w:val="00D478F6"/>
    <w:rsid w:val="00D512FA"/>
    <w:rsid w:val="00D5296E"/>
    <w:rsid w:val="00D5688A"/>
    <w:rsid w:val="00D57EB6"/>
    <w:rsid w:val="00D60296"/>
    <w:rsid w:val="00D6287D"/>
    <w:rsid w:val="00D6495F"/>
    <w:rsid w:val="00D6585A"/>
    <w:rsid w:val="00D70934"/>
    <w:rsid w:val="00D7123E"/>
    <w:rsid w:val="00D736A4"/>
    <w:rsid w:val="00D758E2"/>
    <w:rsid w:val="00D76F2E"/>
    <w:rsid w:val="00D80F38"/>
    <w:rsid w:val="00D8110D"/>
    <w:rsid w:val="00D8119C"/>
    <w:rsid w:val="00D816DF"/>
    <w:rsid w:val="00D839AD"/>
    <w:rsid w:val="00D84C1A"/>
    <w:rsid w:val="00D87306"/>
    <w:rsid w:val="00D93708"/>
    <w:rsid w:val="00D93A15"/>
    <w:rsid w:val="00D94917"/>
    <w:rsid w:val="00D97704"/>
    <w:rsid w:val="00DA05A9"/>
    <w:rsid w:val="00DA3BC7"/>
    <w:rsid w:val="00DB0A00"/>
    <w:rsid w:val="00DB333F"/>
    <w:rsid w:val="00DB3F64"/>
    <w:rsid w:val="00DB4648"/>
    <w:rsid w:val="00DB57FB"/>
    <w:rsid w:val="00DB70F4"/>
    <w:rsid w:val="00DC1EB3"/>
    <w:rsid w:val="00DC2268"/>
    <w:rsid w:val="00DC315E"/>
    <w:rsid w:val="00DC3794"/>
    <w:rsid w:val="00DC461C"/>
    <w:rsid w:val="00DD232C"/>
    <w:rsid w:val="00DD249B"/>
    <w:rsid w:val="00DD3715"/>
    <w:rsid w:val="00DD37CA"/>
    <w:rsid w:val="00DD4611"/>
    <w:rsid w:val="00DD4AA8"/>
    <w:rsid w:val="00DD4F7A"/>
    <w:rsid w:val="00DD5534"/>
    <w:rsid w:val="00DE0F54"/>
    <w:rsid w:val="00DE1A49"/>
    <w:rsid w:val="00DE20FC"/>
    <w:rsid w:val="00DE24C6"/>
    <w:rsid w:val="00DE366A"/>
    <w:rsid w:val="00DE5FCA"/>
    <w:rsid w:val="00DE7832"/>
    <w:rsid w:val="00DE7DB5"/>
    <w:rsid w:val="00DF134E"/>
    <w:rsid w:val="00DF1824"/>
    <w:rsid w:val="00DF1C44"/>
    <w:rsid w:val="00DF200D"/>
    <w:rsid w:val="00DF38F7"/>
    <w:rsid w:val="00DF5D92"/>
    <w:rsid w:val="00E043C2"/>
    <w:rsid w:val="00E10B15"/>
    <w:rsid w:val="00E11AB7"/>
    <w:rsid w:val="00E126FC"/>
    <w:rsid w:val="00E130DA"/>
    <w:rsid w:val="00E13829"/>
    <w:rsid w:val="00E16BC3"/>
    <w:rsid w:val="00E1778C"/>
    <w:rsid w:val="00E2055F"/>
    <w:rsid w:val="00E233B4"/>
    <w:rsid w:val="00E24E46"/>
    <w:rsid w:val="00E25DF5"/>
    <w:rsid w:val="00E25F9C"/>
    <w:rsid w:val="00E32244"/>
    <w:rsid w:val="00E342ED"/>
    <w:rsid w:val="00E345EC"/>
    <w:rsid w:val="00E3560D"/>
    <w:rsid w:val="00E36EC8"/>
    <w:rsid w:val="00E36FF6"/>
    <w:rsid w:val="00E37A1B"/>
    <w:rsid w:val="00E41C8F"/>
    <w:rsid w:val="00E42684"/>
    <w:rsid w:val="00E43177"/>
    <w:rsid w:val="00E43B4B"/>
    <w:rsid w:val="00E45445"/>
    <w:rsid w:val="00E4576A"/>
    <w:rsid w:val="00E461F4"/>
    <w:rsid w:val="00E46DFD"/>
    <w:rsid w:val="00E47276"/>
    <w:rsid w:val="00E50472"/>
    <w:rsid w:val="00E5108B"/>
    <w:rsid w:val="00E51C02"/>
    <w:rsid w:val="00E56B7B"/>
    <w:rsid w:val="00E57C27"/>
    <w:rsid w:val="00E6000C"/>
    <w:rsid w:val="00E6209A"/>
    <w:rsid w:val="00E6459E"/>
    <w:rsid w:val="00E66785"/>
    <w:rsid w:val="00E719FB"/>
    <w:rsid w:val="00E7268F"/>
    <w:rsid w:val="00E736B3"/>
    <w:rsid w:val="00E748E6"/>
    <w:rsid w:val="00E77CFD"/>
    <w:rsid w:val="00E82E61"/>
    <w:rsid w:val="00E82E74"/>
    <w:rsid w:val="00E83A08"/>
    <w:rsid w:val="00E852A3"/>
    <w:rsid w:val="00E932CE"/>
    <w:rsid w:val="00E93FA7"/>
    <w:rsid w:val="00E9414C"/>
    <w:rsid w:val="00E94308"/>
    <w:rsid w:val="00E94A83"/>
    <w:rsid w:val="00E94F4B"/>
    <w:rsid w:val="00E95C80"/>
    <w:rsid w:val="00E96F29"/>
    <w:rsid w:val="00EA01BD"/>
    <w:rsid w:val="00EA5D41"/>
    <w:rsid w:val="00EB2744"/>
    <w:rsid w:val="00EB383F"/>
    <w:rsid w:val="00EB7434"/>
    <w:rsid w:val="00EC0B2D"/>
    <w:rsid w:val="00EC205D"/>
    <w:rsid w:val="00EC5FD0"/>
    <w:rsid w:val="00ED0FA0"/>
    <w:rsid w:val="00ED489C"/>
    <w:rsid w:val="00EE1A85"/>
    <w:rsid w:val="00EE2354"/>
    <w:rsid w:val="00EE441C"/>
    <w:rsid w:val="00EE4F65"/>
    <w:rsid w:val="00EE5031"/>
    <w:rsid w:val="00EE56C8"/>
    <w:rsid w:val="00EE5C6C"/>
    <w:rsid w:val="00EE76CA"/>
    <w:rsid w:val="00EF1BAF"/>
    <w:rsid w:val="00EF46BE"/>
    <w:rsid w:val="00EF4B8E"/>
    <w:rsid w:val="00EF5696"/>
    <w:rsid w:val="00EF69AA"/>
    <w:rsid w:val="00EF6FE2"/>
    <w:rsid w:val="00F02E51"/>
    <w:rsid w:val="00F03D80"/>
    <w:rsid w:val="00F0566C"/>
    <w:rsid w:val="00F057AB"/>
    <w:rsid w:val="00F05D6E"/>
    <w:rsid w:val="00F05E1E"/>
    <w:rsid w:val="00F0690D"/>
    <w:rsid w:val="00F07A21"/>
    <w:rsid w:val="00F07E50"/>
    <w:rsid w:val="00F131B7"/>
    <w:rsid w:val="00F139C6"/>
    <w:rsid w:val="00F14CBF"/>
    <w:rsid w:val="00F16E54"/>
    <w:rsid w:val="00F20D97"/>
    <w:rsid w:val="00F31793"/>
    <w:rsid w:val="00F363BD"/>
    <w:rsid w:val="00F36C82"/>
    <w:rsid w:val="00F40647"/>
    <w:rsid w:val="00F40765"/>
    <w:rsid w:val="00F414CC"/>
    <w:rsid w:val="00F41B6D"/>
    <w:rsid w:val="00F427A5"/>
    <w:rsid w:val="00F42E27"/>
    <w:rsid w:val="00F42F4D"/>
    <w:rsid w:val="00F43FC8"/>
    <w:rsid w:val="00F442A9"/>
    <w:rsid w:val="00F474C4"/>
    <w:rsid w:val="00F522B8"/>
    <w:rsid w:val="00F541E3"/>
    <w:rsid w:val="00F54B3F"/>
    <w:rsid w:val="00F5516B"/>
    <w:rsid w:val="00F57A85"/>
    <w:rsid w:val="00F60033"/>
    <w:rsid w:val="00F62746"/>
    <w:rsid w:val="00F63D0D"/>
    <w:rsid w:val="00F64F2B"/>
    <w:rsid w:val="00F679CB"/>
    <w:rsid w:val="00F70B90"/>
    <w:rsid w:val="00F70E50"/>
    <w:rsid w:val="00F72317"/>
    <w:rsid w:val="00F724EB"/>
    <w:rsid w:val="00F72CA6"/>
    <w:rsid w:val="00F76E62"/>
    <w:rsid w:val="00F828F2"/>
    <w:rsid w:val="00F8322A"/>
    <w:rsid w:val="00F838D4"/>
    <w:rsid w:val="00F84F89"/>
    <w:rsid w:val="00F915AD"/>
    <w:rsid w:val="00F9274A"/>
    <w:rsid w:val="00F94181"/>
    <w:rsid w:val="00F96AB3"/>
    <w:rsid w:val="00F96B2F"/>
    <w:rsid w:val="00F97A42"/>
    <w:rsid w:val="00FA12F9"/>
    <w:rsid w:val="00FA19E4"/>
    <w:rsid w:val="00FA1E18"/>
    <w:rsid w:val="00FA27BD"/>
    <w:rsid w:val="00FA5491"/>
    <w:rsid w:val="00FA57E0"/>
    <w:rsid w:val="00FA6357"/>
    <w:rsid w:val="00FA7186"/>
    <w:rsid w:val="00FA7E27"/>
    <w:rsid w:val="00FB1B1C"/>
    <w:rsid w:val="00FB3090"/>
    <w:rsid w:val="00FB3C76"/>
    <w:rsid w:val="00FB732B"/>
    <w:rsid w:val="00FB7503"/>
    <w:rsid w:val="00FC0930"/>
    <w:rsid w:val="00FC1820"/>
    <w:rsid w:val="00FC21E2"/>
    <w:rsid w:val="00FC42B3"/>
    <w:rsid w:val="00FC4BEB"/>
    <w:rsid w:val="00FC5D2B"/>
    <w:rsid w:val="00FC625D"/>
    <w:rsid w:val="00FD0B0F"/>
    <w:rsid w:val="00FD5492"/>
    <w:rsid w:val="00FD77D4"/>
    <w:rsid w:val="00FE140E"/>
    <w:rsid w:val="00FE1D39"/>
    <w:rsid w:val="00FE3B1F"/>
    <w:rsid w:val="00FE59B3"/>
    <w:rsid w:val="00FE5D70"/>
    <w:rsid w:val="00FE6A16"/>
    <w:rsid w:val="00FE6C4A"/>
    <w:rsid w:val="00FF7654"/>
    <w:rsid w:val="00FF7BC6"/>
    <w:rsid w:val="016AD295"/>
    <w:rsid w:val="03F31B6E"/>
    <w:rsid w:val="056FCF25"/>
    <w:rsid w:val="06134317"/>
    <w:rsid w:val="06F23B47"/>
    <w:rsid w:val="089DE432"/>
    <w:rsid w:val="09934554"/>
    <w:rsid w:val="09B0B07F"/>
    <w:rsid w:val="0A70BA97"/>
    <w:rsid w:val="0AED14EF"/>
    <w:rsid w:val="0AFE1C24"/>
    <w:rsid w:val="0B350A02"/>
    <w:rsid w:val="0D481F4D"/>
    <w:rsid w:val="100286D8"/>
    <w:rsid w:val="10D20764"/>
    <w:rsid w:val="1168710D"/>
    <w:rsid w:val="123529D0"/>
    <w:rsid w:val="14996D55"/>
    <w:rsid w:val="14E3D9CE"/>
    <w:rsid w:val="18664C9E"/>
    <w:rsid w:val="19015BB0"/>
    <w:rsid w:val="19B156A4"/>
    <w:rsid w:val="19D65B30"/>
    <w:rsid w:val="1A286A81"/>
    <w:rsid w:val="1A3AD92C"/>
    <w:rsid w:val="1B61EDB1"/>
    <w:rsid w:val="1BF39644"/>
    <w:rsid w:val="1DC7B83B"/>
    <w:rsid w:val="1DCE5832"/>
    <w:rsid w:val="1E63C348"/>
    <w:rsid w:val="1ED58DB7"/>
    <w:rsid w:val="235838EA"/>
    <w:rsid w:val="235D8D56"/>
    <w:rsid w:val="23D98622"/>
    <w:rsid w:val="2645B7BE"/>
    <w:rsid w:val="268FD9AC"/>
    <w:rsid w:val="2759D45E"/>
    <w:rsid w:val="278015A1"/>
    <w:rsid w:val="27A1AFA5"/>
    <w:rsid w:val="297D5880"/>
    <w:rsid w:val="2C4F203C"/>
    <w:rsid w:val="2CB4F942"/>
    <w:rsid w:val="2CE24575"/>
    <w:rsid w:val="2CFF1B30"/>
    <w:rsid w:val="2D2FAF1F"/>
    <w:rsid w:val="2E142C86"/>
    <w:rsid w:val="2E9E0B71"/>
    <w:rsid w:val="2F1F5461"/>
    <w:rsid w:val="2F96CC94"/>
    <w:rsid w:val="30BB24C2"/>
    <w:rsid w:val="31115688"/>
    <w:rsid w:val="31D28C53"/>
    <w:rsid w:val="32790529"/>
    <w:rsid w:val="32AFD438"/>
    <w:rsid w:val="34355E87"/>
    <w:rsid w:val="35E4C7AB"/>
    <w:rsid w:val="35F98E57"/>
    <w:rsid w:val="3651FBE5"/>
    <w:rsid w:val="3841CDD7"/>
    <w:rsid w:val="38465239"/>
    <w:rsid w:val="3898824E"/>
    <w:rsid w:val="3909FEA6"/>
    <w:rsid w:val="3913060F"/>
    <w:rsid w:val="399B69D0"/>
    <w:rsid w:val="3B0AE0D4"/>
    <w:rsid w:val="3B668A62"/>
    <w:rsid w:val="3BA40E3B"/>
    <w:rsid w:val="3D2E8B51"/>
    <w:rsid w:val="3D2FAEF1"/>
    <w:rsid w:val="3D9CC460"/>
    <w:rsid w:val="3DBABB24"/>
    <w:rsid w:val="41E8B01D"/>
    <w:rsid w:val="423B9E7E"/>
    <w:rsid w:val="4270401B"/>
    <w:rsid w:val="427106D1"/>
    <w:rsid w:val="43424C16"/>
    <w:rsid w:val="442E2183"/>
    <w:rsid w:val="453FA9F7"/>
    <w:rsid w:val="4558D254"/>
    <w:rsid w:val="45E1C318"/>
    <w:rsid w:val="483EC944"/>
    <w:rsid w:val="49018CEF"/>
    <w:rsid w:val="49328C37"/>
    <w:rsid w:val="4995E2CD"/>
    <w:rsid w:val="4A02EC81"/>
    <w:rsid w:val="4A268B16"/>
    <w:rsid w:val="4BD821D4"/>
    <w:rsid w:val="4CE92E5C"/>
    <w:rsid w:val="4D81FD2E"/>
    <w:rsid w:val="4F5F9953"/>
    <w:rsid w:val="503CC1E4"/>
    <w:rsid w:val="50A573F6"/>
    <w:rsid w:val="50B238E3"/>
    <w:rsid w:val="51664043"/>
    <w:rsid w:val="52C04620"/>
    <w:rsid w:val="52D96E7D"/>
    <w:rsid w:val="54998455"/>
    <w:rsid w:val="55E6AC0B"/>
    <w:rsid w:val="56B999AD"/>
    <w:rsid w:val="5856F0DF"/>
    <w:rsid w:val="5963A5F4"/>
    <w:rsid w:val="59DDE469"/>
    <w:rsid w:val="5A234A97"/>
    <w:rsid w:val="5AC0DBC4"/>
    <w:rsid w:val="5B170D8A"/>
    <w:rsid w:val="5E1E0393"/>
    <w:rsid w:val="5ED45AAA"/>
    <w:rsid w:val="5F3DDC2E"/>
    <w:rsid w:val="60A06DEE"/>
    <w:rsid w:val="6137FEF2"/>
    <w:rsid w:val="62AD5DDF"/>
    <w:rsid w:val="64723A4B"/>
    <w:rsid w:val="64B8A824"/>
    <w:rsid w:val="64C6A12E"/>
    <w:rsid w:val="65787122"/>
    <w:rsid w:val="65FAC6E1"/>
    <w:rsid w:val="67A9DB0D"/>
    <w:rsid w:val="689D9E00"/>
    <w:rsid w:val="68F9083B"/>
    <w:rsid w:val="69037706"/>
    <w:rsid w:val="69AD9829"/>
    <w:rsid w:val="69DB6D19"/>
    <w:rsid w:val="69F739F9"/>
    <w:rsid w:val="6A9F4767"/>
    <w:rsid w:val="6AE2C29D"/>
    <w:rsid w:val="6D514203"/>
    <w:rsid w:val="6D710F23"/>
    <w:rsid w:val="6D932CDE"/>
    <w:rsid w:val="70A8AFE5"/>
    <w:rsid w:val="713DE44D"/>
    <w:rsid w:val="72B497EC"/>
    <w:rsid w:val="746CA6FD"/>
    <w:rsid w:val="74F6E116"/>
    <w:rsid w:val="759B5227"/>
    <w:rsid w:val="75E9E794"/>
    <w:rsid w:val="769C88C0"/>
    <w:rsid w:val="7A634C50"/>
    <w:rsid w:val="7AED9890"/>
    <w:rsid w:val="7B057070"/>
    <w:rsid w:val="7D75F816"/>
    <w:rsid w:val="7E372DE1"/>
    <w:rsid w:val="7F9A1CE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EB4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rPr>
  </w:style>
  <w:style w:type="paragraph" w:customStyle="1" w:styleId="BodyA">
    <w:name w:val="Body A"/>
    <w:link w:val="BodyAChar"/>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sid w:val="002211CE"/>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link w:val="ListParagraphChar"/>
    <w:uiPriority w:val="34"/>
    <w:qFormat/>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gmail-body">
    <w:name w:val="gmail-body"/>
    <w:rsid w:val="002211CE"/>
    <w:pPr>
      <w:spacing w:before="100" w:after="100"/>
    </w:pPr>
    <w:rPr>
      <w:rFonts w:cs="Arial Unicode MS"/>
      <w:color w:val="000000"/>
      <w:sz w:val="24"/>
      <w:szCs w:val="24"/>
      <w:u w:color="000000"/>
    </w:rPr>
  </w:style>
  <w:style w:type="paragraph" w:styleId="FootnoteText">
    <w:name w:val="footnote text"/>
    <w:link w:val="FootnoteTextChar"/>
    <w:rPr>
      <w:rFonts w:ascii="Calibri" w:hAnsi="Calibri" w:cs="Arial Unicode MS"/>
      <w:color w:val="000000"/>
      <w:u w:color="000000"/>
    </w:rPr>
  </w:style>
  <w:style w:type="character" w:customStyle="1" w:styleId="None">
    <w:name w:val="None"/>
  </w:style>
  <w:style w:type="character" w:customStyle="1" w:styleId="Hyperlink0">
    <w:name w:val="Hyperlink.0"/>
    <w:basedOn w:val="None"/>
    <w:rPr>
      <w:color w:val="000000"/>
      <w:sz w:val="20"/>
      <w:szCs w:val="20"/>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color w:val="0000FF"/>
      <w:u w:val="none" w:color="0000FF"/>
      <w14:textOutline w14:w="12700" w14:cap="flat" w14:cmpd="sng" w14:algn="ctr">
        <w14:noFill/>
        <w14:prstDash w14:val="solid"/>
        <w14:miter w14:lim="400000"/>
      </w14:textOutline>
    </w:rPr>
  </w:style>
  <w:style w:type="character" w:customStyle="1" w:styleId="Hyperlink2">
    <w:name w:val="Hyperlink.2"/>
    <w:basedOn w:val="Link"/>
    <w:rPr>
      <w:color w:val="000000"/>
      <w:sz w:val="20"/>
      <w:szCs w:val="20"/>
      <w:u w:val="none" w:color="000000"/>
      <w14:textOutline w14:w="0" w14:cap="rnd" w14:cmpd="sng" w14:algn="ctr">
        <w14:noFill/>
        <w14:prstDash w14:val="solid"/>
        <w14:bevel/>
      </w14:textOutline>
    </w:rPr>
  </w:style>
  <w:style w:type="character" w:customStyle="1" w:styleId="Hyperlink3">
    <w:name w:val="Hyperlink.3"/>
    <w:basedOn w:val="Link"/>
    <w:rPr>
      <w:rFonts w:ascii="Times New Roman" w:eastAsia="Times New Roman" w:hAnsi="Times New Roman" w:cs="Times New Roman"/>
      <w:color w:val="0000FF"/>
      <w:u w:val="none" w:color="0000FF"/>
      <w14:textOutline w14:w="0" w14:cap="rnd" w14:cmpd="sng" w14:algn="ctr">
        <w14:noFill/>
        <w14:prstDash w14:val="solid"/>
        <w14:bevel/>
      </w14:textOutline>
    </w:rPr>
  </w:style>
  <w:style w:type="character" w:customStyle="1" w:styleId="Hyperlink4">
    <w:name w:val="Hyperlink.4"/>
    <w:basedOn w:val="Link"/>
    <w:rPr>
      <w:rFonts w:ascii="Times New Roman" w:eastAsia="Times New Roman" w:hAnsi="Times New Roman" w:cs="Times New Roman"/>
      <w:color w:val="0000FF"/>
      <w:u w:val="none" w:color="0000FF"/>
      <w:lang w:val="sl-SI"/>
      <w14:textOutline w14:w="0" w14:cap="rnd" w14:cmpd="sng" w14:algn="ctr">
        <w14:noFill/>
        <w14:prstDash w14:val="solid"/>
        <w14:bevel/>
      </w14:textOutline>
    </w:rPr>
  </w:style>
  <w:style w:type="numbering" w:customStyle="1" w:styleId="ImportedStyle10">
    <w:name w:val="Imported Style 1.0"/>
    <w:pPr>
      <w:numPr>
        <w:numId w:val="3"/>
      </w:numPr>
    </w:pPr>
  </w:style>
  <w:style w:type="character" w:customStyle="1" w:styleId="Hyperlink5">
    <w:name w:val="Hyperlink.5"/>
    <w:basedOn w:val="Link"/>
    <w:rPr>
      <w:rFonts w:ascii="Times New Roman" w:eastAsia="Times New Roman" w:hAnsi="Times New Roman" w:cs="Times New Roman"/>
      <w:b/>
      <w:bCs/>
      <w:color w:val="000000"/>
      <w:u w:val="single" w:color="000000"/>
      <w14:textOutline w14:w="0" w14:cap="rnd" w14:cmpd="sng" w14:algn="ctr">
        <w14:noFill/>
        <w14:prstDash w14:val="solid"/>
        <w14:bevel/>
      </w14:textOutli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sl-SI" w:eastAsia="en-US"/>
    </w:rPr>
  </w:style>
  <w:style w:type="character" w:styleId="CommentReference">
    <w:name w:val="annotation reference"/>
    <w:basedOn w:val="DefaultParagraphFont"/>
    <w:uiPriority w:val="99"/>
    <w:semiHidden/>
    <w:unhideWhenUsed/>
    <w:rPr>
      <w:sz w:val="16"/>
      <w:szCs w:val="16"/>
    </w:rPr>
  </w:style>
  <w:style w:type="numbering" w:customStyle="1" w:styleId="ImportedStyle3">
    <w:name w:val="Imported Style 3"/>
    <w:rsid w:val="002211CE"/>
    <w:pPr>
      <w:numPr>
        <w:numId w:val="19"/>
      </w:numPr>
    </w:pPr>
  </w:style>
  <w:style w:type="paragraph" w:styleId="Revision">
    <w:name w:val="Revision"/>
    <w:hidden/>
    <w:uiPriority w:val="99"/>
    <w:semiHidden/>
    <w:rsid w:val="002211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CommentSubject">
    <w:name w:val="annotation subject"/>
    <w:basedOn w:val="CommentText"/>
    <w:next w:val="CommentText"/>
    <w:link w:val="CommentSubjectChar"/>
    <w:uiPriority w:val="99"/>
    <w:semiHidden/>
    <w:unhideWhenUsed/>
    <w:rsid w:val="002211CE"/>
    <w:rPr>
      <w:b/>
      <w:bCs/>
    </w:rPr>
  </w:style>
  <w:style w:type="character" w:customStyle="1" w:styleId="CommentSubjectChar">
    <w:name w:val="Comment Subject Char"/>
    <w:basedOn w:val="CommentTextChar"/>
    <w:link w:val="CommentSubject"/>
    <w:uiPriority w:val="99"/>
    <w:semiHidden/>
    <w:rsid w:val="002211CE"/>
    <w:rPr>
      <w:b/>
      <w:bCs/>
      <w:lang w:val="sl-SI" w:eastAsia="en-US"/>
    </w:rPr>
  </w:style>
  <w:style w:type="paragraph" w:styleId="BalloonText">
    <w:name w:val="Balloon Text"/>
    <w:basedOn w:val="Normal"/>
    <w:link w:val="BalloonTextChar"/>
    <w:uiPriority w:val="99"/>
    <w:semiHidden/>
    <w:unhideWhenUsed/>
    <w:rsid w:val="00221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1CE"/>
    <w:rPr>
      <w:rFonts w:ascii="Segoe UI" w:hAnsi="Segoe UI" w:cs="Segoe UI"/>
      <w:sz w:val="18"/>
      <w:szCs w:val="18"/>
      <w:lang w:eastAsia="en-US"/>
    </w:rPr>
  </w:style>
  <w:style w:type="character" w:styleId="FootnoteReference">
    <w:name w:val="footnote reference"/>
    <w:basedOn w:val="DefaultParagraphFont"/>
    <w:uiPriority w:val="99"/>
    <w:semiHidden/>
    <w:unhideWhenUsed/>
    <w:rsid w:val="002211CE"/>
    <w:rPr>
      <w:vertAlign w:val="superscript"/>
    </w:rPr>
  </w:style>
  <w:style w:type="character" w:styleId="FollowedHyperlink">
    <w:name w:val="FollowedHyperlink"/>
    <w:basedOn w:val="DefaultParagraphFont"/>
    <w:uiPriority w:val="99"/>
    <w:semiHidden/>
    <w:unhideWhenUsed/>
    <w:rsid w:val="002211CE"/>
    <w:rPr>
      <w:color w:val="FF00FF" w:themeColor="followedHyperlink"/>
      <w:u w:val="single"/>
    </w:rPr>
  </w:style>
  <w:style w:type="paragraph" w:styleId="EndnoteText">
    <w:name w:val="endnote text"/>
    <w:basedOn w:val="Normal"/>
    <w:link w:val="EndnoteTextChar"/>
    <w:uiPriority w:val="99"/>
    <w:semiHidden/>
    <w:unhideWhenUsed/>
    <w:rsid w:val="002211CE"/>
    <w:rPr>
      <w:sz w:val="20"/>
      <w:szCs w:val="20"/>
    </w:rPr>
  </w:style>
  <w:style w:type="character" w:customStyle="1" w:styleId="EndnoteTextChar">
    <w:name w:val="Endnote Text Char"/>
    <w:basedOn w:val="DefaultParagraphFont"/>
    <w:link w:val="EndnoteText"/>
    <w:uiPriority w:val="99"/>
    <w:semiHidden/>
    <w:rsid w:val="002211CE"/>
    <w:rPr>
      <w:lang w:eastAsia="en-US"/>
    </w:rPr>
  </w:style>
  <w:style w:type="character" w:styleId="EndnoteReference">
    <w:name w:val="endnote reference"/>
    <w:basedOn w:val="DefaultParagraphFont"/>
    <w:uiPriority w:val="99"/>
    <w:semiHidden/>
    <w:unhideWhenUsed/>
    <w:rsid w:val="002211CE"/>
    <w:rPr>
      <w:vertAlign w:val="superscript"/>
    </w:rPr>
  </w:style>
  <w:style w:type="character" w:customStyle="1" w:styleId="Marker">
    <w:name w:val="Marker"/>
    <w:basedOn w:val="DefaultParagraphFont"/>
    <w:rsid w:val="00223506"/>
    <w:rPr>
      <w:color w:val="0000FF"/>
      <w:shd w:val="clear" w:color="auto" w:fill="auto"/>
    </w:rPr>
  </w:style>
  <w:style w:type="paragraph" w:customStyle="1" w:styleId="Pagedecouverture">
    <w:name w:val="Page de couverture"/>
    <w:basedOn w:val="Normal"/>
    <w:next w:val="Normal"/>
    <w:rsid w:val="007132C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rsid w:val="007132C0"/>
    <w:pPr>
      <w:tabs>
        <w:tab w:val="center" w:pos="4535"/>
        <w:tab w:val="right" w:pos="9071"/>
        <w:tab w:val="right" w:pos="9921"/>
      </w:tabs>
      <w:spacing w:before="360"/>
      <w:ind w:left="-850" w:right="-850"/>
    </w:pPr>
  </w:style>
  <w:style w:type="character" w:customStyle="1" w:styleId="BodyAChar">
    <w:name w:val="Body A Char"/>
    <w:basedOn w:val="DefaultParagraphFont"/>
    <w:link w:val="BodyA"/>
    <w:rsid w:val="007132C0"/>
    <w:rPr>
      <w:rFonts w:ascii="Calibri" w:hAnsi="Calibri" w:cs="Arial Unicode MS"/>
      <w:color w:val="000000"/>
      <w:sz w:val="22"/>
      <w:szCs w:val="22"/>
      <w:u w:color="000000"/>
      <w:lang w:val="sl-SI"/>
      <w14:textOutline w14:w="12700" w14:cap="flat" w14:cmpd="sng" w14:algn="ctr">
        <w14:noFill/>
        <w14:prstDash w14:val="solid"/>
        <w14:miter w14:lim="400000"/>
      </w14:textOutline>
    </w:rPr>
  </w:style>
  <w:style w:type="character" w:customStyle="1" w:styleId="FooterCoverPageChar">
    <w:name w:val="Footer Cover Page Char"/>
    <w:basedOn w:val="BodyAChar"/>
    <w:link w:val="FooterCoverPage"/>
    <w:rsid w:val="007132C0"/>
    <w:rPr>
      <w:rFonts w:ascii="Calibri" w:hAnsi="Calibri" w:cs="Arial Unicode MS"/>
      <w:color w:val="000000"/>
      <w:sz w:val="24"/>
      <w:szCs w:val="24"/>
      <w:u w:color="000000"/>
      <w:lang w:val="sl-SI" w:eastAsia="en-US"/>
      <w14:textOutline w14:w="12700" w14:cap="flat" w14:cmpd="sng" w14:algn="ctr">
        <w14:noFill/>
        <w14:prstDash w14:val="solid"/>
        <w14:miter w14:lim="400000"/>
      </w14:textOutline>
    </w:rPr>
  </w:style>
  <w:style w:type="paragraph" w:customStyle="1" w:styleId="FooterSensitivity">
    <w:name w:val="Footer Sensitivity"/>
    <w:basedOn w:val="Normal"/>
    <w:link w:val="FooterSensitivityChar"/>
    <w:rsid w:val="007132C0"/>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BodyAChar"/>
    <w:link w:val="FooterSensitivity"/>
    <w:rsid w:val="007132C0"/>
    <w:rPr>
      <w:rFonts w:ascii="Calibri" w:hAnsi="Calibri" w:cs="Arial Unicode MS"/>
      <w:b/>
      <w:color w:val="000000"/>
      <w:sz w:val="32"/>
      <w:szCs w:val="24"/>
      <w:u w:color="000000"/>
      <w:lang w:val="sl-SI" w:eastAsia="en-US"/>
      <w14:textOutline w14:w="12700" w14:cap="flat" w14:cmpd="sng" w14:algn="ctr">
        <w14:noFill/>
        <w14:prstDash w14:val="solid"/>
        <w14:miter w14:lim="400000"/>
      </w14:textOutline>
    </w:rPr>
  </w:style>
  <w:style w:type="paragraph" w:customStyle="1" w:styleId="HeaderCoverPage">
    <w:name w:val="Header Cover Page"/>
    <w:basedOn w:val="Normal"/>
    <w:link w:val="HeaderCoverPageChar"/>
    <w:rsid w:val="007132C0"/>
    <w:pPr>
      <w:tabs>
        <w:tab w:val="center" w:pos="4535"/>
        <w:tab w:val="right" w:pos="9071"/>
      </w:tabs>
      <w:spacing w:after="120"/>
      <w:jc w:val="both"/>
    </w:pPr>
  </w:style>
  <w:style w:type="character" w:customStyle="1" w:styleId="HeaderCoverPageChar">
    <w:name w:val="Header Cover Page Char"/>
    <w:basedOn w:val="BodyAChar"/>
    <w:link w:val="HeaderCoverPage"/>
    <w:rsid w:val="007132C0"/>
    <w:rPr>
      <w:rFonts w:ascii="Calibri" w:hAnsi="Calibri" w:cs="Arial Unicode MS"/>
      <w:color w:val="000000"/>
      <w:sz w:val="24"/>
      <w:szCs w:val="24"/>
      <w:u w:color="000000"/>
      <w:lang w:val="sl-SI" w:eastAsia="en-US"/>
      <w14:textOutline w14:w="12700" w14:cap="flat" w14:cmpd="sng" w14:algn="ctr">
        <w14:noFill/>
        <w14:prstDash w14:val="solid"/>
        <w14:miter w14:lim="400000"/>
      </w14:textOutline>
    </w:rPr>
  </w:style>
  <w:style w:type="paragraph" w:customStyle="1" w:styleId="HeaderSensitivity">
    <w:name w:val="Header Sensitivity"/>
    <w:basedOn w:val="Normal"/>
    <w:link w:val="HeaderSensitivityChar"/>
    <w:rsid w:val="007132C0"/>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AChar"/>
    <w:link w:val="HeaderSensitivity"/>
    <w:rsid w:val="007132C0"/>
    <w:rPr>
      <w:rFonts w:ascii="Calibri" w:hAnsi="Calibri" w:cs="Arial Unicode MS"/>
      <w:b/>
      <w:color w:val="000000"/>
      <w:sz w:val="32"/>
      <w:szCs w:val="24"/>
      <w:u w:color="000000"/>
      <w:lang w:val="sl-SI" w:eastAsia="en-US"/>
      <w14:textOutline w14:w="12700" w14:cap="flat" w14:cmpd="sng" w14:algn="ctr">
        <w14:noFill/>
        <w14:prstDash w14:val="solid"/>
        <w14:miter w14:lim="400000"/>
      </w14:textOutline>
    </w:rPr>
  </w:style>
  <w:style w:type="paragraph" w:customStyle="1" w:styleId="HeaderSensitivityRight">
    <w:name w:val="Header Sensitivity Right"/>
    <w:basedOn w:val="Normal"/>
    <w:link w:val="HeaderSensitivityRightChar"/>
    <w:rsid w:val="00BB6755"/>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sz w:val="28"/>
    </w:rPr>
  </w:style>
  <w:style w:type="character" w:customStyle="1" w:styleId="HeaderSensitivityRightChar">
    <w:name w:val="Header Sensitivity Right Char"/>
    <w:basedOn w:val="BodyAChar"/>
    <w:link w:val="HeaderSensitivityRight"/>
    <w:rsid w:val="007132C0"/>
    <w:rPr>
      <w:rFonts w:ascii="Calibri" w:hAnsi="Calibri" w:cs="Arial Unicode MS"/>
      <w:color w:val="000000"/>
      <w:sz w:val="28"/>
      <w:szCs w:val="24"/>
      <w:u w:color="000000"/>
      <w:lang w:val="sl-SI" w:eastAsia="en-US"/>
      <w14:textOutline w14:w="12700" w14:cap="flat" w14:cmpd="sng" w14:algn="ctr">
        <w14:noFill/>
        <w14:prstDash w14:val="solid"/>
        <w14:miter w14:lim="400000"/>
      </w14:textOutline>
    </w:rPr>
  </w:style>
  <w:style w:type="paragraph" w:customStyle="1" w:styleId="Typedudocument">
    <w:name w:val="Type du document"/>
    <w:basedOn w:val="Normal"/>
    <w:next w:val="Normal"/>
    <w:rsid w:val="007132C0"/>
    <w:pPr>
      <w:pBdr>
        <w:top w:val="none" w:sz="0" w:space="0" w:color="auto"/>
        <w:left w:val="none" w:sz="0" w:space="0" w:color="auto"/>
        <w:bottom w:val="none" w:sz="0" w:space="0" w:color="auto"/>
        <w:right w:val="none" w:sz="0" w:space="0" w:color="auto"/>
        <w:between w:val="none" w:sz="0" w:space="0" w:color="auto"/>
        <w:bar w:val="none" w:sz="0" w:color="auto"/>
      </w:pBdr>
      <w:spacing w:before="360"/>
      <w:jc w:val="center"/>
    </w:pPr>
    <w:rPr>
      <w:rFonts w:eastAsiaTheme="minorHAnsi"/>
      <w:b/>
      <w:szCs w:val="22"/>
      <w:bdr w:val="none" w:sz="0" w:space="0" w:color="auto"/>
    </w:rPr>
  </w:style>
  <w:style w:type="paragraph" w:customStyle="1" w:styleId="Titreobjet">
    <w:name w:val="Titre objet"/>
    <w:basedOn w:val="Normal"/>
    <w:next w:val="Normal"/>
    <w:rsid w:val="007132C0"/>
    <w:pPr>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pPr>
    <w:rPr>
      <w:rFonts w:eastAsiaTheme="minorHAnsi"/>
      <w:b/>
      <w:szCs w:val="22"/>
      <w:bdr w:val="none" w:sz="0" w:space="0" w:color="auto"/>
    </w:rPr>
  </w:style>
  <w:style w:type="character" w:customStyle="1" w:styleId="FooterChar">
    <w:name w:val="Footer Char"/>
    <w:basedOn w:val="DefaultParagraphFont"/>
    <w:link w:val="Footer"/>
    <w:uiPriority w:val="99"/>
    <w:rsid w:val="00E43B4B"/>
    <w:rPr>
      <w:rFonts w:ascii="Calibri" w:eastAsia="Calibri" w:hAnsi="Calibri" w:cs="Calibri"/>
      <w:color w:val="000000"/>
      <w:sz w:val="22"/>
      <w:szCs w:val="22"/>
      <w:u w:color="000000"/>
      <w:lang w:val="sl-SI"/>
    </w:rPr>
  </w:style>
  <w:style w:type="paragraph" w:styleId="NormalWeb">
    <w:name w:val="Normal (Web)"/>
    <w:basedOn w:val="Normal"/>
    <w:uiPriority w:val="99"/>
    <w:semiHidden/>
    <w:unhideWhenUsed/>
    <w:rsid w:val="007D3A52"/>
  </w:style>
  <w:style w:type="character" w:customStyle="1" w:styleId="FootnoteTextChar">
    <w:name w:val="Footnote Text Char"/>
    <w:basedOn w:val="DefaultParagraphFont"/>
    <w:link w:val="FootnoteText"/>
    <w:rsid w:val="00924538"/>
    <w:rPr>
      <w:rFonts w:ascii="Calibri" w:hAnsi="Calibri" w:cs="Arial Unicode MS"/>
      <w:color w:val="000000"/>
      <w:u w:color="000000"/>
      <w:lang w:val="sl-SI"/>
    </w:rPr>
  </w:style>
  <w:style w:type="paragraph" w:customStyle="1" w:styleId="bodya0">
    <w:name w:val="bodya"/>
    <w:basedOn w:val="Normal"/>
    <w:rsid w:val="002939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Disclaimer">
    <w:name w:val="Disclaimer"/>
    <w:basedOn w:val="Normal"/>
    <w:rsid w:val="00BB6755"/>
    <w:pPr>
      <w:framePr w:w="8220" w:wrap="notBeside" w:hAnchor="margin" w:xAlign="center" w:y="10401"/>
      <w:pBdr>
        <w:top w:val="single" w:sz="6" w:space="4" w:color="auto"/>
        <w:left w:val="single" w:sz="6" w:space="7" w:color="auto"/>
        <w:bottom w:val="single" w:sz="6" w:space="4" w:color="auto"/>
        <w:right w:val="single" w:sz="6" w:space="7" w:color="auto"/>
        <w:between w:val="none" w:sz="0" w:space="0" w:color="auto"/>
        <w:bar w:val="none" w:sz="0" w:color="auto"/>
      </w:pBdr>
      <w:shd w:val="clear" w:color="FFFFFF" w:fill="auto"/>
      <w:spacing w:before="120" w:after="120"/>
      <w:jc w:val="both"/>
    </w:pPr>
    <w:rPr>
      <w:rFonts w:eastAsiaTheme="minorHAnsi"/>
      <w:szCs w:val="22"/>
      <w:bdr w:val="none" w:sz="0" w:space="0" w:color="auto"/>
    </w:rPr>
  </w:style>
  <w:style w:type="paragraph" w:customStyle="1" w:styleId="SecurityMarking">
    <w:name w:val="SecurityMarking"/>
    <w:basedOn w:val="Normal"/>
    <w:rsid w:val="00BB675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rPr>
  </w:style>
  <w:style w:type="paragraph" w:customStyle="1" w:styleId="DateMarking">
    <w:name w:val="DateMarking"/>
    <w:basedOn w:val="Normal"/>
    <w:rsid w:val="00BB675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ReleasableTo">
    <w:name w:val="ReleasableTo"/>
    <w:basedOn w:val="Normal"/>
    <w:rsid w:val="00BB675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TechnicalBlock">
    <w:name w:val="Technical Block"/>
    <w:basedOn w:val="ListParagraph"/>
    <w:link w:val="TechnicalBlockChar"/>
    <w:rsid w:val="00223506"/>
    <w:pPr>
      <w:numPr>
        <w:numId w:val="2"/>
      </w:numPr>
      <w:spacing w:after="240" w:line="240" w:lineRule="auto"/>
      <w:ind w:left="714" w:hanging="357"/>
      <w:jc w:val="center"/>
    </w:pPr>
    <w:rPr>
      <w:b/>
      <w:smallCaps/>
      <w:noProof/>
      <w:sz w:val="24"/>
    </w:rPr>
  </w:style>
  <w:style w:type="character" w:customStyle="1" w:styleId="ListParagraphChar">
    <w:name w:val="List Paragraph Char"/>
    <w:basedOn w:val="DefaultParagraphFont"/>
    <w:link w:val="ListParagraph"/>
    <w:uiPriority w:val="34"/>
    <w:rsid w:val="00223506"/>
    <w:rPr>
      <w:rFonts w:ascii="Calibri" w:hAnsi="Calibri" w:cs="Arial Unicode MS"/>
      <w:color w:val="000000"/>
      <w:sz w:val="22"/>
      <w:szCs w:val="22"/>
      <w:u w:color="000000"/>
    </w:rPr>
  </w:style>
  <w:style w:type="character" w:customStyle="1" w:styleId="TechnicalBlockChar">
    <w:name w:val="Technical Block Char"/>
    <w:basedOn w:val="ListParagraphChar"/>
    <w:link w:val="TechnicalBlock"/>
    <w:rsid w:val="00223506"/>
    <w:rPr>
      <w:rFonts w:ascii="Calibri" w:hAnsi="Calibri" w:cs="Arial Unicode MS"/>
      <w:b/>
      <w:smallCaps/>
      <w:noProof/>
      <w:color w:val="000000"/>
      <w:sz w:val="24"/>
      <w:szCs w:val="22"/>
      <w:u w:color="000000"/>
    </w:rPr>
  </w:style>
  <w:style w:type="paragraph" w:customStyle="1" w:styleId="EntText">
    <w:name w:val="EntText"/>
    <w:basedOn w:val="Normal"/>
    <w:rsid w:val="0022350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Pr>
      <w:rFonts w:eastAsiaTheme="minorHAnsi"/>
      <w:szCs w:val="22"/>
      <w:bdr w:val="none" w:sz="0" w:space="0" w:color="auto"/>
    </w:rPr>
  </w:style>
  <w:style w:type="paragraph" w:customStyle="1" w:styleId="Lignefinal">
    <w:name w:val="Ligne final"/>
    <w:basedOn w:val="Normal"/>
    <w:next w:val="Normal"/>
    <w:rsid w:val="00223506"/>
    <w:pPr>
      <w:pBdr>
        <w:top w:val="none" w:sz="0" w:space="0" w:color="auto"/>
        <w:left w:val="none" w:sz="0" w:space="0" w:color="auto"/>
        <w:bottom w:val="single" w:sz="4" w:space="0" w:color="000000"/>
        <w:right w:val="none" w:sz="0" w:space="0" w:color="auto"/>
        <w:between w:val="none" w:sz="0" w:space="0" w:color="auto"/>
        <w:bar w:val="none" w:sz="0" w:color="auto"/>
      </w:pBdr>
      <w:spacing w:before="360" w:after="120" w:line="360" w:lineRule="auto"/>
      <w:ind w:left="3400" w:right="3400"/>
      <w:jc w:val="center"/>
    </w:pPr>
    <w:rPr>
      <w:rFonts w:eastAsiaTheme="minorHAnsi"/>
      <w:b/>
      <w:szCs w:val="22"/>
      <w:bdr w:val="none" w:sz="0" w:space="0" w:color="auto"/>
    </w:rPr>
  </w:style>
  <w:style w:type="paragraph" w:customStyle="1" w:styleId="pj">
    <w:name w:val="p.j."/>
    <w:basedOn w:val="Normal"/>
    <w:link w:val="pjChar"/>
    <w:rsid w:val="00223506"/>
    <w:pPr>
      <w:spacing w:before="1200" w:after="120"/>
      <w:ind w:left="1440" w:hanging="1440"/>
    </w:pPr>
  </w:style>
  <w:style w:type="character" w:customStyle="1" w:styleId="pjChar">
    <w:name w:val="p.j. Char"/>
    <w:basedOn w:val="ListParagraphChar"/>
    <w:link w:val="pj"/>
    <w:rsid w:val="00223506"/>
    <w:rPr>
      <w:rFonts w:ascii="Calibri" w:hAnsi="Calibri" w:cs="Arial Unicode MS"/>
      <w:color w:val="000000"/>
      <w:sz w:val="24"/>
      <w:szCs w:val="24"/>
      <w:u w:color="000000"/>
      <w:lang w:eastAsia="en-US"/>
    </w:rPr>
  </w:style>
  <w:style w:type="paragraph" w:customStyle="1" w:styleId="nbbordered">
    <w:name w:val="nb bordered"/>
    <w:basedOn w:val="Normal"/>
    <w:link w:val="nbborderedChar"/>
    <w:rsid w:val="00223506"/>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ListParagraphChar"/>
    <w:link w:val="nbbordered"/>
    <w:rsid w:val="00223506"/>
    <w:rPr>
      <w:rFonts w:ascii="Calibri" w:hAnsi="Calibri" w:cs="Arial Unicode MS"/>
      <w:b/>
      <w:color w:val="000000"/>
      <w:sz w:val="24"/>
      <w:szCs w:val="24"/>
      <w:u w:color="000000"/>
      <w:lang w:eastAsia="en-US"/>
    </w:rPr>
  </w:style>
  <w:style w:type="paragraph" w:customStyle="1" w:styleId="HeaderCouncil">
    <w:name w:val="Header Council"/>
    <w:basedOn w:val="Normal"/>
    <w:link w:val="HeaderCouncilChar"/>
    <w:rsid w:val="00223506"/>
    <w:rPr>
      <w:noProof/>
      <w:sz w:val="2"/>
    </w:rPr>
  </w:style>
  <w:style w:type="character" w:customStyle="1" w:styleId="HeaderCouncilChar">
    <w:name w:val="Header Council Char"/>
    <w:basedOn w:val="DefaultParagraphFont"/>
    <w:link w:val="HeaderCouncil"/>
    <w:rsid w:val="00223506"/>
    <w:rPr>
      <w:noProof/>
      <w:sz w:val="2"/>
      <w:szCs w:val="24"/>
      <w:lang w:eastAsia="en-US"/>
    </w:rPr>
  </w:style>
  <w:style w:type="paragraph" w:customStyle="1" w:styleId="HeaderCouncilLarge">
    <w:name w:val="Header Council Large"/>
    <w:basedOn w:val="Normal"/>
    <w:link w:val="HeaderCouncilLargeChar"/>
    <w:rsid w:val="00223506"/>
    <w:pPr>
      <w:spacing w:after="440"/>
    </w:pPr>
    <w:rPr>
      <w:noProof/>
      <w:sz w:val="2"/>
    </w:rPr>
  </w:style>
  <w:style w:type="character" w:customStyle="1" w:styleId="HeaderCouncilLargeChar">
    <w:name w:val="Header Council Large Char"/>
    <w:basedOn w:val="DefaultParagraphFont"/>
    <w:link w:val="HeaderCouncilLarge"/>
    <w:rsid w:val="00223506"/>
    <w:rPr>
      <w:noProof/>
      <w:sz w:val="2"/>
      <w:szCs w:val="24"/>
      <w:lang w:eastAsia="en-US"/>
    </w:rPr>
  </w:style>
  <w:style w:type="paragraph" w:customStyle="1" w:styleId="FooterCouncil">
    <w:name w:val="Footer Council"/>
    <w:basedOn w:val="Normal"/>
    <w:link w:val="FooterCouncilChar"/>
    <w:rsid w:val="00223506"/>
    <w:rPr>
      <w:noProof/>
      <w:sz w:val="2"/>
    </w:rPr>
  </w:style>
  <w:style w:type="character" w:customStyle="1" w:styleId="FooterCouncilChar">
    <w:name w:val="Footer Council Char"/>
    <w:basedOn w:val="DefaultParagraphFont"/>
    <w:link w:val="FooterCouncil"/>
    <w:rsid w:val="00223506"/>
    <w:rPr>
      <w:noProof/>
      <w:sz w:val="2"/>
      <w:szCs w:val="24"/>
      <w:lang w:eastAsia="en-US"/>
    </w:rPr>
  </w:style>
  <w:style w:type="paragraph" w:customStyle="1" w:styleId="FooterText">
    <w:name w:val="Footer Text"/>
    <w:basedOn w:val="Normal"/>
    <w:rsid w:val="0022350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rPr>
  </w:style>
  <w:style w:type="character" w:styleId="PlaceholderText">
    <w:name w:val="Placeholder Text"/>
    <w:basedOn w:val="DefaultParagraphFont"/>
    <w:uiPriority w:val="99"/>
    <w:semiHidden/>
    <w:rsid w:val="002235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3424">
      <w:bodyDiv w:val="1"/>
      <w:marLeft w:val="0"/>
      <w:marRight w:val="0"/>
      <w:marTop w:val="0"/>
      <w:marBottom w:val="0"/>
      <w:divBdr>
        <w:top w:val="none" w:sz="0" w:space="0" w:color="auto"/>
        <w:left w:val="none" w:sz="0" w:space="0" w:color="auto"/>
        <w:bottom w:val="none" w:sz="0" w:space="0" w:color="auto"/>
        <w:right w:val="none" w:sz="0" w:space="0" w:color="auto"/>
      </w:divBdr>
    </w:div>
    <w:div w:id="103621791">
      <w:bodyDiv w:val="1"/>
      <w:marLeft w:val="0"/>
      <w:marRight w:val="0"/>
      <w:marTop w:val="0"/>
      <w:marBottom w:val="0"/>
      <w:divBdr>
        <w:top w:val="none" w:sz="0" w:space="0" w:color="auto"/>
        <w:left w:val="none" w:sz="0" w:space="0" w:color="auto"/>
        <w:bottom w:val="none" w:sz="0" w:space="0" w:color="auto"/>
        <w:right w:val="none" w:sz="0" w:space="0" w:color="auto"/>
      </w:divBdr>
    </w:div>
    <w:div w:id="132795815">
      <w:bodyDiv w:val="1"/>
      <w:marLeft w:val="0"/>
      <w:marRight w:val="0"/>
      <w:marTop w:val="0"/>
      <w:marBottom w:val="0"/>
      <w:divBdr>
        <w:top w:val="none" w:sz="0" w:space="0" w:color="auto"/>
        <w:left w:val="none" w:sz="0" w:space="0" w:color="auto"/>
        <w:bottom w:val="none" w:sz="0" w:space="0" w:color="auto"/>
        <w:right w:val="none" w:sz="0" w:space="0" w:color="auto"/>
      </w:divBdr>
    </w:div>
    <w:div w:id="324357310">
      <w:bodyDiv w:val="1"/>
      <w:marLeft w:val="0"/>
      <w:marRight w:val="0"/>
      <w:marTop w:val="0"/>
      <w:marBottom w:val="0"/>
      <w:divBdr>
        <w:top w:val="none" w:sz="0" w:space="0" w:color="auto"/>
        <w:left w:val="none" w:sz="0" w:space="0" w:color="auto"/>
        <w:bottom w:val="none" w:sz="0" w:space="0" w:color="auto"/>
        <w:right w:val="none" w:sz="0" w:space="0" w:color="auto"/>
      </w:divBdr>
    </w:div>
    <w:div w:id="437604643">
      <w:bodyDiv w:val="1"/>
      <w:marLeft w:val="0"/>
      <w:marRight w:val="0"/>
      <w:marTop w:val="0"/>
      <w:marBottom w:val="0"/>
      <w:divBdr>
        <w:top w:val="none" w:sz="0" w:space="0" w:color="auto"/>
        <w:left w:val="none" w:sz="0" w:space="0" w:color="auto"/>
        <w:bottom w:val="none" w:sz="0" w:space="0" w:color="auto"/>
        <w:right w:val="none" w:sz="0" w:space="0" w:color="auto"/>
      </w:divBdr>
    </w:div>
    <w:div w:id="489369567">
      <w:bodyDiv w:val="1"/>
      <w:marLeft w:val="0"/>
      <w:marRight w:val="0"/>
      <w:marTop w:val="0"/>
      <w:marBottom w:val="0"/>
      <w:divBdr>
        <w:top w:val="none" w:sz="0" w:space="0" w:color="auto"/>
        <w:left w:val="none" w:sz="0" w:space="0" w:color="auto"/>
        <w:bottom w:val="none" w:sz="0" w:space="0" w:color="auto"/>
        <w:right w:val="none" w:sz="0" w:space="0" w:color="auto"/>
      </w:divBdr>
    </w:div>
    <w:div w:id="535852799">
      <w:bodyDiv w:val="1"/>
      <w:marLeft w:val="0"/>
      <w:marRight w:val="0"/>
      <w:marTop w:val="0"/>
      <w:marBottom w:val="0"/>
      <w:divBdr>
        <w:top w:val="none" w:sz="0" w:space="0" w:color="auto"/>
        <w:left w:val="none" w:sz="0" w:space="0" w:color="auto"/>
        <w:bottom w:val="none" w:sz="0" w:space="0" w:color="auto"/>
        <w:right w:val="none" w:sz="0" w:space="0" w:color="auto"/>
      </w:divBdr>
    </w:div>
    <w:div w:id="576523325">
      <w:bodyDiv w:val="1"/>
      <w:marLeft w:val="0"/>
      <w:marRight w:val="0"/>
      <w:marTop w:val="0"/>
      <w:marBottom w:val="0"/>
      <w:divBdr>
        <w:top w:val="none" w:sz="0" w:space="0" w:color="auto"/>
        <w:left w:val="none" w:sz="0" w:space="0" w:color="auto"/>
        <w:bottom w:val="none" w:sz="0" w:space="0" w:color="auto"/>
        <w:right w:val="none" w:sz="0" w:space="0" w:color="auto"/>
      </w:divBdr>
    </w:div>
    <w:div w:id="629357344">
      <w:bodyDiv w:val="1"/>
      <w:marLeft w:val="0"/>
      <w:marRight w:val="0"/>
      <w:marTop w:val="0"/>
      <w:marBottom w:val="0"/>
      <w:divBdr>
        <w:top w:val="none" w:sz="0" w:space="0" w:color="auto"/>
        <w:left w:val="none" w:sz="0" w:space="0" w:color="auto"/>
        <w:bottom w:val="none" w:sz="0" w:space="0" w:color="auto"/>
        <w:right w:val="none" w:sz="0" w:space="0" w:color="auto"/>
      </w:divBdr>
    </w:div>
    <w:div w:id="739668071">
      <w:bodyDiv w:val="1"/>
      <w:marLeft w:val="0"/>
      <w:marRight w:val="0"/>
      <w:marTop w:val="0"/>
      <w:marBottom w:val="0"/>
      <w:divBdr>
        <w:top w:val="none" w:sz="0" w:space="0" w:color="auto"/>
        <w:left w:val="none" w:sz="0" w:space="0" w:color="auto"/>
        <w:bottom w:val="none" w:sz="0" w:space="0" w:color="auto"/>
        <w:right w:val="none" w:sz="0" w:space="0" w:color="auto"/>
      </w:divBdr>
    </w:div>
    <w:div w:id="740952871">
      <w:bodyDiv w:val="1"/>
      <w:marLeft w:val="0"/>
      <w:marRight w:val="0"/>
      <w:marTop w:val="0"/>
      <w:marBottom w:val="0"/>
      <w:divBdr>
        <w:top w:val="none" w:sz="0" w:space="0" w:color="auto"/>
        <w:left w:val="none" w:sz="0" w:space="0" w:color="auto"/>
        <w:bottom w:val="none" w:sz="0" w:space="0" w:color="auto"/>
        <w:right w:val="none" w:sz="0" w:space="0" w:color="auto"/>
      </w:divBdr>
    </w:div>
    <w:div w:id="765619847">
      <w:bodyDiv w:val="1"/>
      <w:marLeft w:val="0"/>
      <w:marRight w:val="0"/>
      <w:marTop w:val="0"/>
      <w:marBottom w:val="0"/>
      <w:divBdr>
        <w:top w:val="none" w:sz="0" w:space="0" w:color="auto"/>
        <w:left w:val="none" w:sz="0" w:space="0" w:color="auto"/>
        <w:bottom w:val="none" w:sz="0" w:space="0" w:color="auto"/>
        <w:right w:val="none" w:sz="0" w:space="0" w:color="auto"/>
      </w:divBdr>
    </w:div>
    <w:div w:id="804346716">
      <w:bodyDiv w:val="1"/>
      <w:marLeft w:val="0"/>
      <w:marRight w:val="0"/>
      <w:marTop w:val="0"/>
      <w:marBottom w:val="0"/>
      <w:divBdr>
        <w:top w:val="none" w:sz="0" w:space="0" w:color="auto"/>
        <w:left w:val="none" w:sz="0" w:space="0" w:color="auto"/>
        <w:bottom w:val="none" w:sz="0" w:space="0" w:color="auto"/>
        <w:right w:val="none" w:sz="0" w:space="0" w:color="auto"/>
      </w:divBdr>
    </w:div>
    <w:div w:id="860585979">
      <w:bodyDiv w:val="1"/>
      <w:marLeft w:val="0"/>
      <w:marRight w:val="0"/>
      <w:marTop w:val="0"/>
      <w:marBottom w:val="0"/>
      <w:divBdr>
        <w:top w:val="none" w:sz="0" w:space="0" w:color="auto"/>
        <w:left w:val="none" w:sz="0" w:space="0" w:color="auto"/>
        <w:bottom w:val="none" w:sz="0" w:space="0" w:color="auto"/>
        <w:right w:val="none" w:sz="0" w:space="0" w:color="auto"/>
      </w:divBdr>
    </w:div>
    <w:div w:id="913317423">
      <w:bodyDiv w:val="1"/>
      <w:marLeft w:val="0"/>
      <w:marRight w:val="0"/>
      <w:marTop w:val="0"/>
      <w:marBottom w:val="0"/>
      <w:divBdr>
        <w:top w:val="none" w:sz="0" w:space="0" w:color="auto"/>
        <w:left w:val="none" w:sz="0" w:space="0" w:color="auto"/>
        <w:bottom w:val="none" w:sz="0" w:space="0" w:color="auto"/>
        <w:right w:val="none" w:sz="0" w:space="0" w:color="auto"/>
      </w:divBdr>
    </w:div>
    <w:div w:id="986981111">
      <w:bodyDiv w:val="1"/>
      <w:marLeft w:val="0"/>
      <w:marRight w:val="0"/>
      <w:marTop w:val="0"/>
      <w:marBottom w:val="0"/>
      <w:divBdr>
        <w:top w:val="none" w:sz="0" w:space="0" w:color="auto"/>
        <w:left w:val="none" w:sz="0" w:space="0" w:color="auto"/>
        <w:bottom w:val="none" w:sz="0" w:space="0" w:color="auto"/>
        <w:right w:val="none" w:sz="0" w:space="0" w:color="auto"/>
      </w:divBdr>
    </w:div>
    <w:div w:id="1032223125">
      <w:bodyDiv w:val="1"/>
      <w:marLeft w:val="0"/>
      <w:marRight w:val="0"/>
      <w:marTop w:val="0"/>
      <w:marBottom w:val="0"/>
      <w:divBdr>
        <w:top w:val="none" w:sz="0" w:space="0" w:color="auto"/>
        <w:left w:val="none" w:sz="0" w:space="0" w:color="auto"/>
        <w:bottom w:val="none" w:sz="0" w:space="0" w:color="auto"/>
        <w:right w:val="none" w:sz="0" w:space="0" w:color="auto"/>
      </w:divBdr>
    </w:div>
    <w:div w:id="1041632242">
      <w:bodyDiv w:val="1"/>
      <w:marLeft w:val="0"/>
      <w:marRight w:val="0"/>
      <w:marTop w:val="0"/>
      <w:marBottom w:val="0"/>
      <w:divBdr>
        <w:top w:val="none" w:sz="0" w:space="0" w:color="auto"/>
        <w:left w:val="none" w:sz="0" w:space="0" w:color="auto"/>
        <w:bottom w:val="none" w:sz="0" w:space="0" w:color="auto"/>
        <w:right w:val="none" w:sz="0" w:space="0" w:color="auto"/>
      </w:divBdr>
    </w:div>
    <w:div w:id="1122192631">
      <w:bodyDiv w:val="1"/>
      <w:marLeft w:val="0"/>
      <w:marRight w:val="0"/>
      <w:marTop w:val="0"/>
      <w:marBottom w:val="0"/>
      <w:divBdr>
        <w:top w:val="none" w:sz="0" w:space="0" w:color="auto"/>
        <w:left w:val="none" w:sz="0" w:space="0" w:color="auto"/>
        <w:bottom w:val="none" w:sz="0" w:space="0" w:color="auto"/>
        <w:right w:val="none" w:sz="0" w:space="0" w:color="auto"/>
      </w:divBdr>
    </w:div>
    <w:div w:id="1123692169">
      <w:bodyDiv w:val="1"/>
      <w:marLeft w:val="0"/>
      <w:marRight w:val="0"/>
      <w:marTop w:val="0"/>
      <w:marBottom w:val="0"/>
      <w:divBdr>
        <w:top w:val="none" w:sz="0" w:space="0" w:color="auto"/>
        <w:left w:val="none" w:sz="0" w:space="0" w:color="auto"/>
        <w:bottom w:val="none" w:sz="0" w:space="0" w:color="auto"/>
        <w:right w:val="none" w:sz="0" w:space="0" w:color="auto"/>
      </w:divBdr>
    </w:div>
    <w:div w:id="1219587508">
      <w:bodyDiv w:val="1"/>
      <w:marLeft w:val="0"/>
      <w:marRight w:val="0"/>
      <w:marTop w:val="0"/>
      <w:marBottom w:val="0"/>
      <w:divBdr>
        <w:top w:val="none" w:sz="0" w:space="0" w:color="auto"/>
        <w:left w:val="none" w:sz="0" w:space="0" w:color="auto"/>
        <w:bottom w:val="none" w:sz="0" w:space="0" w:color="auto"/>
        <w:right w:val="none" w:sz="0" w:space="0" w:color="auto"/>
      </w:divBdr>
    </w:div>
    <w:div w:id="1486510570">
      <w:bodyDiv w:val="1"/>
      <w:marLeft w:val="0"/>
      <w:marRight w:val="0"/>
      <w:marTop w:val="0"/>
      <w:marBottom w:val="0"/>
      <w:divBdr>
        <w:top w:val="none" w:sz="0" w:space="0" w:color="auto"/>
        <w:left w:val="none" w:sz="0" w:space="0" w:color="auto"/>
        <w:bottom w:val="none" w:sz="0" w:space="0" w:color="auto"/>
        <w:right w:val="none" w:sz="0" w:space="0" w:color="auto"/>
      </w:divBdr>
    </w:div>
    <w:div w:id="1489051151">
      <w:bodyDiv w:val="1"/>
      <w:marLeft w:val="0"/>
      <w:marRight w:val="0"/>
      <w:marTop w:val="0"/>
      <w:marBottom w:val="0"/>
      <w:divBdr>
        <w:top w:val="none" w:sz="0" w:space="0" w:color="auto"/>
        <w:left w:val="none" w:sz="0" w:space="0" w:color="auto"/>
        <w:bottom w:val="none" w:sz="0" w:space="0" w:color="auto"/>
        <w:right w:val="none" w:sz="0" w:space="0" w:color="auto"/>
      </w:divBdr>
    </w:div>
    <w:div w:id="1511021691">
      <w:bodyDiv w:val="1"/>
      <w:marLeft w:val="0"/>
      <w:marRight w:val="0"/>
      <w:marTop w:val="0"/>
      <w:marBottom w:val="0"/>
      <w:divBdr>
        <w:top w:val="none" w:sz="0" w:space="0" w:color="auto"/>
        <w:left w:val="none" w:sz="0" w:space="0" w:color="auto"/>
        <w:bottom w:val="none" w:sz="0" w:space="0" w:color="auto"/>
        <w:right w:val="none" w:sz="0" w:space="0" w:color="auto"/>
      </w:divBdr>
    </w:div>
    <w:div w:id="1594818581">
      <w:bodyDiv w:val="1"/>
      <w:marLeft w:val="0"/>
      <w:marRight w:val="0"/>
      <w:marTop w:val="0"/>
      <w:marBottom w:val="0"/>
      <w:divBdr>
        <w:top w:val="none" w:sz="0" w:space="0" w:color="auto"/>
        <w:left w:val="none" w:sz="0" w:space="0" w:color="auto"/>
        <w:bottom w:val="none" w:sz="0" w:space="0" w:color="auto"/>
        <w:right w:val="none" w:sz="0" w:space="0" w:color="auto"/>
      </w:divBdr>
    </w:div>
    <w:div w:id="1684697560">
      <w:bodyDiv w:val="1"/>
      <w:marLeft w:val="0"/>
      <w:marRight w:val="0"/>
      <w:marTop w:val="0"/>
      <w:marBottom w:val="0"/>
      <w:divBdr>
        <w:top w:val="none" w:sz="0" w:space="0" w:color="auto"/>
        <w:left w:val="none" w:sz="0" w:space="0" w:color="auto"/>
        <w:bottom w:val="none" w:sz="0" w:space="0" w:color="auto"/>
        <w:right w:val="none" w:sz="0" w:space="0" w:color="auto"/>
      </w:divBdr>
    </w:div>
    <w:div w:id="1867480182">
      <w:bodyDiv w:val="1"/>
      <w:marLeft w:val="0"/>
      <w:marRight w:val="0"/>
      <w:marTop w:val="0"/>
      <w:marBottom w:val="0"/>
      <w:divBdr>
        <w:top w:val="none" w:sz="0" w:space="0" w:color="auto"/>
        <w:left w:val="none" w:sz="0" w:space="0" w:color="auto"/>
        <w:bottom w:val="none" w:sz="0" w:space="0" w:color="auto"/>
        <w:right w:val="none" w:sz="0" w:space="0" w:color="auto"/>
      </w:divBdr>
    </w:div>
    <w:div w:id="2069378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sl/TXT/?uri=CELEX:52021PC0564" TargetMode="External"/><Relationship Id="rId13" Type="http://schemas.openxmlformats.org/officeDocument/2006/relationships/hyperlink" Target="https://ec.europa.eu/commission/presscorner/detail/sl/IP_21_6882" TargetMode="External"/><Relationship Id="rId18" Type="http://schemas.openxmlformats.org/officeDocument/2006/relationships/hyperlink" Target="https://trade.ec.europa.eu/access-to-markets/en/form-assets/operational_guidelines.pdf" TargetMode="External"/><Relationship Id="rId3" Type="http://schemas.openxmlformats.org/officeDocument/2006/relationships/hyperlink" Target="https://policy.trade.ec.europa.eu/development-and-sustainability/sustainable-development/sustainable-development-eu-trade-agreements_en" TargetMode="External"/><Relationship Id="rId7" Type="http://schemas.openxmlformats.org/officeDocument/2006/relationships/hyperlink" Target="https://ec.europa.eu/commission/presscorner/detail/sl/ip_22_1187" TargetMode="External"/><Relationship Id="rId12" Type="http://schemas.openxmlformats.org/officeDocument/2006/relationships/hyperlink" Target="https://eur-lex.europa.eu/resource.html?uri=cellar:0fe49a24-1c94-11ec-b4fe-01aa75ed71a1.0017.02/DOC_1&amp;format=PDF" TargetMode="External"/><Relationship Id="rId17" Type="http://schemas.openxmlformats.org/officeDocument/2006/relationships/hyperlink" Target="https://trade.ec.europa.eu/doclib/docs/2021/november/tradoc_159907.pdf" TargetMode="External"/><Relationship Id="rId2" Type="http://schemas.openxmlformats.org/officeDocument/2006/relationships/hyperlink" Target="https://eur-lex.europa.eu/resource.html?uri=cellar:b828d165-1c22-11ea-8c1f-01aa75ed71a1.0015.02/DOC_1&amp;format=PDF" TargetMode="External"/><Relationship Id="rId16" Type="http://schemas.openxmlformats.org/officeDocument/2006/relationships/hyperlink" Target="https://policy.trade.ec.europa.eu/enforcement-and-protection/chief-trade-enforcement-officer_en" TargetMode="External"/><Relationship Id="rId1" Type="http://schemas.openxmlformats.org/officeDocument/2006/relationships/hyperlink" Target="https://trade.ec.europa.eu/doclib/docs/2018/february/tradoc_156618.pdf" TargetMode="External"/><Relationship Id="rId6" Type="http://schemas.openxmlformats.org/officeDocument/2006/relationships/hyperlink" Target="https://eur-lex.europa.eu/resource.html?uri=cellar:5bf4e9d0-71d2-11eb-9ac9-01aa75ed71a1.0020.02/DOC_1&amp;format=PDF" TargetMode="External"/><Relationship Id="rId11" Type="http://schemas.openxmlformats.org/officeDocument/2006/relationships/hyperlink" Target="https://eur-lex.europa.eu/legal-content/SL/TXT/?uri=CELEX%3A52022PC0071" TargetMode="External"/><Relationship Id="rId5" Type="http://schemas.openxmlformats.org/officeDocument/2006/relationships/hyperlink" Target="https://policy.trade.ec.europa.eu/consultations/open-public-consultation-trade-and-sustainable-development-tsd-review_en" TargetMode="External"/><Relationship Id="rId15" Type="http://schemas.openxmlformats.org/officeDocument/2006/relationships/hyperlink" Target="https://policy.trade.ec.europa.eu/news/ban-export-credits-coal-fired-electricity-projects-agreed-oecd-2021-10-22_en" TargetMode="External"/><Relationship Id="rId10" Type="http://schemas.openxmlformats.org/officeDocument/2006/relationships/hyperlink" Target="https://eur-lex.europa.eu/legal-content/SL/TXT/?uri=CELEX:52021DC0390" TargetMode="External"/><Relationship Id="rId4" Type="http://schemas.openxmlformats.org/officeDocument/2006/relationships/hyperlink" Target="https://trade.ec.europa.eu/doclib/docs/2022/february/tradoc_160043.pdf" TargetMode="External"/><Relationship Id="rId9" Type="http://schemas.openxmlformats.org/officeDocument/2006/relationships/hyperlink" Target="https://eur-lex.europa.eu/legal-content/SL/TXT/?uri=CELEX%3A52021PC0706" TargetMode="External"/><Relationship Id="rId14" Type="http://schemas.openxmlformats.org/officeDocument/2006/relationships/hyperlink" Target="https://ec.europa.eu/commission/commissioners/2019-2024/dombrovskis/announcements/speech-executive-vice-president-valdis-dombrovskis-trade-climate-cop26_e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CDE7-AD1D-44CF-84E3-F28B17B3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5328</Words>
  <Characters>30375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2022-06-29T07:32:00Z</dcterms:created>
  <dcterms:modified xsi:type="dcterms:W3CDTF">2022-06-29T07:33:00Z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2022-06-19T14:43:57Z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aeb0c9d9-ba22-42b7-81e5-99ec75eb0b3d</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Last edited using">
    <vt:lpwstr>DocuWrite 4.6.7, Build 20220519</vt:lpwstr>
  </property>
  <property fmtid="{D5CDD505-2E9C-101B-9397-08002B2CF9AE}" pid="11" name="Part">
    <vt:lpwstr>1</vt:lpwstr>
  </property>
  <property fmtid="{D5CDD505-2E9C-101B-9397-08002B2CF9AE}" pid="12" name="Total parts">
    <vt:lpwstr>1</vt:lpwstr>
  </property>
  <property fmtid="{D5CDD505-2E9C-101B-9397-08002B2CF9AE}" pid="13" name="DocStatus">
    <vt:lpwstr>Green</vt:lpwstr>
  </property>
  <property fmtid="{D5CDD505-2E9C-101B-9397-08002B2CF9AE}" pid="14" name="CPTemplateID">
    <vt:lpwstr>CP-014</vt:lpwstr>
  </property>
  <property fmtid="{D5CDD505-2E9C-101B-9397-08002B2CF9AE}" pid="15" name="Created using">
    <vt:lpwstr>DocuWrite 4.6.7, Build 20220519</vt:lpwstr>
  </property>
</Properties>
</file>