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CC0A" w14:textId="77777777" w:rsidR="004A4B82" w:rsidRPr="005E7BFD" w:rsidRDefault="004A4B82" w:rsidP="004A4B82">
      <w:pPr>
        <w:tabs>
          <w:tab w:val="left" w:pos="5112"/>
        </w:tabs>
        <w:spacing w:before="120" w:after="0" w:line="220" w:lineRule="exact"/>
        <w:rPr>
          <w:rFonts w:eastAsia="Times New Roman" w:cs="Arial"/>
          <w:sz w:val="16"/>
          <w:szCs w:val="24"/>
        </w:rPr>
      </w:pPr>
      <w:r w:rsidRPr="005E7BFD">
        <w:rPr>
          <w:rFonts w:eastAsia="Times New Roman"/>
          <w:noProof/>
          <w:sz w:val="20"/>
          <w:szCs w:val="24"/>
          <w:lang w:eastAsia="sl-SI"/>
        </w:rPr>
        <w:drawing>
          <wp:anchor distT="0" distB="0" distL="114300" distR="114300" simplePos="0" relativeHeight="251660288" behindDoc="1" locked="0" layoutInCell="1" allowOverlap="1" wp14:anchorId="7E8838FF" wp14:editId="63B55A85">
            <wp:simplePos x="0" y="0"/>
            <wp:positionH relativeFrom="page">
              <wp:posOffset>614149</wp:posOffset>
            </wp:positionH>
            <wp:positionV relativeFrom="page">
              <wp:posOffset>648268</wp:posOffset>
            </wp:positionV>
            <wp:extent cx="2402572" cy="266131"/>
            <wp:effectExtent l="0" t="0" r="0" b="635"/>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071" cy="273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7BFD">
        <w:rPr>
          <w:rFonts w:eastAsia="Times New Roman" w:cs="Arial"/>
          <w:noProof/>
          <w:sz w:val="16"/>
          <w:szCs w:val="24"/>
          <w:lang w:eastAsia="sl-SI"/>
        </w:rPr>
        <mc:AlternateContent>
          <mc:Choice Requires="wps">
            <w:drawing>
              <wp:anchor distT="0" distB="0" distL="114300" distR="114300" simplePos="0" relativeHeight="251659264" behindDoc="0" locked="0" layoutInCell="0" allowOverlap="1" wp14:anchorId="49E3B6BF" wp14:editId="3FE68CA9">
                <wp:simplePos x="0" y="0"/>
                <wp:positionH relativeFrom="column">
                  <wp:posOffset>-463550</wp:posOffset>
                </wp:positionH>
                <wp:positionV relativeFrom="page">
                  <wp:posOffset>3600450</wp:posOffset>
                </wp:positionV>
                <wp:extent cx="142240" cy="0"/>
                <wp:effectExtent l="8255" t="9525" r="1143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174EE"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" o:allowincell="f" strokecolor="#529dba" strokeweight=".5pt">
                <w10:wrap anchory="page"/>
              </v:shape>
            </w:pict>
          </mc:Fallback>
        </mc:AlternateContent>
      </w:r>
      <w:r w:rsidRPr="005E7BFD">
        <w:rPr>
          <w:rFonts w:eastAsia="Times New Roman" w:cs="Arial"/>
          <w:sz w:val="16"/>
          <w:szCs w:val="24"/>
        </w:rPr>
        <w:t xml:space="preserve">    Štefanova ulica 2, 1501 Ljubljana</w:t>
      </w:r>
      <w:r w:rsidRPr="005E7BFD">
        <w:rPr>
          <w:rFonts w:eastAsia="Times New Roman" w:cs="Arial"/>
          <w:sz w:val="16"/>
          <w:szCs w:val="24"/>
        </w:rPr>
        <w:tab/>
        <w:t>T: 01 428 40 00</w:t>
      </w:r>
    </w:p>
    <w:p w14:paraId="4AA07E50" w14:textId="77777777" w:rsidR="004A4B82" w:rsidRPr="005E7BFD" w:rsidRDefault="004A4B82" w:rsidP="004A4B82">
      <w:pPr>
        <w:tabs>
          <w:tab w:val="left" w:pos="5112"/>
        </w:tabs>
        <w:spacing w:after="0" w:line="220" w:lineRule="exact"/>
        <w:rPr>
          <w:rFonts w:eastAsia="Times New Roman" w:cs="Arial"/>
          <w:sz w:val="16"/>
          <w:szCs w:val="24"/>
        </w:rPr>
      </w:pPr>
      <w:r w:rsidRPr="005E7BFD">
        <w:rPr>
          <w:rFonts w:eastAsia="Times New Roman" w:cs="Arial"/>
          <w:sz w:val="16"/>
          <w:szCs w:val="24"/>
        </w:rPr>
        <w:tab/>
        <w:t xml:space="preserve">F: 01 428 47 33 </w:t>
      </w:r>
    </w:p>
    <w:p w14:paraId="0A1AA55F" w14:textId="77777777" w:rsidR="004A4B82" w:rsidRPr="005E7BFD" w:rsidRDefault="004A4B82" w:rsidP="004A4B82">
      <w:pPr>
        <w:tabs>
          <w:tab w:val="left" w:pos="5112"/>
        </w:tabs>
        <w:spacing w:after="0" w:line="220" w:lineRule="exact"/>
        <w:rPr>
          <w:rFonts w:eastAsia="Times New Roman" w:cs="Arial"/>
          <w:sz w:val="16"/>
          <w:szCs w:val="24"/>
        </w:rPr>
      </w:pPr>
      <w:r w:rsidRPr="005E7BFD">
        <w:rPr>
          <w:rFonts w:eastAsia="Times New Roman" w:cs="Arial"/>
          <w:sz w:val="16"/>
          <w:szCs w:val="24"/>
        </w:rPr>
        <w:tab/>
        <w:t>E: gp.mnz@gov.si</w:t>
      </w:r>
    </w:p>
    <w:p w14:paraId="3B46ECFA" w14:textId="05405EC3" w:rsidR="004A4B82" w:rsidRPr="005E7BFD" w:rsidRDefault="004A4B82" w:rsidP="004A4B82">
      <w:pPr>
        <w:tabs>
          <w:tab w:val="left" w:pos="5112"/>
        </w:tabs>
        <w:spacing w:after="0" w:line="220" w:lineRule="exact"/>
        <w:rPr>
          <w:rFonts w:eastAsia="Times New Roman" w:cs="Arial"/>
          <w:sz w:val="16"/>
          <w:szCs w:val="24"/>
        </w:rPr>
      </w:pPr>
      <w:r w:rsidRPr="005E7BFD">
        <w:rPr>
          <w:rFonts w:eastAsia="Times New Roman" w:cs="Arial"/>
          <w:sz w:val="16"/>
          <w:szCs w:val="24"/>
        </w:rPr>
        <w:tab/>
      </w:r>
      <w:hyperlink r:id="rId9" w:history="1">
        <w:r w:rsidRPr="005E7BFD">
          <w:rPr>
            <w:rFonts w:eastAsia="Times New Roman" w:cs="Arial"/>
            <w:sz w:val="16"/>
            <w:szCs w:val="24"/>
            <w:u w:val="single"/>
          </w:rPr>
          <w:t>www.mnz.gov.si</w:t>
        </w:r>
      </w:hyperlink>
    </w:p>
    <w:p w14:paraId="2AFE06E4" w14:textId="77777777" w:rsidR="004A4B82" w:rsidRDefault="004A4B82" w:rsidP="004A4B82">
      <w:pPr>
        <w:tabs>
          <w:tab w:val="left" w:pos="5112"/>
        </w:tabs>
        <w:spacing w:after="0" w:line="260" w:lineRule="exact"/>
        <w:rPr>
          <w:rFonts w:eastAsia="Times New Roman" w:cs="Arial"/>
          <w:sz w:val="16"/>
          <w:szCs w:val="24"/>
        </w:rPr>
      </w:pPr>
    </w:p>
    <w:p w14:paraId="3855F089" w14:textId="77777777" w:rsidR="00A26B2C" w:rsidRDefault="00A26B2C" w:rsidP="004A4B82">
      <w:pPr>
        <w:tabs>
          <w:tab w:val="left" w:pos="5112"/>
        </w:tabs>
        <w:spacing w:after="0" w:line="260" w:lineRule="exact"/>
        <w:rPr>
          <w:rFonts w:eastAsia="Times New Roman" w:cs="Arial"/>
          <w:sz w:val="16"/>
          <w:szCs w:val="24"/>
        </w:rPr>
      </w:pPr>
    </w:p>
    <w:p w14:paraId="5B792A53" w14:textId="77777777" w:rsidR="00A26B2C" w:rsidRPr="00AE1F83" w:rsidRDefault="00A26B2C" w:rsidP="00A26B2C">
      <w:pPr>
        <w:spacing w:after="0" w:line="260" w:lineRule="exact"/>
        <w:contextualSpacing/>
        <w:rPr>
          <w:rFonts w:eastAsia="Times New Roman" w:cs="Arial"/>
          <w:b/>
          <w:sz w:val="20"/>
          <w:szCs w:val="20"/>
          <w:lang w:eastAsia="sl-SI"/>
        </w:rPr>
      </w:pPr>
      <w:r w:rsidRPr="00AE1F83">
        <w:rPr>
          <w:rFonts w:eastAsia="Times New Roman" w:cs="Arial"/>
          <w:b/>
          <w:sz w:val="20"/>
          <w:szCs w:val="20"/>
          <w:lang w:eastAsia="sl-SI"/>
        </w:rPr>
        <w:t>PRILOGA 1 (spremni dopis – 1. del):</w:t>
      </w:r>
    </w:p>
    <w:p w14:paraId="7C931510" w14:textId="77777777" w:rsidR="00A26B2C" w:rsidRDefault="00A26B2C" w:rsidP="004A4B82">
      <w:pPr>
        <w:tabs>
          <w:tab w:val="left" w:pos="5112"/>
        </w:tabs>
        <w:spacing w:after="0" w:line="260" w:lineRule="exact"/>
        <w:rPr>
          <w:rFonts w:eastAsia="Times New Roman" w:cs="Arial"/>
          <w:sz w:val="16"/>
          <w:szCs w:val="24"/>
        </w:rPr>
      </w:pPr>
    </w:p>
    <w:p w14:paraId="3B50ED7F" w14:textId="77777777" w:rsidR="00A26B2C" w:rsidRPr="005E7BFD" w:rsidRDefault="00A26B2C" w:rsidP="004A4B82">
      <w:pPr>
        <w:tabs>
          <w:tab w:val="left" w:pos="5112"/>
        </w:tabs>
        <w:spacing w:after="0" w:line="260" w:lineRule="exact"/>
        <w:rPr>
          <w:rFonts w:eastAsia="Times New Roman" w:cs="Arial"/>
          <w:sz w:val="16"/>
          <w:szCs w:val="24"/>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573"/>
        <w:gridCol w:w="223"/>
        <w:gridCol w:w="2067"/>
      </w:tblGrid>
      <w:tr w:rsidR="004A4B82" w:rsidRPr="005E7BFD" w14:paraId="3A8E68FC" w14:textId="77777777" w:rsidTr="001A10D4">
        <w:trPr>
          <w:gridAfter w:val="3"/>
          <w:wAfter w:w="2863" w:type="dxa"/>
        </w:trPr>
        <w:tc>
          <w:tcPr>
            <w:tcW w:w="6096" w:type="dxa"/>
            <w:gridSpan w:val="2"/>
          </w:tcPr>
          <w:p w14:paraId="6E5B2B06" w14:textId="4148F8E5" w:rsidR="004A4B82" w:rsidRPr="005E7BFD" w:rsidRDefault="004A4B82" w:rsidP="001A10D4">
            <w:pPr>
              <w:overflowPunct w:val="0"/>
              <w:autoSpaceDE w:val="0"/>
              <w:autoSpaceDN w:val="0"/>
              <w:adjustRightInd w:val="0"/>
              <w:spacing w:after="0" w:line="260" w:lineRule="exact"/>
              <w:textAlignment w:val="baseline"/>
              <w:rPr>
                <w:rFonts w:eastAsia="Times New Roman" w:cs="Arial"/>
                <w:sz w:val="20"/>
                <w:szCs w:val="20"/>
                <w:lang w:eastAsia="sl-SI"/>
              </w:rPr>
            </w:pPr>
            <w:r w:rsidRPr="005E7BFD">
              <w:rPr>
                <w:rFonts w:eastAsia="Times New Roman" w:cs="Arial"/>
                <w:sz w:val="20"/>
                <w:szCs w:val="20"/>
                <w:lang w:eastAsia="sl-SI"/>
              </w:rPr>
              <w:t>Številka: 500-520/2022</w:t>
            </w:r>
            <w:r>
              <w:rPr>
                <w:rFonts w:eastAsia="Times New Roman" w:cs="Arial"/>
                <w:sz w:val="20"/>
                <w:szCs w:val="20"/>
                <w:lang w:eastAsia="sl-SI"/>
              </w:rPr>
              <w:t>/</w:t>
            </w:r>
            <w:r w:rsidR="000B0A05">
              <w:rPr>
                <w:rFonts w:eastAsia="Times New Roman" w:cs="Arial"/>
                <w:sz w:val="20"/>
                <w:szCs w:val="20"/>
                <w:lang w:eastAsia="sl-SI"/>
              </w:rPr>
              <w:t>56</w:t>
            </w:r>
          </w:p>
        </w:tc>
      </w:tr>
      <w:tr w:rsidR="004A4B82" w:rsidRPr="005E7BFD" w14:paraId="3413DC42" w14:textId="77777777" w:rsidTr="001A10D4">
        <w:trPr>
          <w:gridAfter w:val="3"/>
          <w:wAfter w:w="2863" w:type="dxa"/>
        </w:trPr>
        <w:tc>
          <w:tcPr>
            <w:tcW w:w="6096" w:type="dxa"/>
            <w:gridSpan w:val="2"/>
          </w:tcPr>
          <w:p w14:paraId="045E634B" w14:textId="47FA2DA1" w:rsidR="004A4B82" w:rsidRPr="005E7BFD" w:rsidRDefault="004A4B82" w:rsidP="001A10D4">
            <w:pPr>
              <w:overflowPunct w:val="0"/>
              <w:autoSpaceDE w:val="0"/>
              <w:autoSpaceDN w:val="0"/>
              <w:adjustRightInd w:val="0"/>
              <w:spacing w:after="0" w:line="260" w:lineRule="exact"/>
              <w:textAlignment w:val="baseline"/>
              <w:rPr>
                <w:rFonts w:eastAsia="Times New Roman" w:cs="Arial"/>
                <w:sz w:val="20"/>
                <w:szCs w:val="20"/>
                <w:lang w:eastAsia="sl-SI"/>
              </w:rPr>
            </w:pPr>
            <w:r w:rsidRPr="005E7BFD">
              <w:rPr>
                <w:rFonts w:eastAsia="Times New Roman" w:cs="Arial"/>
                <w:sz w:val="20"/>
                <w:szCs w:val="20"/>
                <w:lang w:eastAsia="sl-SI"/>
              </w:rPr>
              <w:t xml:space="preserve">Ljubljana, </w:t>
            </w:r>
            <w:r w:rsidR="00585016">
              <w:rPr>
                <w:rFonts w:eastAsia="Times New Roman" w:cs="Arial"/>
                <w:sz w:val="20"/>
                <w:szCs w:val="20"/>
                <w:lang w:eastAsia="sl-SI"/>
              </w:rPr>
              <w:t>1</w:t>
            </w:r>
            <w:r w:rsidR="000B0A05">
              <w:rPr>
                <w:rFonts w:eastAsia="Times New Roman" w:cs="Arial"/>
                <w:sz w:val="20"/>
                <w:szCs w:val="20"/>
                <w:lang w:eastAsia="sl-SI"/>
              </w:rPr>
              <w:t>8</w:t>
            </w:r>
            <w:r w:rsidRPr="005E7BFD">
              <w:rPr>
                <w:rFonts w:eastAsia="Times New Roman" w:cs="Arial"/>
                <w:sz w:val="20"/>
                <w:szCs w:val="20"/>
                <w:lang w:eastAsia="sl-SI"/>
              </w:rPr>
              <w:t xml:space="preserve">. </w:t>
            </w:r>
            <w:r w:rsidR="00585016">
              <w:rPr>
                <w:rFonts w:eastAsia="Times New Roman" w:cs="Arial"/>
                <w:sz w:val="20"/>
                <w:szCs w:val="20"/>
                <w:lang w:eastAsia="sl-SI"/>
              </w:rPr>
              <w:t>5</w:t>
            </w:r>
            <w:r w:rsidRPr="005E7BFD">
              <w:rPr>
                <w:rFonts w:eastAsia="Times New Roman" w:cs="Arial"/>
                <w:sz w:val="20"/>
                <w:szCs w:val="20"/>
                <w:lang w:eastAsia="sl-SI"/>
              </w:rPr>
              <w:t>. 202</w:t>
            </w:r>
            <w:r w:rsidR="00B6293D">
              <w:rPr>
                <w:rFonts w:eastAsia="Times New Roman" w:cs="Arial"/>
                <w:sz w:val="20"/>
                <w:szCs w:val="20"/>
                <w:lang w:eastAsia="sl-SI"/>
              </w:rPr>
              <w:t>6</w:t>
            </w:r>
          </w:p>
        </w:tc>
      </w:tr>
      <w:tr w:rsidR="004A4B82" w:rsidRPr="005E7BFD" w14:paraId="5C4F3446" w14:textId="77777777" w:rsidTr="001A10D4">
        <w:trPr>
          <w:gridAfter w:val="3"/>
          <w:wAfter w:w="2863" w:type="dxa"/>
        </w:trPr>
        <w:tc>
          <w:tcPr>
            <w:tcW w:w="6096" w:type="dxa"/>
            <w:gridSpan w:val="2"/>
          </w:tcPr>
          <w:p w14:paraId="78F5A9AA" w14:textId="77777777" w:rsidR="004A4B82" w:rsidRPr="005E7BFD" w:rsidRDefault="004A4B82" w:rsidP="001A10D4">
            <w:pPr>
              <w:spacing w:after="0" w:line="260" w:lineRule="exact"/>
              <w:rPr>
                <w:rFonts w:eastAsia="Times New Roman" w:cs="Arial"/>
                <w:sz w:val="20"/>
                <w:szCs w:val="20"/>
              </w:rPr>
            </w:pPr>
            <w:r w:rsidRPr="005E7BFD">
              <w:rPr>
                <w:rFonts w:eastAsia="Times New Roman" w:cs="Arial"/>
                <w:sz w:val="20"/>
                <w:szCs w:val="20"/>
              </w:rPr>
              <w:t>GENERALNI SEKRETARIAT VLADE REPUBLIKE SLOVENIJE</w:t>
            </w:r>
          </w:p>
          <w:p w14:paraId="037AC8DC" w14:textId="77777777" w:rsidR="004A4B82" w:rsidRPr="005E7BFD" w:rsidRDefault="004A4B82" w:rsidP="001A10D4">
            <w:pPr>
              <w:spacing w:after="0" w:line="260" w:lineRule="exact"/>
              <w:rPr>
                <w:rFonts w:eastAsia="Times New Roman" w:cs="Arial"/>
                <w:sz w:val="20"/>
                <w:szCs w:val="20"/>
              </w:rPr>
            </w:pPr>
            <w:hyperlink r:id="rId10" w:history="1">
              <w:r w:rsidRPr="005E7BFD">
                <w:rPr>
                  <w:rFonts w:eastAsia="Times New Roman" w:cs="Arial"/>
                  <w:sz w:val="20"/>
                  <w:szCs w:val="20"/>
                  <w:u w:val="single"/>
                </w:rPr>
                <w:t>Gp.gs@gov.si</w:t>
              </w:r>
            </w:hyperlink>
          </w:p>
          <w:p w14:paraId="18785B31" w14:textId="77777777" w:rsidR="004A4B82" w:rsidRPr="005E7BFD" w:rsidRDefault="004A4B82" w:rsidP="001A10D4">
            <w:pPr>
              <w:spacing w:after="0" w:line="260" w:lineRule="exact"/>
              <w:rPr>
                <w:rFonts w:eastAsia="Times New Roman" w:cs="Arial"/>
                <w:sz w:val="20"/>
                <w:szCs w:val="20"/>
              </w:rPr>
            </w:pPr>
          </w:p>
        </w:tc>
      </w:tr>
      <w:tr w:rsidR="004A4B82" w:rsidRPr="005E7BFD" w14:paraId="2DC121AE" w14:textId="77777777" w:rsidTr="001A10D4">
        <w:tc>
          <w:tcPr>
            <w:tcW w:w="8959" w:type="dxa"/>
            <w:gridSpan w:val="5"/>
          </w:tcPr>
          <w:p w14:paraId="65955A96" w14:textId="77777777" w:rsidR="004A4B82" w:rsidRPr="005E7BFD" w:rsidRDefault="004A4B82" w:rsidP="001A10D4">
            <w:pPr>
              <w:spacing w:line="260" w:lineRule="exact"/>
              <w:jc w:val="both"/>
              <w:rPr>
                <w:rFonts w:cs="Arial"/>
                <w:b/>
                <w:sz w:val="20"/>
                <w:szCs w:val="20"/>
              </w:rPr>
            </w:pPr>
            <w:r w:rsidRPr="005E7BFD">
              <w:rPr>
                <w:rFonts w:eastAsia="Times New Roman" w:cs="Arial"/>
                <w:b/>
                <w:sz w:val="20"/>
                <w:szCs w:val="20"/>
                <w:lang w:eastAsia="sl-SI"/>
              </w:rPr>
              <w:t xml:space="preserve">ZADEVA: </w:t>
            </w:r>
            <w:r w:rsidRPr="005E7BFD">
              <w:rPr>
                <w:rFonts w:cs="Arial"/>
                <w:b/>
                <w:sz w:val="20"/>
                <w:szCs w:val="20"/>
              </w:rPr>
              <w:t>Podaljšanje začasnega</w:t>
            </w:r>
            <w:r w:rsidRPr="005E7BFD">
              <w:rPr>
                <w:rFonts w:cs="Arial"/>
                <w:b/>
                <w:sz w:val="20"/>
                <w:szCs w:val="20"/>
                <w:shd w:val="clear" w:color="auto" w:fill="FFFFFF"/>
              </w:rPr>
              <w:t xml:space="preserve"> ponovnega nadzora na notranjih mejah Republike Slovenije z Republiko Hrvaško in Madžarsko na podlagi 25.a člena Zakonika o schengenskih mejah</w:t>
            </w:r>
            <w:r w:rsidRPr="005E7BFD">
              <w:rPr>
                <w:rFonts w:cs="Arial"/>
                <w:b/>
                <w:sz w:val="20"/>
                <w:szCs w:val="20"/>
              </w:rPr>
              <w:t xml:space="preserve"> – predlog za obravnavo</w:t>
            </w:r>
          </w:p>
        </w:tc>
      </w:tr>
      <w:tr w:rsidR="004A4B82" w:rsidRPr="005E7BFD" w14:paraId="60DF40B4" w14:textId="77777777" w:rsidTr="001A10D4">
        <w:tc>
          <w:tcPr>
            <w:tcW w:w="8959" w:type="dxa"/>
            <w:gridSpan w:val="5"/>
          </w:tcPr>
          <w:p w14:paraId="6535ED58" w14:textId="77777777" w:rsidR="004A4B82" w:rsidRPr="005E7BFD" w:rsidRDefault="004A4B82" w:rsidP="001A10D4">
            <w:pPr>
              <w:suppressAutoHyphens/>
              <w:overflowPunct w:val="0"/>
              <w:autoSpaceDE w:val="0"/>
              <w:autoSpaceDN w:val="0"/>
              <w:adjustRightInd w:val="0"/>
              <w:spacing w:after="0" w:line="260" w:lineRule="exact"/>
              <w:textAlignment w:val="baseline"/>
              <w:outlineLvl w:val="3"/>
              <w:rPr>
                <w:rFonts w:eastAsia="Times New Roman" w:cs="Arial"/>
                <w:b/>
                <w:sz w:val="20"/>
                <w:szCs w:val="20"/>
                <w:lang w:eastAsia="sl-SI"/>
              </w:rPr>
            </w:pPr>
            <w:r w:rsidRPr="005E7BFD">
              <w:rPr>
                <w:rFonts w:eastAsia="Times New Roman" w:cs="Arial"/>
                <w:b/>
                <w:sz w:val="20"/>
                <w:szCs w:val="20"/>
                <w:lang w:eastAsia="sl-SI"/>
              </w:rPr>
              <w:t>1. Predlog sklepov vlade:</w:t>
            </w:r>
          </w:p>
        </w:tc>
      </w:tr>
      <w:tr w:rsidR="004A4B82" w:rsidRPr="005E7BFD" w14:paraId="399C7355" w14:textId="77777777" w:rsidTr="001A10D4">
        <w:tc>
          <w:tcPr>
            <w:tcW w:w="8959" w:type="dxa"/>
            <w:gridSpan w:val="5"/>
          </w:tcPr>
          <w:p w14:paraId="6FC21D44" w14:textId="4AF36ED0" w:rsidR="004A4B82" w:rsidRDefault="004A4B82" w:rsidP="001A10D4">
            <w:pPr>
              <w:overflowPunct w:val="0"/>
              <w:autoSpaceDE w:val="0"/>
              <w:autoSpaceDN w:val="0"/>
              <w:adjustRightInd w:val="0"/>
              <w:spacing w:after="0" w:line="260" w:lineRule="exact"/>
              <w:jc w:val="both"/>
              <w:textAlignment w:val="baseline"/>
              <w:rPr>
                <w:rFonts w:eastAsia="Times New Roman" w:cs="Arial"/>
                <w:iCs/>
                <w:sz w:val="20"/>
                <w:szCs w:val="20"/>
                <w:lang w:eastAsia="sl-SI"/>
              </w:rPr>
            </w:pPr>
            <w:r w:rsidRPr="005E7BFD">
              <w:rPr>
                <w:rFonts w:eastAsia="Times New Roman" w:cs="Arial"/>
                <w:iCs/>
                <w:sz w:val="20"/>
                <w:szCs w:val="20"/>
                <w:lang w:eastAsia="sl-SI"/>
              </w:rPr>
              <w:t xml:space="preserve">Na podlagi šestega odstavka 21. člena Zakona o Vladi Republike Slovenije </w:t>
            </w:r>
            <w:r w:rsidRPr="005E7BFD">
              <w:rPr>
                <w:rFonts w:cs="Arial"/>
                <w:bCs/>
                <w:sz w:val="20"/>
                <w:szCs w:val="20"/>
                <w:shd w:val="clear" w:color="auto" w:fill="FFFFFF"/>
              </w:rPr>
              <w:t>(Uradni list RS, št. 24/05 – uradno prečiščeno besedilo, 109/08, 38/10 – ZUKN, 8/12, 21/13, 47/13 – ZDU-1G, 65/14, 55/17</w:t>
            </w:r>
            <w:r>
              <w:rPr>
                <w:rFonts w:cs="Arial"/>
                <w:bCs/>
                <w:sz w:val="20"/>
                <w:szCs w:val="20"/>
                <w:shd w:val="clear" w:color="auto" w:fill="FFFFFF"/>
              </w:rPr>
              <w:t>,</w:t>
            </w:r>
            <w:r w:rsidRPr="005E7BFD">
              <w:rPr>
                <w:rFonts w:cs="Arial"/>
                <w:bCs/>
                <w:sz w:val="20"/>
                <w:szCs w:val="20"/>
                <w:shd w:val="clear" w:color="auto" w:fill="FFFFFF"/>
              </w:rPr>
              <w:t xml:space="preserve"> 163/22</w:t>
            </w:r>
            <w:r>
              <w:rPr>
                <w:rFonts w:cs="Arial"/>
                <w:bCs/>
                <w:sz w:val="20"/>
                <w:szCs w:val="20"/>
                <w:shd w:val="clear" w:color="auto" w:fill="FFFFFF"/>
              </w:rPr>
              <w:t xml:space="preserve"> in 57/25 – ZF</w:t>
            </w:r>
            <w:r w:rsidRPr="005E7BFD">
              <w:rPr>
                <w:rFonts w:cs="Arial"/>
                <w:bCs/>
                <w:sz w:val="20"/>
                <w:szCs w:val="20"/>
                <w:shd w:val="clear" w:color="auto" w:fill="FFFFFF"/>
              </w:rPr>
              <w:t xml:space="preserve">) </w:t>
            </w:r>
            <w:r>
              <w:rPr>
                <w:rFonts w:eastAsia="Times New Roman" w:cs="Arial"/>
                <w:iCs/>
                <w:sz w:val="20"/>
                <w:szCs w:val="20"/>
                <w:lang w:eastAsia="sl-SI"/>
              </w:rPr>
              <w:t>ter</w:t>
            </w:r>
            <w:r w:rsidRPr="005E7BFD">
              <w:rPr>
                <w:rFonts w:eastAsia="Times New Roman" w:cs="Arial"/>
                <w:iCs/>
                <w:sz w:val="20"/>
                <w:szCs w:val="20"/>
                <w:lang w:eastAsia="sl-SI"/>
              </w:rPr>
              <w:t xml:space="preserve"> prvega </w:t>
            </w:r>
            <w:r>
              <w:rPr>
                <w:rFonts w:eastAsia="Times New Roman" w:cs="Arial"/>
                <w:iCs/>
                <w:sz w:val="20"/>
                <w:szCs w:val="20"/>
                <w:lang w:eastAsia="sl-SI"/>
              </w:rPr>
              <w:t>in</w:t>
            </w:r>
            <w:r w:rsidRPr="005E7BFD">
              <w:rPr>
                <w:rFonts w:eastAsia="Times New Roman" w:cs="Arial"/>
                <w:iCs/>
                <w:sz w:val="20"/>
                <w:szCs w:val="20"/>
                <w:lang w:eastAsia="sl-SI"/>
              </w:rPr>
              <w:t xml:space="preserve"> drugega odstavka 36. člena Zakona o nadzoru državne meje </w:t>
            </w:r>
            <w:r w:rsidRPr="005E7BFD">
              <w:rPr>
                <w:rFonts w:cs="Arial"/>
                <w:bCs/>
                <w:sz w:val="20"/>
                <w:szCs w:val="20"/>
                <w:shd w:val="clear" w:color="auto" w:fill="FFFFFF"/>
              </w:rPr>
              <w:t>(Uradni list RS, št. </w:t>
            </w:r>
            <w:hyperlink r:id="rId11" w:tgtFrame="_blank" w:tooltip="Zakon o nadzoru državne meje (uradno prečiščeno besedilo)" w:history="1">
              <w:r w:rsidRPr="00633263">
                <w:rPr>
                  <w:rStyle w:val="Hiperpovezava"/>
                  <w:rFonts w:cs="Arial"/>
                  <w:bCs/>
                  <w:color w:val="auto"/>
                  <w:sz w:val="20"/>
                  <w:szCs w:val="20"/>
                  <w:u w:val="none"/>
                  <w:shd w:val="clear" w:color="auto" w:fill="FFFFFF"/>
                </w:rPr>
                <w:t>35/10</w:t>
              </w:r>
            </w:hyperlink>
            <w:r w:rsidRPr="00633263">
              <w:rPr>
                <w:rFonts w:cs="Arial"/>
                <w:bCs/>
                <w:sz w:val="20"/>
                <w:szCs w:val="20"/>
                <w:shd w:val="clear" w:color="auto" w:fill="FFFFFF"/>
              </w:rPr>
              <w:t> – uradno prečiščeno besedilo, </w:t>
            </w:r>
            <w:hyperlink r:id="rId12" w:tgtFrame="_blank" w:tooltip="Zakon o nalogah in pooblastilih policije" w:history="1">
              <w:r w:rsidRPr="00633263">
                <w:rPr>
                  <w:rStyle w:val="Hiperpovezava"/>
                  <w:rFonts w:cs="Arial"/>
                  <w:bCs/>
                  <w:color w:val="auto"/>
                  <w:sz w:val="20"/>
                  <w:szCs w:val="20"/>
                  <w:u w:val="none"/>
                  <w:shd w:val="clear" w:color="auto" w:fill="FFFFFF"/>
                </w:rPr>
                <w:t>15/13</w:t>
              </w:r>
            </w:hyperlink>
            <w:r w:rsidRPr="00633263">
              <w:rPr>
                <w:rFonts w:cs="Arial"/>
                <w:bCs/>
                <w:sz w:val="20"/>
                <w:szCs w:val="20"/>
                <w:shd w:val="clear" w:color="auto" w:fill="FFFFFF"/>
              </w:rPr>
              <w:t xml:space="preserve"> – ZNPPol,  5/17, 68/17, 47/19, 139/20, 161/21, </w:t>
            </w:r>
            <w:hyperlink r:id="rId13" w:tgtFrame="_blank" w:tooltip="Zakon o dopolnitvi Zakona o nadzoru državne meje" w:history="1">
              <w:r w:rsidRPr="00633263">
                <w:rPr>
                  <w:rStyle w:val="Hiperpovezava"/>
                  <w:rFonts w:cs="Arial"/>
                  <w:bCs/>
                  <w:color w:val="auto"/>
                  <w:sz w:val="20"/>
                  <w:szCs w:val="20"/>
                  <w:u w:val="none"/>
                  <w:shd w:val="clear" w:color="auto" w:fill="FFFFFF"/>
                </w:rPr>
                <w:t>29/22</w:t>
              </w:r>
            </w:hyperlink>
            <w:r w:rsidRPr="00633263">
              <w:rPr>
                <w:rStyle w:val="Hiperpovezava"/>
                <w:rFonts w:cs="Arial"/>
                <w:bCs/>
                <w:color w:val="auto"/>
                <w:sz w:val="20"/>
                <w:szCs w:val="20"/>
                <w:u w:val="none"/>
                <w:shd w:val="clear" w:color="auto" w:fill="FFFFFF"/>
              </w:rPr>
              <w:t>,</w:t>
            </w:r>
            <w:r w:rsidRPr="00633263">
              <w:rPr>
                <w:rFonts w:cs="Arial"/>
                <w:bCs/>
                <w:sz w:val="20"/>
                <w:szCs w:val="20"/>
                <w:shd w:val="clear" w:color="auto" w:fill="FFFFFF"/>
              </w:rPr>
              <w:t> </w:t>
            </w:r>
            <w:hyperlink r:id="rId14" w:tgtFrame="_blank" w:tooltip="Zakon o spremembah in dopolnitvah Zakona o nadzoru državne meje" w:history="1">
              <w:r w:rsidRPr="00633263">
                <w:rPr>
                  <w:rStyle w:val="Hiperpovezava"/>
                  <w:rFonts w:cs="Arial"/>
                  <w:bCs/>
                  <w:color w:val="auto"/>
                  <w:sz w:val="20"/>
                  <w:szCs w:val="20"/>
                  <w:u w:val="none"/>
                  <w:shd w:val="clear" w:color="auto" w:fill="FFFFFF"/>
                </w:rPr>
                <w:t>76/23</w:t>
              </w:r>
            </w:hyperlink>
            <w:r w:rsidRPr="00633263">
              <w:rPr>
                <w:rStyle w:val="Hiperpovezava"/>
                <w:rFonts w:cs="Arial"/>
                <w:bCs/>
                <w:color w:val="auto"/>
                <w:sz w:val="20"/>
                <w:szCs w:val="20"/>
                <w:u w:val="none"/>
                <w:shd w:val="clear" w:color="auto" w:fill="FFFFFF"/>
              </w:rPr>
              <w:t xml:space="preserve"> in 112/24</w:t>
            </w:r>
            <w:r w:rsidRPr="005E7BFD">
              <w:rPr>
                <w:rFonts w:cs="Arial"/>
                <w:bCs/>
                <w:sz w:val="20"/>
                <w:szCs w:val="20"/>
                <w:shd w:val="clear" w:color="auto" w:fill="FFFFFF"/>
              </w:rPr>
              <w:t>)</w:t>
            </w:r>
            <w:r w:rsidRPr="005E7BFD">
              <w:rPr>
                <w:rFonts w:eastAsia="Times New Roman" w:cs="Arial"/>
                <w:iCs/>
                <w:sz w:val="20"/>
                <w:szCs w:val="20"/>
                <w:lang w:eastAsia="sl-SI"/>
              </w:rPr>
              <w:t xml:space="preserve"> je Vlada Republike Slovenije na ……seji dne …... sprejela naslednj</w:t>
            </w:r>
            <w:r>
              <w:rPr>
                <w:rFonts w:eastAsia="Times New Roman" w:cs="Arial"/>
                <w:iCs/>
                <w:sz w:val="20"/>
                <w:szCs w:val="20"/>
                <w:lang w:eastAsia="sl-SI"/>
              </w:rPr>
              <w:t>i</w:t>
            </w:r>
            <w:r w:rsidRPr="005E7BFD">
              <w:rPr>
                <w:rFonts w:eastAsia="Times New Roman" w:cs="Arial"/>
                <w:iCs/>
                <w:sz w:val="20"/>
                <w:szCs w:val="20"/>
                <w:lang w:eastAsia="sl-SI"/>
              </w:rPr>
              <w:t xml:space="preserve"> </w:t>
            </w:r>
          </w:p>
          <w:p w14:paraId="04E9BEC8" w14:textId="77777777" w:rsidR="004A4B82" w:rsidRPr="00AD5A43" w:rsidRDefault="004A4B82" w:rsidP="001A10D4">
            <w:pPr>
              <w:overflowPunct w:val="0"/>
              <w:autoSpaceDE w:val="0"/>
              <w:autoSpaceDN w:val="0"/>
              <w:adjustRightInd w:val="0"/>
              <w:spacing w:after="0" w:line="260" w:lineRule="exact"/>
              <w:jc w:val="center"/>
              <w:textAlignment w:val="baseline"/>
              <w:rPr>
                <w:rFonts w:cs="Arial"/>
                <w:bCs/>
                <w:sz w:val="20"/>
                <w:szCs w:val="20"/>
                <w:shd w:val="clear" w:color="auto" w:fill="FFFFFF"/>
              </w:rPr>
            </w:pPr>
            <w:r>
              <w:rPr>
                <w:rFonts w:eastAsia="Times New Roman" w:cs="Arial"/>
                <w:iCs/>
                <w:sz w:val="20"/>
                <w:szCs w:val="20"/>
                <w:lang w:eastAsia="sl-SI"/>
              </w:rPr>
              <w:t>SKLEP</w:t>
            </w:r>
          </w:p>
          <w:p w14:paraId="1648A28D" w14:textId="77777777" w:rsidR="004A4B82" w:rsidRPr="006163D2" w:rsidRDefault="004A4B82" w:rsidP="001A10D4">
            <w:pPr>
              <w:overflowPunct w:val="0"/>
              <w:autoSpaceDE w:val="0"/>
              <w:autoSpaceDN w:val="0"/>
              <w:adjustRightInd w:val="0"/>
              <w:spacing w:before="60" w:after="60" w:line="260" w:lineRule="exact"/>
              <w:jc w:val="both"/>
              <w:textAlignment w:val="baseline"/>
              <w:rPr>
                <w:rFonts w:eastAsia="Times New Roman" w:cs="Arial"/>
                <w:i/>
                <w:iCs/>
                <w:sz w:val="20"/>
                <w:szCs w:val="20"/>
                <w:lang w:eastAsia="sl-SI"/>
              </w:rPr>
            </w:pPr>
          </w:p>
          <w:p w14:paraId="7B90AEEB" w14:textId="4EBD2315" w:rsidR="004A4B82" w:rsidRPr="00F2184C" w:rsidRDefault="004A4B82" w:rsidP="001A10D4">
            <w:pPr>
              <w:pStyle w:val="Odstavekseznama"/>
              <w:numPr>
                <w:ilvl w:val="0"/>
                <w:numId w:val="5"/>
              </w:numPr>
              <w:spacing w:after="0" w:line="260" w:lineRule="exact"/>
              <w:ind w:right="378"/>
              <w:jc w:val="both"/>
              <w:rPr>
                <w:rStyle w:val="Poudarek"/>
                <w:rFonts w:cs="Arial"/>
                <w:i w:val="0"/>
                <w:iCs w:val="0"/>
                <w:sz w:val="20"/>
                <w:szCs w:val="20"/>
              </w:rPr>
            </w:pPr>
            <w:r w:rsidRPr="005E7BFD">
              <w:rPr>
                <w:rFonts w:cs="Arial"/>
                <w:sz w:val="20"/>
                <w:szCs w:val="20"/>
              </w:rPr>
              <w:t xml:space="preserve">Vlada Republike Slovenije se je seznanila z razlogi za </w:t>
            </w:r>
            <w:bookmarkStart w:id="0" w:name="_Hlk214004421"/>
            <w:r w:rsidRPr="005E7BFD">
              <w:rPr>
                <w:rFonts w:cs="Arial"/>
                <w:sz w:val="20"/>
                <w:szCs w:val="20"/>
              </w:rPr>
              <w:t xml:space="preserve">podaljšanje začasnega ponovnega nadzora na notranjih mejah z Republiko Hrvaško in Madžarsko z dnem </w:t>
            </w:r>
            <w:r w:rsidR="000823D4">
              <w:rPr>
                <w:rFonts w:cs="Arial"/>
                <w:sz w:val="20"/>
                <w:szCs w:val="20"/>
              </w:rPr>
              <w:t>22</w:t>
            </w:r>
            <w:r w:rsidRPr="006163D2">
              <w:rPr>
                <w:rFonts w:cs="Arial"/>
                <w:sz w:val="20"/>
                <w:szCs w:val="20"/>
              </w:rPr>
              <w:t xml:space="preserve">. </w:t>
            </w:r>
            <w:r w:rsidR="000823D4">
              <w:rPr>
                <w:rFonts w:cs="Arial"/>
                <w:sz w:val="20"/>
                <w:szCs w:val="20"/>
              </w:rPr>
              <w:t>junija</w:t>
            </w:r>
            <w:r w:rsidRPr="006163D2">
              <w:rPr>
                <w:rFonts w:cs="Arial"/>
                <w:sz w:val="20"/>
                <w:szCs w:val="20"/>
              </w:rPr>
              <w:t xml:space="preserve"> 202</w:t>
            </w:r>
            <w:r w:rsidR="000823D4">
              <w:rPr>
                <w:rFonts w:cs="Arial"/>
                <w:sz w:val="20"/>
                <w:szCs w:val="20"/>
              </w:rPr>
              <w:t>6</w:t>
            </w:r>
            <w:r w:rsidRPr="005E7BFD">
              <w:rPr>
                <w:rFonts w:cs="Arial"/>
                <w:sz w:val="20"/>
                <w:szCs w:val="20"/>
              </w:rPr>
              <w:t xml:space="preserve"> za obdobje šestih mesecev</w:t>
            </w:r>
            <w:bookmarkEnd w:id="0"/>
            <w:r w:rsidRPr="005E7BFD">
              <w:rPr>
                <w:rFonts w:cs="Arial"/>
                <w:sz w:val="20"/>
                <w:szCs w:val="20"/>
              </w:rPr>
              <w:t>, kot ga določa 25</w:t>
            </w:r>
            <w:r>
              <w:rPr>
                <w:rFonts w:cs="Arial"/>
                <w:sz w:val="20"/>
                <w:szCs w:val="20"/>
              </w:rPr>
              <w:t>.</w:t>
            </w:r>
            <w:r w:rsidRPr="005E7BFD">
              <w:rPr>
                <w:rFonts w:cs="Arial"/>
                <w:sz w:val="20"/>
                <w:szCs w:val="20"/>
              </w:rPr>
              <w:t xml:space="preserve">a člen Uredbe </w:t>
            </w:r>
            <w:r w:rsidRPr="005E7BFD">
              <w:rPr>
                <w:rFonts w:cs="Arial"/>
                <w:sz w:val="20"/>
                <w:szCs w:val="20"/>
                <w:shd w:val="clear" w:color="auto" w:fill="FFFFFF"/>
              </w:rPr>
              <w:t xml:space="preserve">(EU) 2016/399 Evropskega parlamenta in Sveta z dne 9. marca 2016 o Zakoniku Unije o pravilih, ki urejajo gibanje oseb prek meja (Zakonik o schengenskih mejah) </w:t>
            </w:r>
            <w:r w:rsidRPr="00183193">
              <w:rPr>
                <w:rFonts w:cs="Arial"/>
                <w:sz w:val="20"/>
                <w:szCs w:val="20"/>
                <w:shd w:val="clear" w:color="auto" w:fill="FFFFFF"/>
              </w:rPr>
              <w:t xml:space="preserve">(kodificirano besedilo) </w:t>
            </w:r>
            <w:r w:rsidRPr="005E7BFD">
              <w:rPr>
                <w:rFonts w:cs="Arial"/>
                <w:sz w:val="20"/>
                <w:szCs w:val="20"/>
                <w:shd w:val="clear" w:color="auto" w:fill="FFFFFF"/>
              </w:rPr>
              <w:t xml:space="preserve">(UL L št. 77 z dne 23. 3. 2016, str. 1), zadnjič spremenjene z </w:t>
            </w:r>
            <w:r w:rsidRPr="005E7BFD">
              <w:rPr>
                <w:rFonts w:cs="Arial"/>
                <w:bCs/>
                <w:sz w:val="20"/>
                <w:szCs w:val="20"/>
                <w:shd w:val="clear" w:color="auto" w:fill="FFFFFF"/>
              </w:rPr>
              <w:t xml:space="preserve">Uredbo (EU) št. 2024/1717 Evropskega parlamenta in Sveta z dne 13. junija 2024 o spremembi Uredbe (EU) 2016/399 o Zakoniku Unije o pravilih, ki urejajo gibanje </w:t>
            </w:r>
            <w:r w:rsidRPr="006163D2">
              <w:rPr>
                <w:rFonts w:cs="Arial"/>
                <w:bCs/>
                <w:sz w:val="20"/>
                <w:szCs w:val="20"/>
                <w:shd w:val="clear" w:color="auto" w:fill="FFFFFF"/>
              </w:rPr>
              <w:t xml:space="preserve">oseb prek meja </w:t>
            </w:r>
            <w:r w:rsidRPr="00D20DC3">
              <w:rPr>
                <w:rFonts w:cs="Arial"/>
                <w:bCs/>
                <w:i/>
                <w:sz w:val="20"/>
                <w:szCs w:val="20"/>
                <w:shd w:val="clear" w:color="auto" w:fill="FFFFFF"/>
              </w:rPr>
              <w:t>(</w:t>
            </w:r>
            <w:r w:rsidRPr="00D20DC3">
              <w:rPr>
                <w:rStyle w:val="Poudarek"/>
                <w:rFonts w:cs="Arial"/>
                <w:i w:val="0"/>
                <w:sz w:val="20"/>
                <w:szCs w:val="20"/>
                <w:shd w:val="clear" w:color="auto" w:fill="FFFFFF"/>
              </w:rPr>
              <w:t>UL L št. 2</w:t>
            </w:r>
            <w:r w:rsidRPr="00D20DC3">
              <w:rPr>
                <w:rStyle w:val="Poudarek"/>
                <w:i w:val="0"/>
                <w:sz w:val="20"/>
                <w:szCs w:val="20"/>
                <w:shd w:val="clear" w:color="auto" w:fill="FFFFFF"/>
              </w:rPr>
              <w:t>024/</w:t>
            </w:r>
            <w:r w:rsidRPr="00D20DC3">
              <w:rPr>
                <w:rStyle w:val="Poudarek"/>
                <w:rFonts w:cs="Arial"/>
                <w:i w:val="0"/>
                <w:sz w:val="20"/>
                <w:szCs w:val="20"/>
                <w:shd w:val="clear" w:color="auto" w:fill="FFFFFF"/>
              </w:rPr>
              <w:t>1717 z dne 20.6.2024).</w:t>
            </w:r>
          </w:p>
          <w:p w14:paraId="78937A4F" w14:textId="77777777" w:rsidR="004A4B82" w:rsidRPr="005E7BFD" w:rsidRDefault="004A4B82" w:rsidP="001A10D4">
            <w:pPr>
              <w:autoSpaceDE w:val="0"/>
              <w:autoSpaceDN w:val="0"/>
              <w:adjustRightInd w:val="0"/>
              <w:spacing w:after="0" w:line="260" w:lineRule="exact"/>
              <w:ind w:left="4287"/>
              <w:rPr>
                <w:rFonts w:eastAsia="Times New Roman" w:cs="Arial"/>
                <w:iCs/>
                <w:sz w:val="20"/>
                <w:szCs w:val="20"/>
                <w:lang w:eastAsia="sl-SI"/>
              </w:rPr>
            </w:pPr>
            <w:r w:rsidRPr="005E7BFD">
              <w:rPr>
                <w:rFonts w:eastAsia="Times New Roman" w:cs="Arial"/>
                <w:iCs/>
                <w:sz w:val="20"/>
                <w:szCs w:val="20"/>
                <w:lang w:eastAsia="sl-SI"/>
              </w:rPr>
              <w:t xml:space="preserve">        </w:t>
            </w:r>
          </w:p>
          <w:p w14:paraId="4CC81C2A" w14:textId="77777777" w:rsidR="004A4B82" w:rsidRPr="005E7BFD" w:rsidRDefault="004A4B82" w:rsidP="001A10D4">
            <w:pPr>
              <w:pStyle w:val="Odstavekseznama"/>
              <w:numPr>
                <w:ilvl w:val="0"/>
                <w:numId w:val="5"/>
              </w:numPr>
              <w:spacing w:after="0" w:line="260" w:lineRule="exact"/>
              <w:ind w:right="378"/>
              <w:jc w:val="both"/>
              <w:rPr>
                <w:rFonts w:cs="Arial"/>
                <w:sz w:val="20"/>
                <w:szCs w:val="20"/>
              </w:rPr>
            </w:pPr>
            <w:r>
              <w:rPr>
                <w:rFonts w:cs="Arial"/>
                <w:sz w:val="20"/>
                <w:szCs w:val="20"/>
              </w:rPr>
              <w:t xml:space="preserve">Vlada </w:t>
            </w:r>
            <w:r w:rsidRPr="00F2184C">
              <w:rPr>
                <w:rFonts w:cs="Arial"/>
                <w:sz w:val="20"/>
                <w:szCs w:val="20"/>
              </w:rPr>
              <w:t>Republike Slovenije je naložila Ministrstvu za zunanje in evropske zadeve, da o nameravanem podaljšanju začasnega ponovnega nadzora iz prejšnje točke obvesti države članice Evropske unije, Evropski parlament, Svet in Evropsko komisijo.</w:t>
            </w:r>
          </w:p>
          <w:p w14:paraId="33ED4DA7" w14:textId="77777777" w:rsidR="004A4B82" w:rsidRDefault="004A4B82" w:rsidP="001A10D4">
            <w:pPr>
              <w:autoSpaceDE w:val="0"/>
              <w:autoSpaceDN w:val="0"/>
              <w:adjustRightInd w:val="0"/>
              <w:spacing w:after="0" w:line="260" w:lineRule="exact"/>
              <w:ind w:left="4287"/>
              <w:rPr>
                <w:rFonts w:eastAsia="Times New Roman" w:cs="Arial"/>
                <w:iCs/>
                <w:sz w:val="20"/>
                <w:szCs w:val="20"/>
                <w:lang w:eastAsia="sl-SI"/>
              </w:rPr>
            </w:pPr>
          </w:p>
          <w:p w14:paraId="31C8C3B4" w14:textId="77777777" w:rsidR="004A4B82" w:rsidRDefault="004A4B82" w:rsidP="001A10D4">
            <w:pPr>
              <w:autoSpaceDE w:val="0"/>
              <w:autoSpaceDN w:val="0"/>
              <w:adjustRightInd w:val="0"/>
              <w:spacing w:after="0" w:line="260" w:lineRule="exact"/>
              <w:ind w:left="4287"/>
              <w:rPr>
                <w:rFonts w:eastAsia="Times New Roman" w:cs="Arial"/>
                <w:iCs/>
                <w:sz w:val="20"/>
                <w:szCs w:val="20"/>
                <w:lang w:eastAsia="sl-SI"/>
              </w:rPr>
            </w:pPr>
          </w:p>
          <w:p w14:paraId="7E08A787" w14:textId="77777777" w:rsidR="004A4B82" w:rsidRDefault="004A4B82" w:rsidP="001A10D4">
            <w:pPr>
              <w:autoSpaceDE w:val="0"/>
              <w:autoSpaceDN w:val="0"/>
              <w:adjustRightInd w:val="0"/>
              <w:spacing w:after="0" w:line="260" w:lineRule="exact"/>
              <w:ind w:left="4287"/>
              <w:rPr>
                <w:rFonts w:eastAsia="Times New Roman" w:cs="Arial"/>
                <w:iCs/>
                <w:sz w:val="20"/>
                <w:szCs w:val="20"/>
                <w:lang w:eastAsia="sl-SI"/>
              </w:rPr>
            </w:pPr>
            <w:r w:rsidRPr="005E7BFD">
              <w:rPr>
                <w:rFonts w:eastAsia="Times New Roman" w:cs="Arial"/>
                <w:iCs/>
                <w:sz w:val="20"/>
                <w:szCs w:val="20"/>
                <w:lang w:eastAsia="sl-SI"/>
              </w:rPr>
              <w:t xml:space="preserve">                                                                                        </w:t>
            </w:r>
          </w:p>
          <w:p w14:paraId="2D0FEFC3" w14:textId="77777777" w:rsidR="004A4B82" w:rsidRPr="005E7BFD" w:rsidRDefault="004A4B82" w:rsidP="001A10D4">
            <w:pPr>
              <w:autoSpaceDE w:val="0"/>
              <w:autoSpaceDN w:val="0"/>
              <w:adjustRightInd w:val="0"/>
              <w:spacing w:after="0" w:line="260" w:lineRule="exact"/>
              <w:ind w:left="4287"/>
              <w:rPr>
                <w:rFonts w:eastAsia="Times New Roman" w:cs="Arial"/>
                <w:sz w:val="20"/>
                <w:szCs w:val="20"/>
                <w:lang w:val="fr-FR"/>
              </w:rPr>
            </w:pPr>
            <w:r w:rsidRPr="005E7BFD">
              <w:rPr>
                <w:rFonts w:eastAsia="Times New Roman" w:cs="Arial"/>
                <w:sz w:val="20"/>
                <w:szCs w:val="20"/>
                <w:lang w:val="fr-FR"/>
              </w:rPr>
              <w:t xml:space="preserve">Barbara Kolenko Helbl </w:t>
            </w:r>
          </w:p>
          <w:p w14:paraId="576DE048" w14:textId="77777777" w:rsidR="004A4B82" w:rsidRPr="005E7BFD" w:rsidRDefault="004A4B82" w:rsidP="001A10D4">
            <w:pPr>
              <w:autoSpaceDE w:val="0"/>
              <w:autoSpaceDN w:val="0"/>
              <w:adjustRightInd w:val="0"/>
              <w:spacing w:after="0" w:line="260" w:lineRule="exact"/>
              <w:ind w:left="4287"/>
              <w:rPr>
                <w:rFonts w:eastAsia="Times New Roman" w:cs="Arial"/>
                <w:sz w:val="20"/>
                <w:szCs w:val="20"/>
                <w:lang w:val="fr-FR"/>
              </w:rPr>
            </w:pPr>
            <w:r w:rsidRPr="005E7BFD">
              <w:rPr>
                <w:rFonts w:eastAsia="Times New Roman" w:cs="Arial"/>
                <w:sz w:val="20"/>
                <w:szCs w:val="20"/>
                <w:lang w:val="fr-FR"/>
              </w:rPr>
              <w:t xml:space="preserve"> generalna sekretarka</w:t>
            </w:r>
          </w:p>
          <w:p w14:paraId="2D421F32" w14:textId="77777777" w:rsidR="004A4B82" w:rsidRPr="005E7BFD" w:rsidRDefault="004A4B82" w:rsidP="001A10D4">
            <w:pPr>
              <w:overflowPunct w:val="0"/>
              <w:autoSpaceDE w:val="0"/>
              <w:autoSpaceDN w:val="0"/>
              <w:adjustRightInd w:val="0"/>
              <w:spacing w:before="60" w:after="60" w:line="260" w:lineRule="exact"/>
              <w:jc w:val="both"/>
              <w:textAlignment w:val="baseline"/>
              <w:rPr>
                <w:rFonts w:eastAsia="Times New Roman" w:cs="Arial"/>
                <w:iCs/>
                <w:sz w:val="20"/>
                <w:szCs w:val="20"/>
                <w:lang w:eastAsia="sl-SI"/>
              </w:rPr>
            </w:pPr>
            <w:r w:rsidRPr="005E7BFD">
              <w:rPr>
                <w:rFonts w:eastAsia="Times New Roman" w:cs="Arial"/>
                <w:iCs/>
                <w:sz w:val="20"/>
                <w:szCs w:val="20"/>
                <w:lang w:eastAsia="sl-SI"/>
              </w:rPr>
              <w:t xml:space="preserve"> </w:t>
            </w:r>
          </w:p>
          <w:p w14:paraId="5CB3905D" w14:textId="77777777" w:rsidR="004A4B82" w:rsidRPr="005E7BFD" w:rsidRDefault="004A4B82" w:rsidP="001A10D4">
            <w:pPr>
              <w:overflowPunct w:val="0"/>
              <w:autoSpaceDE w:val="0"/>
              <w:autoSpaceDN w:val="0"/>
              <w:adjustRightInd w:val="0"/>
              <w:spacing w:before="60" w:after="60" w:line="260" w:lineRule="exact"/>
              <w:jc w:val="both"/>
              <w:textAlignment w:val="baseline"/>
              <w:rPr>
                <w:rFonts w:eastAsia="Times New Roman" w:cs="Arial"/>
                <w:iCs/>
                <w:sz w:val="20"/>
                <w:szCs w:val="20"/>
                <w:lang w:eastAsia="sl-SI"/>
              </w:rPr>
            </w:pPr>
            <w:r w:rsidRPr="005E7BFD">
              <w:rPr>
                <w:rFonts w:eastAsia="Times New Roman" w:cs="Arial"/>
                <w:iCs/>
                <w:sz w:val="20"/>
                <w:szCs w:val="20"/>
                <w:lang w:eastAsia="sl-SI"/>
              </w:rPr>
              <w:t>Priloga:</w:t>
            </w:r>
          </w:p>
          <w:p w14:paraId="6FB61966" w14:textId="77777777" w:rsidR="004A4B82" w:rsidRPr="005E7BFD" w:rsidRDefault="004A4B82" w:rsidP="001A10D4">
            <w:pPr>
              <w:pStyle w:val="Odstavekseznama"/>
              <w:numPr>
                <w:ilvl w:val="0"/>
                <w:numId w:val="4"/>
              </w:numPr>
              <w:overflowPunct w:val="0"/>
              <w:autoSpaceDE w:val="0"/>
              <w:autoSpaceDN w:val="0"/>
              <w:adjustRightInd w:val="0"/>
              <w:spacing w:before="60" w:after="60" w:line="260" w:lineRule="exact"/>
              <w:jc w:val="both"/>
              <w:textAlignment w:val="baseline"/>
              <w:rPr>
                <w:rFonts w:eastAsia="Times New Roman" w:cs="Arial"/>
                <w:iCs/>
                <w:sz w:val="20"/>
                <w:szCs w:val="20"/>
                <w:lang w:eastAsia="sl-SI"/>
              </w:rPr>
            </w:pPr>
            <w:r w:rsidRPr="005E7BFD">
              <w:rPr>
                <w:rFonts w:eastAsia="Times New Roman" w:cs="Arial"/>
                <w:iCs/>
                <w:sz w:val="20"/>
                <w:szCs w:val="20"/>
                <w:lang w:eastAsia="sl-SI"/>
              </w:rPr>
              <w:t>Obrazložitev</w:t>
            </w:r>
          </w:p>
          <w:p w14:paraId="37F94130" w14:textId="77777777" w:rsidR="004A4B82" w:rsidRPr="005E7BFD" w:rsidRDefault="004A4B82" w:rsidP="001A10D4">
            <w:pPr>
              <w:overflowPunct w:val="0"/>
              <w:autoSpaceDE w:val="0"/>
              <w:autoSpaceDN w:val="0"/>
              <w:adjustRightInd w:val="0"/>
              <w:spacing w:after="0" w:line="260" w:lineRule="exact"/>
              <w:jc w:val="both"/>
              <w:textAlignment w:val="baseline"/>
              <w:rPr>
                <w:rFonts w:eastAsia="Times New Roman" w:cs="Arial"/>
                <w:iCs/>
                <w:sz w:val="20"/>
                <w:szCs w:val="20"/>
                <w:lang w:eastAsia="sl-SI"/>
              </w:rPr>
            </w:pPr>
            <w:r w:rsidRPr="005E7BFD">
              <w:rPr>
                <w:rFonts w:eastAsia="Times New Roman" w:cs="Arial"/>
                <w:iCs/>
                <w:sz w:val="20"/>
                <w:szCs w:val="20"/>
                <w:lang w:eastAsia="sl-SI"/>
              </w:rPr>
              <w:t>Vročiti:</w:t>
            </w:r>
          </w:p>
          <w:p w14:paraId="70468DE6" w14:textId="77777777" w:rsidR="004A4B82" w:rsidRPr="005E7BFD" w:rsidRDefault="004A4B82" w:rsidP="001A10D4">
            <w:pPr>
              <w:numPr>
                <w:ilvl w:val="0"/>
                <w:numId w:val="3"/>
              </w:numPr>
              <w:overflowPunct w:val="0"/>
              <w:autoSpaceDE w:val="0"/>
              <w:autoSpaceDN w:val="0"/>
              <w:adjustRightInd w:val="0"/>
              <w:spacing w:after="0" w:line="260" w:lineRule="exact"/>
              <w:jc w:val="both"/>
              <w:textAlignment w:val="baseline"/>
              <w:rPr>
                <w:rFonts w:eastAsia="Times New Roman" w:cs="Arial"/>
                <w:iCs/>
                <w:sz w:val="20"/>
                <w:szCs w:val="20"/>
                <w:lang w:eastAsia="sl-SI"/>
              </w:rPr>
            </w:pPr>
            <w:r w:rsidRPr="005E7BFD">
              <w:rPr>
                <w:rFonts w:eastAsia="Times New Roman" w:cs="Arial"/>
                <w:iCs/>
                <w:sz w:val="20"/>
                <w:szCs w:val="20"/>
                <w:lang w:eastAsia="sl-SI"/>
              </w:rPr>
              <w:t>Ministrstvo za notranje zadeve</w:t>
            </w:r>
          </w:p>
          <w:p w14:paraId="5DBEAAFC" w14:textId="77777777" w:rsidR="004A4B82" w:rsidRPr="005E7BFD" w:rsidRDefault="004A4B82" w:rsidP="001A10D4">
            <w:pPr>
              <w:numPr>
                <w:ilvl w:val="0"/>
                <w:numId w:val="3"/>
              </w:numPr>
              <w:overflowPunct w:val="0"/>
              <w:autoSpaceDE w:val="0"/>
              <w:autoSpaceDN w:val="0"/>
              <w:adjustRightInd w:val="0"/>
              <w:spacing w:after="0" w:line="260" w:lineRule="exact"/>
              <w:jc w:val="both"/>
              <w:textAlignment w:val="baseline"/>
              <w:rPr>
                <w:rFonts w:eastAsia="Times New Roman" w:cs="Arial"/>
                <w:iCs/>
                <w:sz w:val="20"/>
                <w:szCs w:val="20"/>
                <w:lang w:eastAsia="sl-SI"/>
              </w:rPr>
            </w:pPr>
            <w:r w:rsidRPr="005E7BFD">
              <w:rPr>
                <w:rFonts w:eastAsia="Times New Roman" w:cs="Arial"/>
                <w:iCs/>
                <w:sz w:val="20"/>
                <w:szCs w:val="20"/>
                <w:lang w:eastAsia="sl-SI"/>
              </w:rPr>
              <w:t>Ministrstvo za zunanje in evropske zadeve</w:t>
            </w:r>
          </w:p>
          <w:p w14:paraId="76B27E41" w14:textId="77777777" w:rsidR="004A4B82" w:rsidRPr="005E7BFD" w:rsidRDefault="004A4B82" w:rsidP="001A10D4">
            <w:pPr>
              <w:numPr>
                <w:ilvl w:val="0"/>
                <w:numId w:val="3"/>
              </w:numPr>
              <w:overflowPunct w:val="0"/>
              <w:autoSpaceDE w:val="0"/>
              <w:autoSpaceDN w:val="0"/>
              <w:adjustRightInd w:val="0"/>
              <w:spacing w:after="0" w:line="260" w:lineRule="exact"/>
              <w:jc w:val="both"/>
              <w:textAlignment w:val="baseline"/>
              <w:rPr>
                <w:rFonts w:eastAsia="Times New Roman" w:cs="Arial"/>
                <w:iCs/>
                <w:sz w:val="20"/>
                <w:szCs w:val="20"/>
                <w:lang w:eastAsia="sl-SI"/>
              </w:rPr>
            </w:pPr>
            <w:r w:rsidRPr="005E7BFD">
              <w:rPr>
                <w:rFonts w:eastAsia="Times New Roman" w:cs="Arial"/>
                <w:iCs/>
                <w:sz w:val="20"/>
                <w:szCs w:val="20"/>
                <w:lang w:eastAsia="sl-SI"/>
              </w:rPr>
              <w:lastRenderedPageBreak/>
              <w:t>Ministrstvo za infrastrukturo</w:t>
            </w:r>
          </w:p>
          <w:p w14:paraId="38A2755B" w14:textId="77777777" w:rsidR="004A4B82" w:rsidRPr="005E7BFD" w:rsidRDefault="004A4B82" w:rsidP="001A10D4">
            <w:pPr>
              <w:numPr>
                <w:ilvl w:val="0"/>
                <w:numId w:val="3"/>
              </w:numPr>
              <w:overflowPunct w:val="0"/>
              <w:autoSpaceDE w:val="0"/>
              <w:autoSpaceDN w:val="0"/>
              <w:adjustRightInd w:val="0"/>
              <w:spacing w:after="0" w:line="260" w:lineRule="exact"/>
              <w:jc w:val="both"/>
              <w:textAlignment w:val="baseline"/>
              <w:rPr>
                <w:rFonts w:eastAsia="Times New Roman" w:cs="Arial"/>
                <w:iCs/>
                <w:sz w:val="20"/>
                <w:szCs w:val="20"/>
                <w:lang w:eastAsia="sl-SI"/>
              </w:rPr>
            </w:pPr>
            <w:r w:rsidRPr="005E7BFD">
              <w:rPr>
                <w:rFonts w:cs="Arial"/>
                <w:sz w:val="20"/>
                <w:szCs w:val="20"/>
              </w:rPr>
              <w:t>Ministrstvo za gospodarstvo, turizem in šport</w:t>
            </w:r>
          </w:p>
          <w:p w14:paraId="4B7CF3B5" w14:textId="77777777" w:rsidR="004A4B82" w:rsidRPr="005E7BFD" w:rsidRDefault="004A4B82" w:rsidP="001A10D4">
            <w:pPr>
              <w:numPr>
                <w:ilvl w:val="0"/>
                <w:numId w:val="3"/>
              </w:numPr>
              <w:overflowPunct w:val="0"/>
              <w:autoSpaceDE w:val="0"/>
              <w:autoSpaceDN w:val="0"/>
              <w:adjustRightInd w:val="0"/>
              <w:spacing w:after="0" w:line="260" w:lineRule="exact"/>
              <w:jc w:val="both"/>
              <w:textAlignment w:val="baseline"/>
              <w:rPr>
                <w:rFonts w:eastAsia="Times New Roman" w:cs="Arial"/>
                <w:iCs/>
                <w:sz w:val="20"/>
                <w:szCs w:val="20"/>
                <w:lang w:eastAsia="sl-SI"/>
              </w:rPr>
            </w:pPr>
            <w:r w:rsidRPr="005E7BFD">
              <w:rPr>
                <w:rFonts w:cs="Arial"/>
                <w:sz w:val="20"/>
                <w:szCs w:val="20"/>
              </w:rPr>
              <w:t>Služba Vlade za zakonodajo</w:t>
            </w:r>
          </w:p>
          <w:p w14:paraId="139E43D1" w14:textId="77777777" w:rsidR="004A4B82" w:rsidRPr="00F2184C" w:rsidRDefault="004A4B82" w:rsidP="001A10D4">
            <w:pPr>
              <w:numPr>
                <w:ilvl w:val="0"/>
                <w:numId w:val="3"/>
              </w:numPr>
              <w:overflowPunct w:val="0"/>
              <w:autoSpaceDE w:val="0"/>
              <w:autoSpaceDN w:val="0"/>
              <w:adjustRightInd w:val="0"/>
              <w:spacing w:after="0" w:line="260" w:lineRule="exact"/>
              <w:jc w:val="both"/>
              <w:textAlignment w:val="baseline"/>
              <w:rPr>
                <w:rFonts w:eastAsia="Times New Roman" w:cs="Arial"/>
                <w:iCs/>
                <w:sz w:val="20"/>
                <w:szCs w:val="20"/>
                <w:lang w:eastAsia="sl-SI"/>
              </w:rPr>
            </w:pPr>
            <w:r w:rsidRPr="005E7BFD">
              <w:rPr>
                <w:rFonts w:cs="Arial"/>
                <w:sz w:val="20"/>
                <w:szCs w:val="20"/>
              </w:rPr>
              <w:t>Urad Vlade za komuniciranje</w:t>
            </w:r>
          </w:p>
        </w:tc>
      </w:tr>
      <w:tr w:rsidR="004A4B82" w:rsidRPr="005E7BFD" w14:paraId="0B7C6D92" w14:textId="77777777" w:rsidTr="001A10D4">
        <w:tc>
          <w:tcPr>
            <w:tcW w:w="8959" w:type="dxa"/>
            <w:gridSpan w:val="5"/>
          </w:tcPr>
          <w:p w14:paraId="06371DBC" w14:textId="784FD6E3" w:rsidR="004A4B82" w:rsidRPr="005E7BFD" w:rsidRDefault="00A26B2C" w:rsidP="001A10D4">
            <w:pPr>
              <w:overflowPunct w:val="0"/>
              <w:autoSpaceDE w:val="0"/>
              <w:autoSpaceDN w:val="0"/>
              <w:adjustRightInd w:val="0"/>
              <w:spacing w:after="0" w:line="260" w:lineRule="exact"/>
              <w:jc w:val="both"/>
              <w:textAlignment w:val="baseline"/>
              <w:rPr>
                <w:rFonts w:eastAsia="Times New Roman" w:cs="Arial"/>
                <w:b/>
                <w:iCs/>
                <w:sz w:val="20"/>
                <w:szCs w:val="20"/>
                <w:lang w:eastAsia="sl-SI"/>
              </w:rPr>
            </w:pPr>
            <w:r>
              <w:rPr>
                <w:rFonts w:eastAsia="Times New Roman" w:cs="Arial"/>
                <w:b/>
                <w:sz w:val="20"/>
                <w:szCs w:val="20"/>
                <w:lang w:eastAsia="sl-SI"/>
              </w:rPr>
              <w:lastRenderedPageBreak/>
              <w:t>2.</w:t>
            </w:r>
            <w:r w:rsidR="004A4B82" w:rsidRPr="005E7BFD">
              <w:rPr>
                <w:rFonts w:eastAsia="Times New Roman" w:cs="Arial"/>
                <w:b/>
                <w:sz w:val="20"/>
                <w:szCs w:val="20"/>
                <w:lang w:eastAsia="sl-SI"/>
              </w:rPr>
              <w:t xml:space="preserve"> Osebe, odgovorne za strokovno pripravo in usklajenost gradiva:</w:t>
            </w:r>
          </w:p>
        </w:tc>
      </w:tr>
      <w:tr w:rsidR="004A4B82" w:rsidRPr="005E7BFD" w14:paraId="4F317756" w14:textId="77777777" w:rsidTr="001A10D4">
        <w:tc>
          <w:tcPr>
            <w:tcW w:w="8959" w:type="dxa"/>
            <w:gridSpan w:val="5"/>
          </w:tcPr>
          <w:p w14:paraId="3F843D53" w14:textId="77777777" w:rsidR="004A4B82" w:rsidRPr="005E7BFD" w:rsidRDefault="004A4B82" w:rsidP="001A10D4">
            <w:pPr>
              <w:overflowPunct w:val="0"/>
              <w:autoSpaceDE w:val="0"/>
              <w:autoSpaceDN w:val="0"/>
              <w:adjustRightInd w:val="0"/>
              <w:spacing w:after="0" w:line="260" w:lineRule="exact"/>
              <w:jc w:val="both"/>
              <w:textAlignment w:val="baseline"/>
              <w:rPr>
                <w:rFonts w:eastAsia="Times New Roman" w:cs="Arial"/>
                <w:iCs/>
                <w:sz w:val="20"/>
                <w:szCs w:val="20"/>
                <w:lang w:eastAsia="sl-SI"/>
              </w:rPr>
            </w:pPr>
            <w:r w:rsidRPr="005E7BFD">
              <w:rPr>
                <w:rFonts w:cs="Arial"/>
                <w:iCs/>
                <w:sz w:val="20"/>
                <w:szCs w:val="20"/>
              </w:rPr>
              <w:t>Suzana Ivanović, vodja Službe za evropske zadeve in mednarodno sodelovanje, Ministrstvo za notranje zadeve</w:t>
            </w:r>
          </w:p>
        </w:tc>
      </w:tr>
      <w:tr w:rsidR="004A4B82" w:rsidRPr="005E7BFD" w14:paraId="430359F6" w14:textId="77777777" w:rsidTr="001A10D4">
        <w:tc>
          <w:tcPr>
            <w:tcW w:w="8959" w:type="dxa"/>
            <w:gridSpan w:val="5"/>
          </w:tcPr>
          <w:p w14:paraId="37BC0472" w14:textId="791C5EB6" w:rsidR="004A4B82" w:rsidRPr="005E7BFD" w:rsidRDefault="004A4B82" w:rsidP="001A10D4">
            <w:pPr>
              <w:overflowPunct w:val="0"/>
              <w:autoSpaceDE w:val="0"/>
              <w:autoSpaceDN w:val="0"/>
              <w:adjustRightInd w:val="0"/>
              <w:spacing w:after="0" w:line="260" w:lineRule="exact"/>
              <w:jc w:val="both"/>
              <w:textAlignment w:val="baseline"/>
              <w:rPr>
                <w:rFonts w:eastAsia="Times New Roman" w:cs="Arial"/>
                <w:b/>
                <w:iCs/>
                <w:sz w:val="20"/>
                <w:szCs w:val="20"/>
                <w:lang w:eastAsia="sl-SI"/>
              </w:rPr>
            </w:pPr>
            <w:r w:rsidRPr="005E7BFD">
              <w:rPr>
                <w:rFonts w:eastAsia="Times New Roman" w:cs="Arial"/>
                <w:b/>
                <w:iCs/>
                <w:sz w:val="20"/>
                <w:szCs w:val="20"/>
                <w:lang w:eastAsia="sl-SI"/>
              </w:rPr>
              <w:t xml:space="preserve">3. Zunanji strokovnjaki, ki so </w:t>
            </w:r>
            <w:r w:rsidRPr="005E7BFD">
              <w:rPr>
                <w:rFonts w:eastAsia="Times New Roman" w:cs="Arial"/>
                <w:b/>
                <w:sz w:val="20"/>
                <w:szCs w:val="20"/>
                <w:lang w:eastAsia="sl-SI"/>
              </w:rPr>
              <w:t>sodelovali pri pripravi dela ali celotnega gradiva:</w:t>
            </w:r>
          </w:p>
        </w:tc>
      </w:tr>
      <w:tr w:rsidR="004A4B82" w:rsidRPr="005E7BFD" w14:paraId="5C282D77" w14:textId="77777777" w:rsidTr="001A10D4">
        <w:tc>
          <w:tcPr>
            <w:tcW w:w="8959" w:type="dxa"/>
            <w:gridSpan w:val="5"/>
          </w:tcPr>
          <w:p w14:paraId="729F1652" w14:textId="77777777" w:rsidR="004A4B82" w:rsidRPr="005E7BFD" w:rsidRDefault="004A4B82" w:rsidP="001A10D4">
            <w:pPr>
              <w:overflowPunct w:val="0"/>
              <w:autoSpaceDE w:val="0"/>
              <w:autoSpaceDN w:val="0"/>
              <w:adjustRightInd w:val="0"/>
              <w:spacing w:after="0" w:line="260" w:lineRule="exact"/>
              <w:jc w:val="both"/>
              <w:textAlignment w:val="baseline"/>
              <w:rPr>
                <w:rFonts w:eastAsia="Times New Roman" w:cs="Arial"/>
                <w:iCs/>
                <w:sz w:val="20"/>
                <w:szCs w:val="20"/>
                <w:lang w:eastAsia="sl-SI"/>
              </w:rPr>
            </w:pPr>
            <w:r w:rsidRPr="005E7BFD">
              <w:rPr>
                <w:rFonts w:eastAsia="Times New Roman" w:cs="Arial"/>
                <w:iCs/>
                <w:sz w:val="20"/>
                <w:szCs w:val="20"/>
                <w:lang w:eastAsia="sl-SI"/>
              </w:rPr>
              <w:t>/</w:t>
            </w:r>
          </w:p>
        </w:tc>
      </w:tr>
      <w:tr w:rsidR="004A4B82" w:rsidRPr="005E7BFD" w14:paraId="1DC20BE2" w14:textId="77777777" w:rsidTr="001A10D4">
        <w:tc>
          <w:tcPr>
            <w:tcW w:w="8959" w:type="dxa"/>
            <w:gridSpan w:val="5"/>
          </w:tcPr>
          <w:p w14:paraId="0C651ACE" w14:textId="77777777" w:rsidR="004A4B82" w:rsidRPr="005E7BFD" w:rsidRDefault="004A4B82" w:rsidP="001A10D4">
            <w:pPr>
              <w:overflowPunct w:val="0"/>
              <w:autoSpaceDE w:val="0"/>
              <w:autoSpaceDN w:val="0"/>
              <w:adjustRightInd w:val="0"/>
              <w:spacing w:after="0" w:line="260" w:lineRule="exact"/>
              <w:jc w:val="both"/>
              <w:textAlignment w:val="baseline"/>
              <w:rPr>
                <w:rFonts w:eastAsia="Times New Roman" w:cs="Arial"/>
                <w:b/>
                <w:iCs/>
                <w:sz w:val="20"/>
                <w:szCs w:val="20"/>
                <w:lang w:eastAsia="sl-SI"/>
              </w:rPr>
            </w:pPr>
            <w:r w:rsidRPr="005E7BFD">
              <w:rPr>
                <w:rFonts w:eastAsia="Times New Roman" w:cs="Arial"/>
                <w:b/>
                <w:sz w:val="20"/>
                <w:szCs w:val="20"/>
                <w:lang w:eastAsia="sl-SI"/>
              </w:rPr>
              <w:t>4. Predstavniki vlade, ki bodo sodelovali pri delu državnega zbora:</w:t>
            </w:r>
          </w:p>
        </w:tc>
      </w:tr>
      <w:tr w:rsidR="004A4B82" w:rsidRPr="005E7BFD" w14:paraId="39D0C6A5" w14:textId="77777777" w:rsidTr="001A10D4">
        <w:tc>
          <w:tcPr>
            <w:tcW w:w="8959" w:type="dxa"/>
            <w:gridSpan w:val="5"/>
          </w:tcPr>
          <w:p w14:paraId="384E95AC" w14:textId="77777777" w:rsidR="004A4B82" w:rsidRPr="005E7BFD" w:rsidRDefault="004A4B82" w:rsidP="001A10D4">
            <w:pPr>
              <w:overflowPunct w:val="0"/>
              <w:autoSpaceDE w:val="0"/>
              <w:autoSpaceDN w:val="0"/>
              <w:adjustRightInd w:val="0"/>
              <w:spacing w:after="0" w:line="260" w:lineRule="exact"/>
              <w:jc w:val="both"/>
              <w:textAlignment w:val="baseline"/>
              <w:rPr>
                <w:rFonts w:eastAsia="Times New Roman" w:cs="Arial"/>
                <w:b/>
                <w:sz w:val="20"/>
                <w:szCs w:val="20"/>
                <w:lang w:eastAsia="sl-SI"/>
              </w:rPr>
            </w:pPr>
            <w:r w:rsidRPr="005E7BFD">
              <w:rPr>
                <w:rFonts w:eastAsia="Times New Roman" w:cs="Arial"/>
                <w:iCs/>
                <w:sz w:val="20"/>
                <w:szCs w:val="20"/>
                <w:lang w:eastAsia="sl-SI"/>
              </w:rPr>
              <w:t>/</w:t>
            </w:r>
          </w:p>
        </w:tc>
      </w:tr>
      <w:tr w:rsidR="004A4B82" w:rsidRPr="005E7BFD" w14:paraId="4AEAFC47" w14:textId="77777777" w:rsidTr="001A10D4">
        <w:tc>
          <w:tcPr>
            <w:tcW w:w="8959" w:type="dxa"/>
            <w:gridSpan w:val="5"/>
          </w:tcPr>
          <w:p w14:paraId="196175A5" w14:textId="77777777" w:rsidR="004A4B82" w:rsidRPr="005E7BFD" w:rsidRDefault="004A4B82" w:rsidP="001A10D4">
            <w:pPr>
              <w:suppressAutoHyphens/>
              <w:overflowPunct w:val="0"/>
              <w:autoSpaceDE w:val="0"/>
              <w:autoSpaceDN w:val="0"/>
              <w:adjustRightInd w:val="0"/>
              <w:spacing w:after="0" w:line="260" w:lineRule="exact"/>
              <w:textAlignment w:val="baseline"/>
              <w:outlineLvl w:val="3"/>
              <w:rPr>
                <w:rFonts w:eastAsia="Times New Roman" w:cs="Arial"/>
                <w:b/>
                <w:sz w:val="20"/>
                <w:szCs w:val="20"/>
                <w:lang w:eastAsia="sl-SI"/>
              </w:rPr>
            </w:pPr>
            <w:r w:rsidRPr="005E7BFD">
              <w:rPr>
                <w:rFonts w:eastAsia="Times New Roman" w:cs="Arial"/>
                <w:b/>
                <w:sz w:val="20"/>
                <w:szCs w:val="20"/>
                <w:lang w:eastAsia="sl-SI"/>
              </w:rPr>
              <w:t>5. Kratek povzetek gradiva:</w:t>
            </w:r>
          </w:p>
        </w:tc>
      </w:tr>
      <w:tr w:rsidR="004A4B82" w:rsidRPr="005E7BFD" w14:paraId="440643A9" w14:textId="77777777" w:rsidTr="001A10D4">
        <w:tc>
          <w:tcPr>
            <w:tcW w:w="8959" w:type="dxa"/>
            <w:gridSpan w:val="5"/>
            <w:shd w:val="clear" w:color="auto" w:fill="auto"/>
          </w:tcPr>
          <w:p w14:paraId="5AD7CC71" w14:textId="77777777" w:rsidR="004A4B82" w:rsidRDefault="004A4B82" w:rsidP="001A10D4">
            <w:pPr>
              <w:spacing w:after="0" w:line="260" w:lineRule="exact"/>
              <w:ind w:right="27"/>
              <w:jc w:val="both"/>
              <w:rPr>
                <w:rFonts w:cs="Arial"/>
                <w:sz w:val="20"/>
                <w:szCs w:val="20"/>
                <w:shd w:val="clear" w:color="auto" w:fill="FFFFFF"/>
              </w:rPr>
            </w:pPr>
            <w:r w:rsidRPr="005E7BFD">
              <w:rPr>
                <w:rFonts w:cs="Arial"/>
                <w:sz w:val="20"/>
                <w:szCs w:val="20"/>
              </w:rPr>
              <w:t xml:space="preserve">Gradivo vsebuje razloge za nameravano </w:t>
            </w:r>
            <w:r w:rsidRPr="005E7BFD">
              <w:rPr>
                <w:rFonts w:cs="Arial"/>
                <w:sz w:val="20"/>
                <w:szCs w:val="20"/>
                <w:shd w:val="clear" w:color="auto" w:fill="FFFFFF"/>
              </w:rPr>
              <w:t xml:space="preserve">podaljšanje nadzora na notranjih mejah z Republiko Hrvaško in Madžarsko skladno s </w:t>
            </w:r>
            <w:r w:rsidRPr="005E7BFD">
              <w:rPr>
                <w:rFonts w:eastAsia="Times New Roman" w:cs="Arial"/>
                <w:iCs/>
                <w:sz w:val="20"/>
                <w:szCs w:val="20"/>
                <w:lang w:eastAsia="sl-SI"/>
              </w:rPr>
              <w:t xml:space="preserve">prvim odstavkom 36. člena Zakona o nadzoru državne meje (ZNDM-2) in v povezavi z </w:t>
            </w:r>
            <w:r w:rsidRPr="005E7BFD">
              <w:rPr>
                <w:rFonts w:cs="Arial"/>
                <w:sz w:val="20"/>
                <w:szCs w:val="20"/>
                <w:shd w:val="clear" w:color="auto" w:fill="FFFFFF"/>
              </w:rPr>
              <w:t xml:space="preserve">II. poglavjem III. naslova </w:t>
            </w:r>
            <w:r w:rsidRPr="005E7BFD">
              <w:rPr>
                <w:rFonts w:cs="Arial"/>
                <w:bCs/>
                <w:sz w:val="20"/>
                <w:szCs w:val="20"/>
                <w:shd w:val="clear" w:color="auto" w:fill="FFFFFF"/>
              </w:rPr>
              <w:t>Uredbe (EU) 2024/1717 Evropskega parlamenta in Sveta z dne 13. junija 2024 o spremembi Uredbe (EU) 2016/399 o Zakoniku Unije o pravilih, ki urejajo gibanje oseb prek meja</w:t>
            </w:r>
            <w:r w:rsidRPr="005E7BFD">
              <w:rPr>
                <w:rFonts w:cs="Arial"/>
                <w:sz w:val="20"/>
                <w:szCs w:val="20"/>
                <w:shd w:val="clear" w:color="auto" w:fill="FFFFFF"/>
              </w:rPr>
              <w:t xml:space="preserve"> (Zakonik o schengenskih mejah).</w:t>
            </w:r>
          </w:p>
          <w:p w14:paraId="6F7CE04B" w14:textId="77777777" w:rsidR="00902D63" w:rsidRDefault="00902D63" w:rsidP="001A10D4">
            <w:pPr>
              <w:spacing w:after="0" w:line="260" w:lineRule="exact"/>
              <w:ind w:right="27"/>
              <w:jc w:val="both"/>
              <w:rPr>
                <w:rFonts w:cs="Arial"/>
                <w:iCs/>
                <w:sz w:val="20"/>
                <w:szCs w:val="20"/>
                <w:shd w:val="clear" w:color="auto" w:fill="FFFFFF"/>
                <w:lang w:eastAsia="sl-SI"/>
              </w:rPr>
            </w:pPr>
          </w:p>
          <w:p w14:paraId="0A5E90EF" w14:textId="507DA760" w:rsidR="00902D63" w:rsidRPr="00754B99" w:rsidRDefault="00902D63" w:rsidP="00902D63">
            <w:pPr>
              <w:pStyle w:val="Brezrazmikov"/>
              <w:spacing w:line="260" w:lineRule="exact"/>
              <w:jc w:val="both"/>
              <w:rPr>
                <w:rFonts w:ascii="Arial" w:hAnsi="Arial" w:cs="Arial"/>
                <w:sz w:val="20"/>
                <w:szCs w:val="20"/>
              </w:rPr>
            </w:pPr>
            <w:r>
              <w:rPr>
                <w:rFonts w:ascii="Arial" w:hAnsi="Arial" w:cs="Arial"/>
                <w:sz w:val="20"/>
                <w:szCs w:val="20"/>
              </w:rPr>
              <w:t>Na podlagi</w:t>
            </w:r>
            <w:r w:rsidRPr="00754B99">
              <w:rPr>
                <w:rFonts w:ascii="Arial" w:hAnsi="Arial" w:cs="Arial"/>
                <w:sz w:val="20"/>
                <w:szCs w:val="20"/>
              </w:rPr>
              <w:t xml:space="preserve"> Odlok</w:t>
            </w:r>
            <w:r>
              <w:rPr>
                <w:rFonts w:ascii="Arial" w:hAnsi="Arial" w:cs="Arial"/>
                <w:sz w:val="20"/>
                <w:szCs w:val="20"/>
              </w:rPr>
              <w:t>a</w:t>
            </w:r>
            <w:r w:rsidRPr="00754B99">
              <w:rPr>
                <w:rFonts w:ascii="Arial" w:hAnsi="Arial" w:cs="Arial"/>
                <w:sz w:val="20"/>
                <w:szCs w:val="20"/>
              </w:rPr>
              <w:t xml:space="preserve"> o spremembi Odloka o uvedbi začasnega ponovnega nadzora na notranjih mejah Republike Slovenije z Republiko Hrvaško in Madžarsko </w:t>
            </w:r>
            <w:r>
              <w:rPr>
                <w:rFonts w:ascii="Arial" w:hAnsi="Arial" w:cs="Arial"/>
                <w:sz w:val="20"/>
                <w:szCs w:val="20"/>
              </w:rPr>
              <w:t>š</w:t>
            </w:r>
            <w:r w:rsidRPr="00754B99">
              <w:rPr>
                <w:rFonts w:ascii="Arial" w:hAnsi="Arial" w:cs="Arial"/>
                <w:sz w:val="20"/>
                <w:szCs w:val="20"/>
              </w:rPr>
              <w:t xml:space="preserve">t. 00704-412/2025 z dne 17. decembra 2025 </w:t>
            </w:r>
            <w:r>
              <w:rPr>
                <w:rFonts w:ascii="Arial" w:hAnsi="Arial" w:cs="Arial"/>
                <w:sz w:val="20"/>
                <w:szCs w:val="20"/>
              </w:rPr>
              <w:t>traja ponovni nadzor na mejah z Madžarsko in Republiko Hrvaško</w:t>
            </w:r>
            <w:r w:rsidRPr="00754B99">
              <w:rPr>
                <w:rFonts w:ascii="Arial" w:hAnsi="Arial" w:cs="Arial"/>
                <w:sz w:val="20"/>
                <w:szCs w:val="20"/>
              </w:rPr>
              <w:t xml:space="preserve"> do 21. junija 2026</w:t>
            </w:r>
            <w:r>
              <w:rPr>
                <w:rFonts w:ascii="Arial" w:hAnsi="Arial" w:cs="Arial"/>
                <w:sz w:val="20"/>
                <w:szCs w:val="20"/>
              </w:rPr>
              <w:t xml:space="preserve">, </w:t>
            </w:r>
            <w:r w:rsidR="00DF23A5">
              <w:rPr>
                <w:rFonts w:ascii="Arial" w:hAnsi="Arial" w:cs="Arial"/>
                <w:sz w:val="20"/>
                <w:szCs w:val="20"/>
              </w:rPr>
              <w:t xml:space="preserve">namero </w:t>
            </w:r>
            <w:r>
              <w:rPr>
                <w:rFonts w:ascii="Arial" w:hAnsi="Arial" w:cs="Arial"/>
                <w:sz w:val="20"/>
                <w:szCs w:val="20"/>
              </w:rPr>
              <w:t>podaljšanj</w:t>
            </w:r>
            <w:r w:rsidR="00DF23A5">
              <w:rPr>
                <w:rFonts w:ascii="Arial" w:hAnsi="Arial" w:cs="Arial"/>
                <w:sz w:val="20"/>
                <w:szCs w:val="20"/>
              </w:rPr>
              <w:t>a</w:t>
            </w:r>
            <w:r>
              <w:rPr>
                <w:rFonts w:ascii="Arial" w:hAnsi="Arial" w:cs="Arial"/>
                <w:sz w:val="20"/>
                <w:szCs w:val="20"/>
              </w:rPr>
              <w:t xml:space="preserve"> pa je potrebno sporočiti institucijam EU ter državam članicam</w:t>
            </w:r>
            <w:r w:rsidR="00DF23A5">
              <w:rPr>
                <w:rFonts w:ascii="Arial" w:hAnsi="Arial" w:cs="Arial"/>
                <w:sz w:val="20"/>
                <w:szCs w:val="20"/>
              </w:rPr>
              <w:t xml:space="preserve"> </w:t>
            </w:r>
            <w:r w:rsidR="00DF23A5" w:rsidRPr="005E7BFD">
              <w:rPr>
                <w:rFonts w:ascii="Arial" w:hAnsi="Arial" w:cs="Arial"/>
                <w:sz w:val="20"/>
                <w:szCs w:val="20"/>
              </w:rPr>
              <w:t>vsaj štiri tedne pre</w:t>
            </w:r>
            <w:r w:rsidR="00DF23A5">
              <w:rPr>
                <w:rFonts w:ascii="Arial" w:hAnsi="Arial" w:cs="Arial"/>
                <w:sz w:val="20"/>
                <w:szCs w:val="20"/>
              </w:rPr>
              <w:t>j, to je do 22. 5. 2026, zato gre za tekoči posel vlade.</w:t>
            </w:r>
          </w:p>
          <w:p w14:paraId="33DD189E" w14:textId="60968AFA" w:rsidR="00902D63" w:rsidRPr="005E7BFD" w:rsidRDefault="00902D63" w:rsidP="001A10D4">
            <w:pPr>
              <w:spacing w:after="0" w:line="260" w:lineRule="exact"/>
              <w:ind w:right="27"/>
              <w:jc w:val="both"/>
              <w:rPr>
                <w:rFonts w:eastAsia="Times New Roman" w:cs="Arial"/>
                <w:iCs/>
                <w:sz w:val="20"/>
                <w:szCs w:val="20"/>
                <w:lang w:eastAsia="sl-SI"/>
              </w:rPr>
            </w:pPr>
          </w:p>
        </w:tc>
      </w:tr>
      <w:tr w:rsidR="004A4B82" w:rsidRPr="005E7BFD" w14:paraId="2529A452" w14:textId="77777777" w:rsidTr="001A10D4">
        <w:tc>
          <w:tcPr>
            <w:tcW w:w="8959" w:type="dxa"/>
            <w:gridSpan w:val="5"/>
          </w:tcPr>
          <w:p w14:paraId="3F5E7134" w14:textId="77777777" w:rsidR="004A4B82" w:rsidRPr="005E7BFD" w:rsidRDefault="004A4B82" w:rsidP="001A10D4">
            <w:pPr>
              <w:suppressAutoHyphens/>
              <w:overflowPunct w:val="0"/>
              <w:autoSpaceDE w:val="0"/>
              <w:autoSpaceDN w:val="0"/>
              <w:adjustRightInd w:val="0"/>
              <w:spacing w:after="0" w:line="260" w:lineRule="exact"/>
              <w:textAlignment w:val="baseline"/>
              <w:outlineLvl w:val="3"/>
              <w:rPr>
                <w:rFonts w:eastAsia="Times New Roman" w:cs="Arial"/>
                <w:b/>
                <w:sz w:val="20"/>
                <w:szCs w:val="20"/>
                <w:lang w:eastAsia="sl-SI"/>
              </w:rPr>
            </w:pPr>
            <w:r w:rsidRPr="005E7BFD">
              <w:rPr>
                <w:rFonts w:eastAsia="Times New Roman" w:cs="Arial"/>
                <w:b/>
                <w:sz w:val="20"/>
                <w:szCs w:val="20"/>
                <w:lang w:eastAsia="sl-SI"/>
              </w:rPr>
              <w:t>6. Presoja posledic za:</w:t>
            </w:r>
          </w:p>
        </w:tc>
      </w:tr>
      <w:tr w:rsidR="004A4B82" w:rsidRPr="005E7BFD" w14:paraId="384A0E64" w14:textId="77777777" w:rsidTr="001A10D4">
        <w:tc>
          <w:tcPr>
            <w:tcW w:w="1448" w:type="dxa"/>
          </w:tcPr>
          <w:p w14:paraId="49919BC1" w14:textId="77777777" w:rsidR="004A4B82" w:rsidRPr="005E7BFD" w:rsidRDefault="004A4B82" w:rsidP="001A10D4">
            <w:pPr>
              <w:overflowPunct w:val="0"/>
              <w:autoSpaceDE w:val="0"/>
              <w:autoSpaceDN w:val="0"/>
              <w:adjustRightInd w:val="0"/>
              <w:spacing w:after="0" w:line="260" w:lineRule="exact"/>
              <w:ind w:left="360"/>
              <w:jc w:val="both"/>
              <w:textAlignment w:val="baseline"/>
              <w:rPr>
                <w:rFonts w:eastAsia="Times New Roman" w:cs="Arial"/>
                <w:iCs/>
                <w:sz w:val="20"/>
                <w:szCs w:val="20"/>
                <w:lang w:eastAsia="sl-SI"/>
              </w:rPr>
            </w:pPr>
            <w:r w:rsidRPr="005E7BFD">
              <w:rPr>
                <w:rFonts w:eastAsia="Times New Roman" w:cs="Arial"/>
                <w:iCs/>
                <w:sz w:val="20"/>
                <w:szCs w:val="20"/>
                <w:lang w:eastAsia="sl-SI"/>
              </w:rPr>
              <w:t>a)</w:t>
            </w:r>
          </w:p>
        </w:tc>
        <w:tc>
          <w:tcPr>
            <w:tcW w:w="5444" w:type="dxa"/>
            <w:gridSpan w:val="3"/>
          </w:tcPr>
          <w:p w14:paraId="72111D44" w14:textId="77777777" w:rsidR="004A4B82" w:rsidRPr="005E7BFD" w:rsidRDefault="004A4B82" w:rsidP="001A10D4">
            <w:pPr>
              <w:overflowPunct w:val="0"/>
              <w:autoSpaceDE w:val="0"/>
              <w:autoSpaceDN w:val="0"/>
              <w:adjustRightInd w:val="0"/>
              <w:spacing w:after="0" w:line="260" w:lineRule="exact"/>
              <w:jc w:val="both"/>
              <w:textAlignment w:val="baseline"/>
              <w:rPr>
                <w:rFonts w:eastAsia="Times New Roman" w:cs="Arial"/>
                <w:sz w:val="20"/>
                <w:szCs w:val="20"/>
                <w:lang w:eastAsia="sl-SI"/>
              </w:rPr>
            </w:pPr>
            <w:r w:rsidRPr="005E7BFD">
              <w:rPr>
                <w:rFonts w:eastAsia="Times New Roman" w:cs="Arial"/>
                <w:sz w:val="20"/>
                <w:szCs w:val="20"/>
                <w:lang w:eastAsia="sl-SI"/>
              </w:rPr>
              <w:t>javnofinančna sredstva nad 40.000 EUR v tekočem in naslednjih treh letih</w:t>
            </w:r>
          </w:p>
        </w:tc>
        <w:tc>
          <w:tcPr>
            <w:tcW w:w="2067" w:type="dxa"/>
            <w:vAlign w:val="center"/>
          </w:tcPr>
          <w:p w14:paraId="159CB7F6" w14:textId="77777777" w:rsidR="004A4B82" w:rsidRPr="005E7BFD" w:rsidRDefault="004A4B82" w:rsidP="001A10D4">
            <w:pPr>
              <w:overflowPunct w:val="0"/>
              <w:autoSpaceDE w:val="0"/>
              <w:autoSpaceDN w:val="0"/>
              <w:adjustRightInd w:val="0"/>
              <w:spacing w:after="0" w:line="260" w:lineRule="exact"/>
              <w:jc w:val="center"/>
              <w:textAlignment w:val="baseline"/>
              <w:rPr>
                <w:rFonts w:eastAsia="Times New Roman" w:cs="Arial"/>
                <w:iCs/>
                <w:sz w:val="20"/>
                <w:szCs w:val="20"/>
                <w:lang w:eastAsia="sl-SI"/>
              </w:rPr>
            </w:pPr>
            <w:r w:rsidRPr="005E7BFD">
              <w:rPr>
                <w:rFonts w:eastAsia="Times New Roman" w:cs="Arial"/>
                <w:sz w:val="20"/>
                <w:szCs w:val="20"/>
                <w:lang w:eastAsia="sl-SI"/>
              </w:rPr>
              <w:t>NE</w:t>
            </w:r>
          </w:p>
        </w:tc>
      </w:tr>
      <w:tr w:rsidR="004A4B82" w:rsidRPr="005E7BFD" w14:paraId="67E87C96" w14:textId="77777777" w:rsidTr="001A10D4">
        <w:tc>
          <w:tcPr>
            <w:tcW w:w="1448" w:type="dxa"/>
          </w:tcPr>
          <w:p w14:paraId="0C16EABF" w14:textId="77777777" w:rsidR="004A4B82" w:rsidRPr="005E7BFD" w:rsidRDefault="004A4B82" w:rsidP="001A10D4">
            <w:pPr>
              <w:overflowPunct w:val="0"/>
              <w:autoSpaceDE w:val="0"/>
              <w:autoSpaceDN w:val="0"/>
              <w:adjustRightInd w:val="0"/>
              <w:spacing w:after="0" w:line="260" w:lineRule="exact"/>
              <w:ind w:left="360"/>
              <w:jc w:val="both"/>
              <w:textAlignment w:val="baseline"/>
              <w:rPr>
                <w:rFonts w:eastAsia="Times New Roman" w:cs="Arial"/>
                <w:iCs/>
                <w:sz w:val="20"/>
                <w:szCs w:val="20"/>
                <w:lang w:eastAsia="sl-SI"/>
              </w:rPr>
            </w:pPr>
            <w:r w:rsidRPr="005E7BFD">
              <w:rPr>
                <w:rFonts w:eastAsia="Times New Roman" w:cs="Arial"/>
                <w:iCs/>
                <w:sz w:val="20"/>
                <w:szCs w:val="20"/>
                <w:lang w:eastAsia="sl-SI"/>
              </w:rPr>
              <w:t>b)</w:t>
            </w:r>
          </w:p>
        </w:tc>
        <w:tc>
          <w:tcPr>
            <w:tcW w:w="5444" w:type="dxa"/>
            <w:gridSpan w:val="3"/>
          </w:tcPr>
          <w:p w14:paraId="663861C0" w14:textId="77777777" w:rsidR="004A4B82" w:rsidRPr="005E7BFD" w:rsidRDefault="004A4B82" w:rsidP="001A10D4">
            <w:pPr>
              <w:overflowPunct w:val="0"/>
              <w:autoSpaceDE w:val="0"/>
              <w:autoSpaceDN w:val="0"/>
              <w:adjustRightInd w:val="0"/>
              <w:spacing w:after="0" w:line="260" w:lineRule="exact"/>
              <w:jc w:val="both"/>
              <w:textAlignment w:val="baseline"/>
              <w:rPr>
                <w:rFonts w:eastAsia="Times New Roman" w:cs="Arial"/>
                <w:iCs/>
                <w:sz w:val="20"/>
                <w:szCs w:val="20"/>
                <w:lang w:eastAsia="sl-SI"/>
              </w:rPr>
            </w:pPr>
            <w:r w:rsidRPr="005E7BFD">
              <w:rPr>
                <w:rFonts w:eastAsia="Times New Roman" w:cs="Arial"/>
                <w:bCs/>
                <w:sz w:val="20"/>
                <w:szCs w:val="20"/>
                <w:lang w:eastAsia="sl-SI"/>
              </w:rPr>
              <w:t>usklajenost slovenskega pravnega reda s pravnim redom Evropske unije</w:t>
            </w:r>
          </w:p>
        </w:tc>
        <w:tc>
          <w:tcPr>
            <w:tcW w:w="2067" w:type="dxa"/>
            <w:vAlign w:val="center"/>
          </w:tcPr>
          <w:p w14:paraId="1C0ADDB7" w14:textId="77777777" w:rsidR="004A4B82" w:rsidRPr="005E7BFD" w:rsidRDefault="004A4B82" w:rsidP="001A10D4">
            <w:pPr>
              <w:overflowPunct w:val="0"/>
              <w:autoSpaceDE w:val="0"/>
              <w:autoSpaceDN w:val="0"/>
              <w:adjustRightInd w:val="0"/>
              <w:spacing w:after="0" w:line="260" w:lineRule="exact"/>
              <w:jc w:val="center"/>
              <w:textAlignment w:val="baseline"/>
              <w:rPr>
                <w:rFonts w:eastAsia="Times New Roman" w:cs="Arial"/>
                <w:iCs/>
                <w:sz w:val="20"/>
                <w:szCs w:val="20"/>
                <w:lang w:eastAsia="sl-SI"/>
              </w:rPr>
            </w:pPr>
            <w:r w:rsidRPr="005E7BFD">
              <w:rPr>
                <w:rFonts w:eastAsia="Times New Roman" w:cs="Arial"/>
                <w:sz w:val="20"/>
                <w:szCs w:val="20"/>
                <w:lang w:eastAsia="sl-SI"/>
              </w:rPr>
              <w:t>NE</w:t>
            </w:r>
          </w:p>
        </w:tc>
      </w:tr>
      <w:tr w:rsidR="004A4B82" w:rsidRPr="005E7BFD" w14:paraId="5108FC8B" w14:textId="77777777" w:rsidTr="001A10D4">
        <w:tc>
          <w:tcPr>
            <w:tcW w:w="1448" w:type="dxa"/>
          </w:tcPr>
          <w:p w14:paraId="5D006ECA" w14:textId="77777777" w:rsidR="004A4B82" w:rsidRPr="005E7BFD" w:rsidRDefault="004A4B82" w:rsidP="001A10D4">
            <w:pPr>
              <w:overflowPunct w:val="0"/>
              <w:autoSpaceDE w:val="0"/>
              <w:autoSpaceDN w:val="0"/>
              <w:adjustRightInd w:val="0"/>
              <w:spacing w:after="0" w:line="260" w:lineRule="exact"/>
              <w:ind w:left="360"/>
              <w:jc w:val="both"/>
              <w:textAlignment w:val="baseline"/>
              <w:rPr>
                <w:rFonts w:eastAsia="Times New Roman" w:cs="Arial"/>
                <w:iCs/>
                <w:sz w:val="20"/>
                <w:szCs w:val="20"/>
                <w:lang w:eastAsia="sl-SI"/>
              </w:rPr>
            </w:pPr>
            <w:r w:rsidRPr="005E7BFD">
              <w:rPr>
                <w:rFonts w:eastAsia="Times New Roman" w:cs="Arial"/>
                <w:iCs/>
                <w:sz w:val="20"/>
                <w:szCs w:val="20"/>
                <w:lang w:eastAsia="sl-SI"/>
              </w:rPr>
              <w:t>c)</w:t>
            </w:r>
          </w:p>
        </w:tc>
        <w:tc>
          <w:tcPr>
            <w:tcW w:w="5444" w:type="dxa"/>
            <w:gridSpan w:val="3"/>
          </w:tcPr>
          <w:p w14:paraId="74A73597" w14:textId="77777777" w:rsidR="004A4B82" w:rsidRPr="005E7BFD" w:rsidRDefault="004A4B82" w:rsidP="001A10D4">
            <w:pPr>
              <w:overflowPunct w:val="0"/>
              <w:autoSpaceDE w:val="0"/>
              <w:autoSpaceDN w:val="0"/>
              <w:adjustRightInd w:val="0"/>
              <w:spacing w:after="0" w:line="260" w:lineRule="exact"/>
              <w:jc w:val="both"/>
              <w:textAlignment w:val="baseline"/>
              <w:rPr>
                <w:rFonts w:eastAsia="Times New Roman" w:cs="Arial"/>
                <w:iCs/>
                <w:sz w:val="20"/>
                <w:szCs w:val="20"/>
                <w:lang w:eastAsia="sl-SI"/>
              </w:rPr>
            </w:pPr>
            <w:r w:rsidRPr="005E7BFD">
              <w:rPr>
                <w:rFonts w:eastAsia="Times New Roman" w:cs="Arial"/>
                <w:sz w:val="20"/>
                <w:szCs w:val="20"/>
                <w:lang w:eastAsia="sl-SI"/>
              </w:rPr>
              <w:t>administrativne posledice</w:t>
            </w:r>
          </w:p>
        </w:tc>
        <w:tc>
          <w:tcPr>
            <w:tcW w:w="2067" w:type="dxa"/>
            <w:vAlign w:val="center"/>
          </w:tcPr>
          <w:p w14:paraId="4DBFC582" w14:textId="77777777" w:rsidR="004A4B82" w:rsidRPr="005E7BFD" w:rsidRDefault="004A4B82" w:rsidP="001A10D4">
            <w:pPr>
              <w:overflowPunct w:val="0"/>
              <w:autoSpaceDE w:val="0"/>
              <w:autoSpaceDN w:val="0"/>
              <w:adjustRightInd w:val="0"/>
              <w:spacing w:after="0" w:line="260" w:lineRule="exact"/>
              <w:jc w:val="center"/>
              <w:textAlignment w:val="baseline"/>
              <w:rPr>
                <w:rFonts w:eastAsia="Times New Roman" w:cs="Arial"/>
                <w:sz w:val="20"/>
                <w:szCs w:val="20"/>
                <w:lang w:eastAsia="sl-SI"/>
              </w:rPr>
            </w:pPr>
            <w:r w:rsidRPr="005E7BFD">
              <w:rPr>
                <w:rFonts w:eastAsia="Times New Roman" w:cs="Arial"/>
                <w:sz w:val="20"/>
                <w:szCs w:val="20"/>
                <w:lang w:eastAsia="sl-SI"/>
              </w:rPr>
              <w:t>NE</w:t>
            </w:r>
          </w:p>
        </w:tc>
      </w:tr>
      <w:tr w:rsidR="004A4B82" w:rsidRPr="005E7BFD" w14:paraId="04455C48" w14:textId="77777777" w:rsidTr="001A10D4">
        <w:tc>
          <w:tcPr>
            <w:tcW w:w="1448" w:type="dxa"/>
          </w:tcPr>
          <w:p w14:paraId="60CD450C" w14:textId="77777777" w:rsidR="004A4B82" w:rsidRPr="005E7BFD" w:rsidRDefault="004A4B82" w:rsidP="001A10D4">
            <w:pPr>
              <w:overflowPunct w:val="0"/>
              <w:autoSpaceDE w:val="0"/>
              <w:autoSpaceDN w:val="0"/>
              <w:adjustRightInd w:val="0"/>
              <w:spacing w:after="0" w:line="260" w:lineRule="exact"/>
              <w:ind w:left="360"/>
              <w:jc w:val="both"/>
              <w:textAlignment w:val="baseline"/>
              <w:rPr>
                <w:rFonts w:eastAsia="Times New Roman" w:cs="Arial"/>
                <w:iCs/>
                <w:sz w:val="20"/>
                <w:szCs w:val="20"/>
                <w:lang w:eastAsia="sl-SI"/>
              </w:rPr>
            </w:pPr>
            <w:r w:rsidRPr="005E7BFD">
              <w:rPr>
                <w:rFonts w:eastAsia="Times New Roman" w:cs="Arial"/>
                <w:iCs/>
                <w:sz w:val="20"/>
                <w:szCs w:val="20"/>
                <w:lang w:eastAsia="sl-SI"/>
              </w:rPr>
              <w:t>č)</w:t>
            </w:r>
          </w:p>
        </w:tc>
        <w:tc>
          <w:tcPr>
            <w:tcW w:w="5444" w:type="dxa"/>
            <w:gridSpan w:val="3"/>
          </w:tcPr>
          <w:p w14:paraId="3DDED46C" w14:textId="77777777" w:rsidR="004A4B82" w:rsidRPr="005E7BFD" w:rsidRDefault="004A4B82" w:rsidP="001A10D4">
            <w:pPr>
              <w:overflowPunct w:val="0"/>
              <w:autoSpaceDE w:val="0"/>
              <w:autoSpaceDN w:val="0"/>
              <w:adjustRightInd w:val="0"/>
              <w:spacing w:after="0" w:line="260" w:lineRule="exact"/>
              <w:jc w:val="both"/>
              <w:textAlignment w:val="baseline"/>
              <w:rPr>
                <w:rFonts w:eastAsia="Times New Roman" w:cs="Arial"/>
                <w:bCs/>
                <w:sz w:val="20"/>
                <w:szCs w:val="20"/>
                <w:lang w:eastAsia="sl-SI"/>
              </w:rPr>
            </w:pPr>
            <w:r w:rsidRPr="005E7BFD">
              <w:rPr>
                <w:rFonts w:eastAsia="Times New Roman" w:cs="Arial"/>
                <w:sz w:val="20"/>
                <w:szCs w:val="20"/>
                <w:lang w:eastAsia="sl-SI"/>
              </w:rPr>
              <w:t>gospodarstvo, zlasti</w:t>
            </w:r>
            <w:r w:rsidRPr="005E7BFD">
              <w:rPr>
                <w:rFonts w:eastAsia="Times New Roman" w:cs="Arial"/>
                <w:bCs/>
                <w:sz w:val="20"/>
                <w:szCs w:val="20"/>
                <w:lang w:eastAsia="sl-SI"/>
              </w:rPr>
              <w:t xml:space="preserve"> mala in srednja podjetja ter konkurenčnost podjetij</w:t>
            </w:r>
          </w:p>
        </w:tc>
        <w:tc>
          <w:tcPr>
            <w:tcW w:w="2067" w:type="dxa"/>
            <w:vAlign w:val="center"/>
          </w:tcPr>
          <w:p w14:paraId="2887FEC4" w14:textId="77777777" w:rsidR="004A4B82" w:rsidRPr="005E7BFD" w:rsidRDefault="004A4B82" w:rsidP="001A10D4">
            <w:pPr>
              <w:overflowPunct w:val="0"/>
              <w:autoSpaceDE w:val="0"/>
              <w:autoSpaceDN w:val="0"/>
              <w:adjustRightInd w:val="0"/>
              <w:spacing w:after="0" w:line="260" w:lineRule="exact"/>
              <w:jc w:val="center"/>
              <w:textAlignment w:val="baseline"/>
              <w:rPr>
                <w:rFonts w:eastAsia="Times New Roman" w:cs="Arial"/>
                <w:iCs/>
                <w:sz w:val="20"/>
                <w:szCs w:val="20"/>
                <w:lang w:eastAsia="sl-SI"/>
              </w:rPr>
            </w:pPr>
            <w:r w:rsidRPr="005E7BFD">
              <w:rPr>
                <w:rFonts w:eastAsia="Times New Roman" w:cs="Arial"/>
                <w:sz w:val="20"/>
                <w:szCs w:val="20"/>
                <w:lang w:eastAsia="sl-SI"/>
              </w:rPr>
              <w:t>NE</w:t>
            </w:r>
          </w:p>
        </w:tc>
      </w:tr>
      <w:tr w:rsidR="004A4B82" w:rsidRPr="005E7BFD" w14:paraId="7E8AF855" w14:textId="77777777" w:rsidTr="001A10D4">
        <w:tc>
          <w:tcPr>
            <w:tcW w:w="1448" w:type="dxa"/>
          </w:tcPr>
          <w:p w14:paraId="73F1D6AC" w14:textId="77777777" w:rsidR="004A4B82" w:rsidRPr="005E7BFD" w:rsidRDefault="004A4B82" w:rsidP="001A10D4">
            <w:pPr>
              <w:overflowPunct w:val="0"/>
              <w:autoSpaceDE w:val="0"/>
              <w:autoSpaceDN w:val="0"/>
              <w:adjustRightInd w:val="0"/>
              <w:spacing w:after="0" w:line="260" w:lineRule="exact"/>
              <w:ind w:left="360"/>
              <w:jc w:val="both"/>
              <w:textAlignment w:val="baseline"/>
              <w:rPr>
                <w:rFonts w:eastAsia="Times New Roman" w:cs="Arial"/>
                <w:iCs/>
                <w:sz w:val="20"/>
                <w:szCs w:val="20"/>
                <w:lang w:eastAsia="sl-SI"/>
              </w:rPr>
            </w:pPr>
            <w:r w:rsidRPr="005E7BFD">
              <w:rPr>
                <w:rFonts w:eastAsia="Times New Roman" w:cs="Arial"/>
                <w:iCs/>
                <w:sz w:val="20"/>
                <w:szCs w:val="20"/>
                <w:lang w:eastAsia="sl-SI"/>
              </w:rPr>
              <w:t>d)</w:t>
            </w:r>
          </w:p>
        </w:tc>
        <w:tc>
          <w:tcPr>
            <w:tcW w:w="5444" w:type="dxa"/>
            <w:gridSpan w:val="3"/>
          </w:tcPr>
          <w:p w14:paraId="1FC57E3F" w14:textId="77777777" w:rsidR="004A4B82" w:rsidRPr="005E7BFD" w:rsidRDefault="004A4B82" w:rsidP="001A10D4">
            <w:pPr>
              <w:overflowPunct w:val="0"/>
              <w:autoSpaceDE w:val="0"/>
              <w:autoSpaceDN w:val="0"/>
              <w:adjustRightInd w:val="0"/>
              <w:spacing w:after="0" w:line="260" w:lineRule="exact"/>
              <w:jc w:val="both"/>
              <w:textAlignment w:val="baseline"/>
              <w:rPr>
                <w:rFonts w:eastAsia="Times New Roman" w:cs="Arial"/>
                <w:bCs/>
                <w:sz w:val="20"/>
                <w:szCs w:val="20"/>
                <w:lang w:eastAsia="sl-SI"/>
              </w:rPr>
            </w:pPr>
            <w:r w:rsidRPr="005E7BFD">
              <w:rPr>
                <w:rFonts w:eastAsia="Times New Roman" w:cs="Arial"/>
                <w:bCs/>
                <w:sz w:val="20"/>
                <w:szCs w:val="20"/>
                <w:lang w:eastAsia="sl-SI"/>
              </w:rPr>
              <w:t>okolje, vključno s prostorskimi in varstvenimi vidiki</w:t>
            </w:r>
          </w:p>
        </w:tc>
        <w:tc>
          <w:tcPr>
            <w:tcW w:w="2067" w:type="dxa"/>
            <w:vAlign w:val="center"/>
          </w:tcPr>
          <w:p w14:paraId="7688F0CE" w14:textId="77777777" w:rsidR="004A4B82" w:rsidRPr="005E7BFD" w:rsidRDefault="004A4B82" w:rsidP="001A10D4">
            <w:pPr>
              <w:overflowPunct w:val="0"/>
              <w:autoSpaceDE w:val="0"/>
              <w:autoSpaceDN w:val="0"/>
              <w:adjustRightInd w:val="0"/>
              <w:spacing w:after="0" w:line="260" w:lineRule="exact"/>
              <w:jc w:val="center"/>
              <w:textAlignment w:val="baseline"/>
              <w:rPr>
                <w:rFonts w:eastAsia="Times New Roman" w:cs="Arial"/>
                <w:iCs/>
                <w:sz w:val="20"/>
                <w:szCs w:val="20"/>
                <w:lang w:eastAsia="sl-SI"/>
              </w:rPr>
            </w:pPr>
            <w:r w:rsidRPr="005E7BFD">
              <w:rPr>
                <w:rFonts w:eastAsia="Times New Roman" w:cs="Arial"/>
                <w:sz w:val="20"/>
                <w:szCs w:val="20"/>
                <w:lang w:eastAsia="sl-SI"/>
              </w:rPr>
              <w:t>NE</w:t>
            </w:r>
          </w:p>
        </w:tc>
      </w:tr>
      <w:tr w:rsidR="004A4B82" w:rsidRPr="005E7BFD" w14:paraId="4F101CF2" w14:textId="77777777" w:rsidTr="001A10D4">
        <w:tc>
          <w:tcPr>
            <w:tcW w:w="1448" w:type="dxa"/>
          </w:tcPr>
          <w:p w14:paraId="3465CB7E" w14:textId="77777777" w:rsidR="004A4B82" w:rsidRPr="005E7BFD" w:rsidRDefault="004A4B82" w:rsidP="001A10D4">
            <w:pPr>
              <w:overflowPunct w:val="0"/>
              <w:autoSpaceDE w:val="0"/>
              <w:autoSpaceDN w:val="0"/>
              <w:adjustRightInd w:val="0"/>
              <w:spacing w:after="0" w:line="260" w:lineRule="exact"/>
              <w:ind w:left="360"/>
              <w:jc w:val="both"/>
              <w:textAlignment w:val="baseline"/>
              <w:rPr>
                <w:rFonts w:eastAsia="Times New Roman" w:cs="Arial"/>
                <w:iCs/>
                <w:sz w:val="20"/>
                <w:szCs w:val="20"/>
                <w:lang w:eastAsia="sl-SI"/>
              </w:rPr>
            </w:pPr>
            <w:r w:rsidRPr="005E7BFD">
              <w:rPr>
                <w:rFonts w:eastAsia="Times New Roman" w:cs="Arial"/>
                <w:iCs/>
                <w:sz w:val="20"/>
                <w:szCs w:val="20"/>
                <w:lang w:eastAsia="sl-SI"/>
              </w:rPr>
              <w:t>e)</w:t>
            </w:r>
          </w:p>
        </w:tc>
        <w:tc>
          <w:tcPr>
            <w:tcW w:w="5444" w:type="dxa"/>
            <w:gridSpan w:val="3"/>
          </w:tcPr>
          <w:p w14:paraId="403C68EE" w14:textId="77777777" w:rsidR="004A4B82" w:rsidRPr="005E7BFD" w:rsidRDefault="004A4B82" w:rsidP="001A10D4">
            <w:pPr>
              <w:overflowPunct w:val="0"/>
              <w:autoSpaceDE w:val="0"/>
              <w:autoSpaceDN w:val="0"/>
              <w:adjustRightInd w:val="0"/>
              <w:spacing w:after="0" w:line="260" w:lineRule="exact"/>
              <w:jc w:val="both"/>
              <w:textAlignment w:val="baseline"/>
              <w:rPr>
                <w:rFonts w:eastAsia="Times New Roman" w:cs="Arial"/>
                <w:bCs/>
                <w:sz w:val="20"/>
                <w:szCs w:val="20"/>
                <w:lang w:eastAsia="sl-SI"/>
              </w:rPr>
            </w:pPr>
            <w:r w:rsidRPr="005E7BFD">
              <w:rPr>
                <w:rFonts w:eastAsia="Times New Roman" w:cs="Arial"/>
                <w:bCs/>
                <w:sz w:val="20"/>
                <w:szCs w:val="20"/>
                <w:lang w:eastAsia="sl-SI"/>
              </w:rPr>
              <w:t>socialno področje</w:t>
            </w:r>
          </w:p>
        </w:tc>
        <w:tc>
          <w:tcPr>
            <w:tcW w:w="2067" w:type="dxa"/>
            <w:vAlign w:val="center"/>
          </w:tcPr>
          <w:p w14:paraId="6892493A" w14:textId="77777777" w:rsidR="004A4B82" w:rsidRPr="005E7BFD" w:rsidRDefault="004A4B82" w:rsidP="001A10D4">
            <w:pPr>
              <w:overflowPunct w:val="0"/>
              <w:autoSpaceDE w:val="0"/>
              <w:autoSpaceDN w:val="0"/>
              <w:adjustRightInd w:val="0"/>
              <w:spacing w:after="0" w:line="260" w:lineRule="exact"/>
              <w:jc w:val="center"/>
              <w:textAlignment w:val="baseline"/>
              <w:rPr>
                <w:rFonts w:eastAsia="Times New Roman" w:cs="Arial"/>
                <w:iCs/>
                <w:sz w:val="20"/>
                <w:szCs w:val="20"/>
                <w:lang w:eastAsia="sl-SI"/>
              </w:rPr>
            </w:pPr>
            <w:r w:rsidRPr="005E7BFD">
              <w:rPr>
                <w:rFonts w:eastAsia="Times New Roman" w:cs="Arial"/>
                <w:sz w:val="20"/>
                <w:szCs w:val="20"/>
                <w:lang w:eastAsia="sl-SI"/>
              </w:rPr>
              <w:t>NE</w:t>
            </w:r>
          </w:p>
        </w:tc>
      </w:tr>
      <w:tr w:rsidR="004A4B82" w:rsidRPr="005E7BFD" w14:paraId="1551EB24" w14:textId="77777777" w:rsidTr="001A10D4">
        <w:tc>
          <w:tcPr>
            <w:tcW w:w="1448" w:type="dxa"/>
            <w:tcBorders>
              <w:bottom w:val="single" w:sz="4" w:space="0" w:color="auto"/>
            </w:tcBorders>
          </w:tcPr>
          <w:p w14:paraId="383358D1" w14:textId="77777777" w:rsidR="004A4B82" w:rsidRPr="005E7BFD" w:rsidRDefault="004A4B82" w:rsidP="001A10D4">
            <w:pPr>
              <w:overflowPunct w:val="0"/>
              <w:autoSpaceDE w:val="0"/>
              <w:autoSpaceDN w:val="0"/>
              <w:adjustRightInd w:val="0"/>
              <w:spacing w:after="0" w:line="260" w:lineRule="exact"/>
              <w:ind w:left="360"/>
              <w:jc w:val="both"/>
              <w:textAlignment w:val="baseline"/>
              <w:rPr>
                <w:rFonts w:eastAsia="Times New Roman" w:cs="Arial"/>
                <w:iCs/>
                <w:sz w:val="20"/>
                <w:szCs w:val="20"/>
                <w:lang w:eastAsia="sl-SI"/>
              </w:rPr>
            </w:pPr>
            <w:r w:rsidRPr="005E7BFD">
              <w:rPr>
                <w:rFonts w:eastAsia="Times New Roman" w:cs="Arial"/>
                <w:iCs/>
                <w:sz w:val="20"/>
                <w:szCs w:val="20"/>
                <w:lang w:eastAsia="sl-SI"/>
              </w:rPr>
              <w:t>f)</w:t>
            </w:r>
          </w:p>
        </w:tc>
        <w:tc>
          <w:tcPr>
            <w:tcW w:w="5444" w:type="dxa"/>
            <w:gridSpan w:val="3"/>
            <w:tcBorders>
              <w:bottom w:val="single" w:sz="4" w:space="0" w:color="auto"/>
            </w:tcBorders>
          </w:tcPr>
          <w:p w14:paraId="24E308CB" w14:textId="77777777" w:rsidR="004A4B82" w:rsidRPr="005E7BFD" w:rsidRDefault="004A4B82" w:rsidP="001A10D4">
            <w:pPr>
              <w:overflowPunct w:val="0"/>
              <w:autoSpaceDE w:val="0"/>
              <w:autoSpaceDN w:val="0"/>
              <w:adjustRightInd w:val="0"/>
              <w:spacing w:after="0" w:line="260" w:lineRule="exact"/>
              <w:jc w:val="both"/>
              <w:textAlignment w:val="baseline"/>
              <w:rPr>
                <w:rFonts w:eastAsia="Times New Roman" w:cs="Arial"/>
                <w:bCs/>
                <w:sz w:val="20"/>
                <w:szCs w:val="20"/>
                <w:lang w:eastAsia="sl-SI"/>
              </w:rPr>
            </w:pPr>
            <w:r w:rsidRPr="005E7BFD">
              <w:rPr>
                <w:rFonts w:eastAsia="Times New Roman" w:cs="Arial"/>
                <w:bCs/>
                <w:sz w:val="20"/>
                <w:szCs w:val="20"/>
                <w:lang w:eastAsia="sl-SI"/>
              </w:rPr>
              <w:t>dokumente razvojnega načrtovanja:</w:t>
            </w:r>
          </w:p>
          <w:p w14:paraId="34D5166F" w14:textId="77777777" w:rsidR="004A4B82" w:rsidRPr="005E7BFD" w:rsidRDefault="004A4B82" w:rsidP="001A10D4">
            <w:pPr>
              <w:numPr>
                <w:ilvl w:val="0"/>
                <w:numId w:val="1"/>
              </w:numPr>
              <w:overflowPunct w:val="0"/>
              <w:autoSpaceDE w:val="0"/>
              <w:autoSpaceDN w:val="0"/>
              <w:adjustRightInd w:val="0"/>
              <w:spacing w:after="0" w:line="260" w:lineRule="exact"/>
              <w:jc w:val="both"/>
              <w:textAlignment w:val="baseline"/>
              <w:rPr>
                <w:rFonts w:eastAsia="Times New Roman" w:cs="Arial"/>
                <w:bCs/>
                <w:sz w:val="20"/>
                <w:szCs w:val="20"/>
                <w:lang w:eastAsia="sl-SI"/>
              </w:rPr>
            </w:pPr>
            <w:r w:rsidRPr="005E7BFD">
              <w:rPr>
                <w:rFonts w:eastAsia="Times New Roman" w:cs="Arial"/>
                <w:bCs/>
                <w:sz w:val="20"/>
                <w:szCs w:val="20"/>
                <w:lang w:eastAsia="sl-SI"/>
              </w:rPr>
              <w:t>nacionalne dokumente razvojnega načrtovanja</w:t>
            </w:r>
          </w:p>
          <w:p w14:paraId="6DCA6D20" w14:textId="77777777" w:rsidR="004A4B82" w:rsidRPr="005E7BFD" w:rsidRDefault="004A4B82" w:rsidP="001A10D4">
            <w:pPr>
              <w:numPr>
                <w:ilvl w:val="0"/>
                <w:numId w:val="1"/>
              </w:numPr>
              <w:overflowPunct w:val="0"/>
              <w:autoSpaceDE w:val="0"/>
              <w:autoSpaceDN w:val="0"/>
              <w:adjustRightInd w:val="0"/>
              <w:spacing w:after="0" w:line="260" w:lineRule="exact"/>
              <w:jc w:val="both"/>
              <w:textAlignment w:val="baseline"/>
              <w:rPr>
                <w:rFonts w:eastAsia="Times New Roman" w:cs="Arial"/>
                <w:bCs/>
                <w:sz w:val="20"/>
                <w:szCs w:val="20"/>
                <w:lang w:eastAsia="sl-SI"/>
              </w:rPr>
            </w:pPr>
            <w:r w:rsidRPr="005E7BFD">
              <w:rPr>
                <w:rFonts w:eastAsia="Times New Roman" w:cs="Arial"/>
                <w:bCs/>
                <w:sz w:val="20"/>
                <w:szCs w:val="20"/>
                <w:lang w:eastAsia="sl-SI"/>
              </w:rPr>
              <w:t>razvojne politike na ravni programov po strukturi razvojne klasifikacije programskega proračuna</w:t>
            </w:r>
          </w:p>
          <w:p w14:paraId="09C94570" w14:textId="77777777" w:rsidR="004A4B82" w:rsidRPr="005E7BFD" w:rsidRDefault="004A4B82" w:rsidP="001A10D4">
            <w:pPr>
              <w:numPr>
                <w:ilvl w:val="0"/>
                <w:numId w:val="1"/>
              </w:numPr>
              <w:overflowPunct w:val="0"/>
              <w:autoSpaceDE w:val="0"/>
              <w:autoSpaceDN w:val="0"/>
              <w:adjustRightInd w:val="0"/>
              <w:spacing w:after="0" w:line="260" w:lineRule="exact"/>
              <w:jc w:val="both"/>
              <w:textAlignment w:val="baseline"/>
              <w:rPr>
                <w:rFonts w:eastAsia="Times New Roman" w:cs="Arial"/>
                <w:bCs/>
                <w:sz w:val="20"/>
                <w:szCs w:val="20"/>
                <w:lang w:eastAsia="sl-SI"/>
              </w:rPr>
            </w:pPr>
            <w:r w:rsidRPr="005E7BFD">
              <w:rPr>
                <w:rFonts w:eastAsia="Times New Roman" w:cs="Arial"/>
                <w:bCs/>
                <w:sz w:val="20"/>
                <w:szCs w:val="20"/>
                <w:lang w:eastAsia="sl-SI"/>
              </w:rPr>
              <w:t>razvojne dokumente Evropske unije in mednarodnih organizacij</w:t>
            </w:r>
          </w:p>
        </w:tc>
        <w:tc>
          <w:tcPr>
            <w:tcW w:w="2067" w:type="dxa"/>
            <w:tcBorders>
              <w:bottom w:val="single" w:sz="4" w:space="0" w:color="auto"/>
            </w:tcBorders>
            <w:vAlign w:val="center"/>
          </w:tcPr>
          <w:p w14:paraId="097980E1" w14:textId="77777777" w:rsidR="004A4B82" w:rsidRPr="005E7BFD" w:rsidRDefault="004A4B82" w:rsidP="001A10D4">
            <w:pPr>
              <w:overflowPunct w:val="0"/>
              <w:autoSpaceDE w:val="0"/>
              <w:autoSpaceDN w:val="0"/>
              <w:adjustRightInd w:val="0"/>
              <w:spacing w:after="0" w:line="260" w:lineRule="exact"/>
              <w:jc w:val="center"/>
              <w:textAlignment w:val="baseline"/>
              <w:rPr>
                <w:rFonts w:eastAsia="Times New Roman" w:cs="Arial"/>
                <w:iCs/>
                <w:sz w:val="20"/>
                <w:szCs w:val="20"/>
                <w:lang w:eastAsia="sl-SI"/>
              </w:rPr>
            </w:pPr>
            <w:r w:rsidRPr="005E7BFD">
              <w:rPr>
                <w:rFonts w:eastAsia="Times New Roman" w:cs="Arial"/>
                <w:sz w:val="20"/>
                <w:szCs w:val="20"/>
                <w:lang w:eastAsia="sl-SI"/>
              </w:rPr>
              <w:t>NE</w:t>
            </w:r>
          </w:p>
        </w:tc>
      </w:tr>
      <w:tr w:rsidR="004A4B82" w:rsidRPr="005E7BFD" w14:paraId="2F927B7A" w14:textId="77777777" w:rsidTr="001A10D4">
        <w:trPr>
          <w:trHeight w:val="548"/>
        </w:trPr>
        <w:tc>
          <w:tcPr>
            <w:tcW w:w="8959" w:type="dxa"/>
            <w:gridSpan w:val="5"/>
            <w:tcBorders>
              <w:top w:val="single" w:sz="4" w:space="0" w:color="auto"/>
              <w:left w:val="single" w:sz="4" w:space="0" w:color="auto"/>
              <w:right w:val="single" w:sz="4" w:space="0" w:color="auto"/>
            </w:tcBorders>
          </w:tcPr>
          <w:p w14:paraId="02B68EC9" w14:textId="77777777" w:rsidR="004A4B82" w:rsidRPr="005E7BFD" w:rsidRDefault="004A4B82" w:rsidP="001A10D4">
            <w:pPr>
              <w:widowControl w:val="0"/>
              <w:suppressAutoHyphens/>
              <w:overflowPunct w:val="0"/>
              <w:autoSpaceDE w:val="0"/>
              <w:autoSpaceDN w:val="0"/>
              <w:adjustRightInd w:val="0"/>
              <w:spacing w:after="0" w:line="260" w:lineRule="exact"/>
              <w:textAlignment w:val="baseline"/>
              <w:outlineLvl w:val="3"/>
              <w:rPr>
                <w:rFonts w:eastAsia="Times New Roman" w:cs="Arial"/>
                <w:b/>
                <w:sz w:val="20"/>
                <w:szCs w:val="20"/>
                <w:lang w:eastAsia="sl-SI"/>
              </w:rPr>
            </w:pPr>
            <w:r w:rsidRPr="005E7BFD">
              <w:rPr>
                <w:rFonts w:eastAsia="Times New Roman" w:cs="Arial"/>
                <w:b/>
                <w:sz w:val="20"/>
                <w:szCs w:val="20"/>
                <w:lang w:eastAsia="sl-SI"/>
              </w:rPr>
              <w:t>7.a Predstavitev ocene finančnih posledic nad 40.000 EUR:</w:t>
            </w:r>
          </w:p>
          <w:p w14:paraId="30906C2B" w14:textId="77777777" w:rsidR="004A4B82" w:rsidRPr="005E7BFD" w:rsidRDefault="004A4B82" w:rsidP="001A10D4">
            <w:pPr>
              <w:widowControl w:val="0"/>
              <w:suppressAutoHyphens/>
              <w:overflowPunct w:val="0"/>
              <w:autoSpaceDE w:val="0"/>
              <w:autoSpaceDN w:val="0"/>
              <w:adjustRightInd w:val="0"/>
              <w:spacing w:after="0" w:line="260" w:lineRule="exact"/>
              <w:textAlignment w:val="baseline"/>
              <w:outlineLvl w:val="3"/>
              <w:rPr>
                <w:rFonts w:eastAsia="Times New Roman" w:cs="Arial"/>
                <w:sz w:val="20"/>
                <w:szCs w:val="20"/>
                <w:lang w:eastAsia="sl-SI"/>
              </w:rPr>
            </w:pPr>
            <w:r w:rsidRPr="005E7BFD">
              <w:rPr>
                <w:rFonts w:eastAsia="Times New Roman" w:cs="Arial"/>
                <w:sz w:val="20"/>
                <w:szCs w:val="20"/>
                <w:lang w:eastAsia="sl-SI"/>
              </w:rPr>
              <w:t>/</w:t>
            </w:r>
          </w:p>
        </w:tc>
      </w:tr>
      <w:tr w:rsidR="004A4B82" w:rsidRPr="005E7BFD" w14:paraId="545D5050" w14:textId="77777777" w:rsidTr="001A10D4">
        <w:trPr>
          <w:trHeight w:val="371"/>
        </w:trPr>
        <w:tc>
          <w:tcPr>
            <w:tcW w:w="8959" w:type="dxa"/>
            <w:gridSpan w:val="5"/>
            <w:tcBorders>
              <w:top w:val="single" w:sz="4" w:space="0" w:color="000000"/>
              <w:left w:val="single" w:sz="4" w:space="0" w:color="000000"/>
              <w:bottom w:val="single" w:sz="4" w:space="0" w:color="000000"/>
              <w:right w:val="single" w:sz="4" w:space="0" w:color="000000"/>
            </w:tcBorders>
          </w:tcPr>
          <w:p w14:paraId="2197B73D" w14:textId="461398D5" w:rsidR="004A4B82" w:rsidRPr="005E7BFD" w:rsidRDefault="004A4B82" w:rsidP="001A10D4">
            <w:pPr>
              <w:spacing w:after="0" w:line="260" w:lineRule="exact"/>
              <w:rPr>
                <w:rFonts w:eastAsia="Times New Roman" w:cs="Arial"/>
                <w:b/>
                <w:sz w:val="20"/>
                <w:szCs w:val="20"/>
              </w:rPr>
            </w:pPr>
            <w:r w:rsidRPr="005E7BFD">
              <w:rPr>
                <w:rFonts w:eastAsia="Times New Roman" w:cs="Arial"/>
                <w:b/>
                <w:sz w:val="20"/>
                <w:szCs w:val="20"/>
              </w:rPr>
              <w:t xml:space="preserve">8. </w:t>
            </w:r>
            <w:r w:rsidR="006E198E" w:rsidRPr="006E198E">
              <w:rPr>
                <w:b/>
                <w:bCs/>
                <w:sz w:val="20"/>
                <w:szCs w:val="20"/>
              </w:rPr>
              <w:t>Predstavitev sodelovanja javnosti:</w:t>
            </w:r>
          </w:p>
        </w:tc>
      </w:tr>
      <w:tr w:rsidR="006E198E" w:rsidRPr="005E7BFD" w14:paraId="71D78013" w14:textId="77777777" w:rsidTr="001A10D4">
        <w:tc>
          <w:tcPr>
            <w:tcW w:w="6669" w:type="dxa"/>
            <w:gridSpan w:val="3"/>
          </w:tcPr>
          <w:p w14:paraId="58FCEF77" w14:textId="4F507812" w:rsidR="006E198E" w:rsidRPr="005E7BFD" w:rsidRDefault="006E198E" w:rsidP="006E198E">
            <w:pPr>
              <w:widowControl w:val="0"/>
              <w:overflowPunct w:val="0"/>
              <w:autoSpaceDE w:val="0"/>
              <w:autoSpaceDN w:val="0"/>
              <w:adjustRightInd w:val="0"/>
              <w:spacing w:after="0" w:line="260" w:lineRule="exact"/>
              <w:jc w:val="both"/>
              <w:textAlignment w:val="baseline"/>
              <w:rPr>
                <w:rFonts w:eastAsia="Times New Roman" w:cs="Arial"/>
                <w:iCs/>
                <w:sz w:val="20"/>
                <w:szCs w:val="20"/>
                <w:lang w:eastAsia="sl-SI"/>
              </w:rPr>
            </w:pPr>
            <w:r w:rsidRPr="008D1759">
              <w:rPr>
                <w:iCs/>
                <w:sz w:val="20"/>
                <w:szCs w:val="20"/>
              </w:rPr>
              <w:t>Gradivo je bilo predhodno objavljeno na spletni strani predlagatelja</w:t>
            </w:r>
            <w:r>
              <w:rPr>
                <w:iCs/>
                <w:sz w:val="20"/>
                <w:szCs w:val="20"/>
              </w:rPr>
              <w:t>:</w:t>
            </w:r>
          </w:p>
        </w:tc>
        <w:tc>
          <w:tcPr>
            <w:tcW w:w="2290" w:type="dxa"/>
            <w:gridSpan w:val="2"/>
          </w:tcPr>
          <w:p w14:paraId="7A7B9386" w14:textId="627AB1DF" w:rsidR="006E198E" w:rsidRPr="005E7BFD" w:rsidRDefault="006E198E" w:rsidP="006E198E">
            <w:pPr>
              <w:widowControl w:val="0"/>
              <w:overflowPunct w:val="0"/>
              <w:autoSpaceDE w:val="0"/>
              <w:autoSpaceDN w:val="0"/>
              <w:adjustRightInd w:val="0"/>
              <w:spacing w:after="0" w:line="260" w:lineRule="exact"/>
              <w:jc w:val="center"/>
              <w:textAlignment w:val="baseline"/>
              <w:rPr>
                <w:rFonts w:eastAsia="Times New Roman" w:cs="Arial"/>
                <w:sz w:val="20"/>
                <w:szCs w:val="20"/>
                <w:lang w:eastAsia="sl-SI"/>
              </w:rPr>
            </w:pPr>
            <w:r w:rsidRPr="005E7BFD">
              <w:rPr>
                <w:rFonts w:eastAsia="Times New Roman" w:cs="Arial"/>
                <w:sz w:val="20"/>
                <w:szCs w:val="20"/>
                <w:lang w:eastAsia="sl-SI"/>
              </w:rPr>
              <w:t>NE</w:t>
            </w:r>
          </w:p>
        </w:tc>
      </w:tr>
      <w:tr w:rsidR="004A4B82" w:rsidRPr="005E7BFD" w14:paraId="1586AF45" w14:textId="77777777" w:rsidTr="001A10D4">
        <w:tc>
          <w:tcPr>
            <w:tcW w:w="6669" w:type="dxa"/>
            <w:gridSpan w:val="3"/>
          </w:tcPr>
          <w:p w14:paraId="2D2A4669" w14:textId="3076E5B2" w:rsidR="004A4B82" w:rsidRPr="005E7BFD" w:rsidRDefault="006E198E" w:rsidP="006E198E">
            <w:pPr>
              <w:widowControl w:val="0"/>
              <w:overflowPunct w:val="0"/>
              <w:autoSpaceDE w:val="0"/>
              <w:autoSpaceDN w:val="0"/>
              <w:adjustRightInd w:val="0"/>
              <w:spacing w:after="0" w:line="260" w:lineRule="exact"/>
              <w:jc w:val="both"/>
              <w:textAlignment w:val="baseline"/>
              <w:rPr>
                <w:rFonts w:eastAsia="Times New Roman" w:cs="Arial"/>
                <w:iCs/>
                <w:sz w:val="20"/>
                <w:szCs w:val="20"/>
                <w:lang w:eastAsia="sl-SI"/>
              </w:rPr>
            </w:pPr>
            <w:r>
              <w:rPr>
                <w:rFonts w:eastAsia="Times New Roman" w:cs="Arial"/>
                <w:iCs/>
                <w:sz w:val="20"/>
                <w:szCs w:val="20"/>
                <w:lang w:eastAsia="sl-SI"/>
              </w:rPr>
              <w:t>Gre za sklep Vlade, ki izraža namero nadaljnjega delovanja.</w:t>
            </w:r>
          </w:p>
        </w:tc>
        <w:tc>
          <w:tcPr>
            <w:tcW w:w="2290" w:type="dxa"/>
            <w:gridSpan w:val="2"/>
          </w:tcPr>
          <w:p w14:paraId="49DBEFAD" w14:textId="36046A9C" w:rsidR="004A4B82" w:rsidRPr="005E7BFD" w:rsidRDefault="004A4B82" w:rsidP="001A10D4">
            <w:pPr>
              <w:widowControl w:val="0"/>
              <w:overflowPunct w:val="0"/>
              <w:autoSpaceDE w:val="0"/>
              <w:autoSpaceDN w:val="0"/>
              <w:adjustRightInd w:val="0"/>
              <w:spacing w:after="0" w:line="260" w:lineRule="exact"/>
              <w:jc w:val="center"/>
              <w:textAlignment w:val="baseline"/>
              <w:rPr>
                <w:rFonts w:eastAsia="Times New Roman" w:cs="Arial"/>
                <w:sz w:val="20"/>
                <w:szCs w:val="20"/>
                <w:lang w:eastAsia="sl-SI"/>
              </w:rPr>
            </w:pPr>
          </w:p>
        </w:tc>
      </w:tr>
      <w:tr w:rsidR="006E198E" w:rsidRPr="005E7BFD" w14:paraId="27AB7A11" w14:textId="77777777" w:rsidTr="008555EB">
        <w:tc>
          <w:tcPr>
            <w:tcW w:w="6669" w:type="dxa"/>
            <w:gridSpan w:val="3"/>
            <w:vAlign w:val="center"/>
          </w:tcPr>
          <w:p w14:paraId="2AC72BE4" w14:textId="1C25C3E0" w:rsidR="006E198E" w:rsidRPr="005E7BFD" w:rsidRDefault="006E198E" w:rsidP="006E198E">
            <w:pPr>
              <w:widowControl w:val="0"/>
              <w:overflowPunct w:val="0"/>
              <w:autoSpaceDE w:val="0"/>
              <w:autoSpaceDN w:val="0"/>
              <w:adjustRightInd w:val="0"/>
              <w:spacing w:after="0" w:line="260" w:lineRule="exact"/>
              <w:jc w:val="both"/>
              <w:textAlignment w:val="baseline"/>
              <w:rPr>
                <w:rFonts w:eastAsia="Times New Roman" w:cs="Arial"/>
                <w:sz w:val="20"/>
                <w:szCs w:val="20"/>
                <w:lang w:eastAsia="sl-SI"/>
              </w:rPr>
            </w:pPr>
            <w:r w:rsidRPr="005E7BFD">
              <w:rPr>
                <w:rFonts w:eastAsia="Times New Roman" w:cs="Arial"/>
                <w:b/>
                <w:sz w:val="20"/>
                <w:szCs w:val="20"/>
                <w:lang w:eastAsia="sl-SI"/>
              </w:rPr>
              <w:t>9. Pri pripravi gradiva so bile upoštevane zahteve iz Resolucije o normativni dejavnosti:</w:t>
            </w:r>
          </w:p>
        </w:tc>
        <w:tc>
          <w:tcPr>
            <w:tcW w:w="2290" w:type="dxa"/>
            <w:gridSpan w:val="2"/>
          </w:tcPr>
          <w:p w14:paraId="35EB871F" w14:textId="0E1845F1" w:rsidR="006E198E" w:rsidRPr="005E7BFD" w:rsidRDefault="006E198E" w:rsidP="006E198E">
            <w:pPr>
              <w:widowControl w:val="0"/>
              <w:overflowPunct w:val="0"/>
              <w:autoSpaceDE w:val="0"/>
              <w:autoSpaceDN w:val="0"/>
              <w:adjustRightInd w:val="0"/>
              <w:spacing w:after="0" w:line="260" w:lineRule="exact"/>
              <w:jc w:val="center"/>
              <w:textAlignment w:val="baseline"/>
              <w:rPr>
                <w:rFonts w:eastAsia="Times New Roman" w:cs="Arial"/>
                <w:iCs/>
                <w:sz w:val="20"/>
                <w:szCs w:val="20"/>
                <w:lang w:eastAsia="sl-SI"/>
              </w:rPr>
            </w:pPr>
            <w:r>
              <w:rPr>
                <w:rFonts w:eastAsia="Times New Roman" w:cs="Arial"/>
                <w:iCs/>
                <w:sz w:val="20"/>
                <w:szCs w:val="20"/>
                <w:lang w:eastAsia="sl-SI"/>
              </w:rPr>
              <w:t>DA</w:t>
            </w:r>
          </w:p>
        </w:tc>
      </w:tr>
      <w:tr w:rsidR="006E198E" w:rsidRPr="005E7BFD" w14:paraId="568182B5" w14:textId="77777777" w:rsidTr="001A10D4">
        <w:tc>
          <w:tcPr>
            <w:tcW w:w="8959" w:type="dxa"/>
            <w:gridSpan w:val="5"/>
            <w:tcBorders>
              <w:top w:val="single" w:sz="4" w:space="0" w:color="000000"/>
              <w:left w:val="single" w:sz="4" w:space="0" w:color="000000"/>
              <w:bottom w:val="single" w:sz="4" w:space="0" w:color="000000"/>
              <w:right w:val="single" w:sz="4" w:space="0" w:color="000000"/>
            </w:tcBorders>
          </w:tcPr>
          <w:p w14:paraId="6B859274" w14:textId="77777777" w:rsidR="006E198E" w:rsidRPr="005E7BFD" w:rsidRDefault="006E198E" w:rsidP="006E198E">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 w:val="20"/>
                <w:szCs w:val="20"/>
                <w:lang w:eastAsia="sl-SI"/>
              </w:rPr>
            </w:pPr>
          </w:p>
          <w:tbl>
            <w:tblPr>
              <w:tblpPr w:leftFromText="141" w:rightFromText="141" w:vertAnchor="text" w:horzAnchor="page" w:tblpXSpec="center" w:tblpY="3"/>
              <w:tblOverlap w:val="never"/>
              <w:tblW w:w="0" w:type="auto"/>
              <w:tblLook w:val="01E0" w:firstRow="1" w:lastRow="1" w:firstColumn="1" w:lastColumn="1" w:noHBand="0" w:noVBand="0"/>
            </w:tblPr>
            <w:tblGrid>
              <w:gridCol w:w="2977"/>
            </w:tblGrid>
            <w:tr w:rsidR="006E198E" w:rsidRPr="005E7BFD" w14:paraId="499EBBC8" w14:textId="77777777" w:rsidTr="001A10D4">
              <w:tc>
                <w:tcPr>
                  <w:tcW w:w="2977" w:type="dxa"/>
                </w:tcPr>
                <w:p w14:paraId="7E505D5B" w14:textId="0D7BEC57" w:rsidR="006E198E" w:rsidRPr="005E7BFD" w:rsidRDefault="006E198E" w:rsidP="006E198E">
                  <w:pPr>
                    <w:widowControl w:val="0"/>
                    <w:suppressAutoHyphens/>
                    <w:overflowPunct w:val="0"/>
                    <w:autoSpaceDE w:val="0"/>
                    <w:autoSpaceDN w:val="0"/>
                    <w:adjustRightInd w:val="0"/>
                    <w:spacing w:after="0" w:line="260" w:lineRule="exact"/>
                    <w:jc w:val="center"/>
                    <w:textAlignment w:val="baseline"/>
                    <w:outlineLvl w:val="3"/>
                    <w:rPr>
                      <w:rFonts w:eastAsia="Times New Roman" w:cs="Arial"/>
                      <w:b/>
                      <w:sz w:val="20"/>
                      <w:szCs w:val="20"/>
                      <w:lang w:eastAsia="sl-SI"/>
                    </w:rPr>
                  </w:pPr>
                  <w:r>
                    <w:rPr>
                      <w:rFonts w:eastAsia="Times New Roman" w:cs="Arial"/>
                      <w:b/>
                      <w:sz w:val="20"/>
                      <w:szCs w:val="20"/>
                      <w:lang w:eastAsia="sl-SI"/>
                    </w:rPr>
                    <w:t>Branko Zlobko</w:t>
                  </w:r>
                </w:p>
                <w:p w14:paraId="6C1A5794" w14:textId="77777777" w:rsidR="006E198E" w:rsidRPr="005E7BFD" w:rsidRDefault="006E198E" w:rsidP="006E198E">
                  <w:pPr>
                    <w:widowControl w:val="0"/>
                    <w:suppressAutoHyphens/>
                    <w:overflowPunct w:val="0"/>
                    <w:autoSpaceDE w:val="0"/>
                    <w:autoSpaceDN w:val="0"/>
                    <w:adjustRightInd w:val="0"/>
                    <w:spacing w:after="0" w:line="260" w:lineRule="exact"/>
                    <w:jc w:val="center"/>
                    <w:textAlignment w:val="baseline"/>
                    <w:outlineLvl w:val="3"/>
                    <w:rPr>
                      <w:rFonts w:eastAsia="Times New Roman" w:cs="Arial"/>
                      <w:b/>
                      <w:sz w:val="20"/>
                      <w:szCs w:val="20"/>
                      <w:lang w:eastAsia="sl-SI"/>
                    </w:rPr>
                  </w:pPr>
                  <w:r w:rsidRPr="005E7BFD">
                    <w:rPr>
                      <w:rFonts w:eastAsia="Times New Roman" w:cs="Arial"/>
                      <w:b/>
                      <w:sz w:val="20"/>
                      <w:szCs w:val="20"/>
                      <w:lang w:eastAsia="sl-SI"/>
                    </w:rPr>
                    <w:t>minister</w:t>
                  </w:r>
                </w:p>
              </w:tc>
            </w:tr>
          </w:tbl>
          <w:p w14:paraId="6996BA9A" w14:textId="77777777" w:rsidR="006E198E" w:rsidRPr="005E7BFD" w:rsidRDefault="006E198E" w:rsidP="006E198E">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 w:val="20"/>
                <w:szCs w:val="20"/>
                <w:lang w:eastAsia="sl-SI"/>
              </w:rPr>
            </w:pPr>
          </w:p>
        </w:tc>
      </w:tr>
    </w:tbl>
    <w:p w14:paraId="41802EA6" w14:textId="77777777" w:rsidR="004A4B82" w:rsidRPr="005E7BFD" w:rsidRDefault="004A4B82" w:rsidP="004A4B82">
      <w:pPr>
        <w:keepLines/>
        <w:framePr w:w="9962" w:wrap="auto" w:hAnchor="text" w:x="1300"/>
        <w:spacing w:after="0" w:line="260" w:lineRule="exact"/>
        <w:rPr>
          <w:rFonts w:eastAsia="Times New Roman" w:cs="Arial"/>
          <w:sz w:val="20"/>
          <w:szCs w:val="20"/>
        </w:rPr>
        <w:sectPr w:rsidR="004A4B82" w:rsidRPr="005E7BFD" w:rsidSect="004A4B82">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8" w:footer="708" w:gutter="0"/>
          <w:cols w:space="708"/>
          <w:docGrid w:linePitch="360"/>
        </w:sectPr>
      </w:pPr>
    </w:p>
    <w:p w14:paraId="2D25D9D9" w14:textId="34002F49" w:rsidR="006E198E" w:rsidRPr="008D1759" w:rsidRDefault="006E198E" w:rsidP="006E198E">
      <w:pPr>
        <w:pStyle w:val="Naslovpredpisa"/>
        <w:spacing w:before="0" w:after="0" w:line="260" w:lineRule="exact"/>
        <w:jc w:val="both"/>
        <w:rPr>
          <w:sz w:val="20"/>
          <w:szCs w:val="20"/>
        </w:rPr>
      </w:pPr>
      <w:r w:rsidRPr="008D1759">
        <w:rPr>
          <w:sz w:val="20"/>
          <w:szCs w:val="20"/>
        </w:rPr>
        <w:lastRenderedPageBreak/>
        <w:t xml:space="preserve">PRILOGA </w:t>
      </w:r>
      <w:r>
        <w:rPr>
          <w:sz w:val="20"/>
          <w:szCs w:val="20"/>
        </w:rPr>
        <w:t>(jedro gradiva):</w:t>
      </w:r>
    </w:p>
    <w:p w14:paraId="48B8C4F6" w14:textId="77777777" w:rsidR="006E198E" w:rsidRDefault="006E198E" w:rsidP="004A4B82">
      <w:pPr>
        <w:spacing w:after="0" w:line="260" w:lineRule="exact"/>
        <w:ind w:right="378"/>
        <w:jc w:val="center"/>
        <w:rPr>
          <w:rFonts w:cs="Arial"/>
          <w:b/>
          <w:sz w:val="20"/>
          <w:szCs w:val="20"/>
        </w:rPr>
      </w:pPr>
    </w:p>
    <w:p w14:paraId="1DF400D2" w14:textId="77777777" w:rsidR="006E198E" w:rsidRDefault="006E198E" w:rsidP="004A4B82">
      <w:pPr>
        <w:spacing w:after="0" w:line="260" w:lineRule="exact"/>
        <w:ind w:right="378"/>
        <w:jc w:val="center"/>
        <w:rPr>
          <w:rFonts w:cs="Arial"/>
          <w:b/>
          <w:sz w:val="20"/>
          <w:szCs w:val="20"/>
        </w:rPr>
      </w:pPr>
    </w:p>
    <w:p w14:paraId="6D8A686C" w14:textId="7368FE63" w:rsidR="004A4B82" w:rsidRPr="005E7BFD" w:rsidRDefault="004A4B82" w:rsidP="004A4B82">
      <w:pPr>
        <w:spacing w:after="0" w:line="260" w:lineRule="exact"/>
        <w:ind w:right="378"/>
        <w:jc w:val="center"/>
        <w:rPr>
          <w:rFonts w:cs="Arial"/>
          <w:b/>
          <w:sz w:val="20"/>
          <w:szCs w:val="20"/>
        </w:rPr>
      </w:pPr>
      <w:r w:rsidRPr="005E7BFD">
        <w:rPr>
          <w:rFonts w:cs="Arial"/>
          <w:b/>
          <w:sz w:val="20"/>
          <w:szCs w:val="20"/>
        </w:rPr>
        <w:t>Obrazložitev</w:t>
      </w:r>
    </w:p>
    <w:p w14:paraId="71D4FA6E" w14:textId="77777777" w:rsidR="004A4B82" w:rsidRPr="005E7BFD" w:rsidRDefault="004A4B82" w:rsidP="004A4B82">
      <w:pPr>
        <w:spacing w:after="0" w:line="260" w:lineRule="exact"/>
        <w:ind w:right="378"/>
        <w:jc w:val="both"/>
        <w:rPr>
          <w:rFonts w:cs="Arial"/>
          <w:sz w:val="20"/>
          <w:szCs w:val="20"/>
        </w:rPr>
      </w:pPr>
    </w:p>
    <w:p w14:paraId="12985044" w14:textId="77777777" w:rsidR="004A4B82" w:rsidRPr="005E7BFD" w:rsidRDefault="004A4B82" w:rsidP="004A4B82">
      <w:pPr>
        <w:pStyle w:val="Brezrazmikov"/>
        <w:spacing w:line="260" w:lineRule="exact"/>
        <w:ind w:right="-7"/>
        <w:jc w:val="both"/>
        <w:rPr>
          <w:rFonts w:ascii="Arial" w:hAnsi="Arial" w:cs="Arial"/>
          <w:sz w:val="20"/>
          <w:szCs w:val="20"/>
        </w:rPr>
      </w:pPr>
      <w:r w:rsidRPr="005E7BFD">
        <w:rPr>
          <w:rFonts w:ascii="Arial" w:hAnsi="Arial" w:cs="Arial"/>
          <w:sz w:val="20"/>
          <w:szCs w:val="20"/>
        </w:rPr>
        <w:t>Zakon o nadzoru državne meje (</w:t>
      </w:r>
      <w:r w:rsidRPr="005E7BFD">
        <w:rPr>
          <w:rFonts w:ascii="Arial" w:hAnsi="Arial" w:cs="Arial"/>
          <w:bCs/>
          <w:sz w:val="20"/>
          <w:szCs w:val="20"/>
          <w:shd w:val="clear" w:color="auto" w:fill="FFFFFF"/>
        </w:rPr>
        <w:t>Uradni list RS, št. </w:t>
      </w:r>
      <w:hyperlink r:id="rId21" w:tgtFrame="_blank" w:tooltip="Zakon o nadzoru državne meje (uradno prečiščeno besedilo)" w:history="1">
        <w:r w:rsidRPr="00BF500F">
          <w:rPr>
            <w:rStyle w:val="Hiperpovezava"/>
            <w:rFonts w:ascii="Arial" w:hAnsi="Arial" w:cs="Arial"/>
            <w:bCs/>
            <w:color w:val="auto"/>
            <w:sz w:val="20"/>
            <w:szCs w:val="20"/>
            <w:u w:val="none"/>
            <w:shd w:val="clear" w:color="auto" w:fill="FFFFFF"/>
          </w:rPr>
          <w:t>35/10</w:t>
        </w:r>
      </w:hyperlink>
      <w:r w:rsidRPr="005E7BFD">
        <w:rPr>
          <w:rFonts w:ascii="Arial" w:hAnsi="Arial" w:cs="Arial"/>
          <w:bCs/>
          <w:sz w:val="20"/>
          <w:szCs w:val="20"/>
          <w:shd w:val="clear" w:color="auto" w:fill="FFFFFF"/>
        </w:rPr>
        <w:t> – uradno prečiščeno besedilo, </w:t>
      </w:r>
      <w:hyperlink r:id="rId22" w:tgtFrame="_blank" w:tooltip="Zakon o nalogah in pooblastilih policije" w:history="1">
        <w:r w:rsidRPr="00841D51">
          <w:rPr>
            <w:rStyle w:val="Hiperpovezava"/>
            <w:rFonts w:ascii="Arial" w:hAnsi="Arial" w:cs="Arial"/>
            <w:bCs/>
            <w:color w:val="auto"/>
            <w:sz w:val="20"/>
            <w:szCs w:val="20"/>
            <w:u w:val="none"/>
            <w:shd w:val="clear" w:color="auto" w:fill="FFFFFF"/>
          </w:rPr>
          <w:t>15/13</w:t>
        </w:r>
      </w:hyperlink>
      <w:r w:rsidRPr="00841D51">
        <w:rPr>
          <w:rFonts w:ascii="Arial" w:hAnsi="Arial" w:cs="Arial"/>
          <w:bCs/>
          <w:sz w:val="20"/>
          <w:szCs w:val="20"/>
          <w:shd w:val="clear" w:color="auto" w:fill="FFFFFF"/>
        </w:rPr>
        <w:t> – ZNPPol, </w:t>
      </w:r>
      <w:hyperlink r:id="rId23" w:tgtFrame="_blank" w:tooltip="Zakon o spremembah in dopolnitvah Zakona o nadzoru državne meje" w:history="1">
        <w:r w:rsidRPr="00841D51">
          <w:rPr>
            <w:rStyle w:val="Hiperpovezava"/>
            <w:rFonts w:ascii="Arial" w:hAnsi="Arial" w:cs="Arial"/>
            <w:bCs/>
            <w:color w:val="auto"/>
            <w:sz w:val="20"/>
            <w:szCs w:val="20"/>
            <w:u w:val="none"/>
            <w:shd w:val="clear" w:color="auto" w:fill="FFFFFF"/>
          </w:rPr>
          <w:t>5/17</w:t>
        </w:r>
      </w:hyperlink>
      <w:r w:rsidRPr="00841D51">
        <w:rPr>
          <w:rFonts w:ascii="Arial" w:hAnsi="Arial" w:cs="Arial"/>
          <w:bCs/>
          <w:sz w:val="20"/>
          <w:szCs w:val="20"/>
          <w:shd w:val="clear" w:color="auto" w:fill="FFFFFF"/>
        </w:rPr>
        <w:t>, </w:t>
      </w:r>
      <w:hyperlink r:id="rId24" w:tgtFrame="_blank" w:tooltip="Zakon o spremembi Zakona o spremembah in dopolnitvah Zakona o nadzoru državne meje" w:history="1">
        <w:r w:rsidRPr="00841D51">
          <w:rPr>
            <w:rStyle w:val="Hiperpovezava"/>
            <w:rFonts w:ascii="Arial" w:hAnsi="Arial" w:cs="Arial"/>
            <w:bCs/>
            <w:color w:val="auto"/>
            <w:sz w:val="20"/>
            <w:szCs w:val="20"/>
            <w:u w:val="none"/>
            <w:shd w:val="clear" w:color="auto" w:fill="FFFFFF"/>
          </w:rPr>
          <w:t>68/17</w:t>
        </w:r>
      </w:hyperlink>
      <w:r w:rsidRPr="00841D51">
        <w:rPr>
          <w:rFonts w:ascii="Arial" w:hAnsi="Arial" w:cs="Arial"/>
          <w:bCs/>
          <w:sz w:val="20"/>
          <w:szCs w:val="20"/>
          <w:shd w:val="clear" w:color="auto" w:fill="FFFFFF"/>
        </w:rPr>
        <w:t>, </w:t>
      </w:r>
      <w:hyperlink r:id="rId25" w:tgtFrame="_blank" w:tooltip="Zakon o spremembah in dopolnitvah Zakona o nadzoru državne meje" w:history="1">
        <w:r w:rsidRPr="00841D51">
          <w:rPr>
            <w:rStyle w:val="Hiperpovezava"/>
            <w:rFonts w:ascii="Arial" w:hAnsi="Arial" w:cs="Arial"/>
            <w:bCs/>
            <w:color w:val="auto"/>
            <w:sz w:val="20"/>
            <w:szCs w:val="20"/>
            <w:u w:val="none"/>
            <w:shd w:val="clear" w:color="auto" w:fill="FFFFFF"/>
          </w:rPr>
          <w:t>47/19</w:t>
        </w:r>
      </w:hyperlink>
      <w:r w:rsidRPr="00841D51">
        <w:rPr>
          <w:rFonts w:ascii="Arial" w:hAnsi="Arial" w:cs="Arial"/>
          <w:bCs/>
          <w:sz w:val="20"/>
          <w:szCs w:val="20"/>
          <w:shd w:val="clear" w:color="auto" w:fill="FFFFFF"/>
        </w:rPr>
        <w:t>, </w:t>
      </w:r>
      <w:hyperlink r:id="rId26" w:tgtFrame="_blank" w:tooltip="Zakon o dopolnitvah Zakona o nadzoru državne meje" w:history="1">
        <w:r w:rsidRPr="00841D51">
          <w:rPr>
            <w:rStyle w:val="Hiperpovezava"/>
            <w:rFonts w:ascii="Arial" w:hAnsi="Arial" w:cs="Arial"/>
            <w:bCs/>
            <w:color w:val="auto"/>
            <w:sz w:val="20"/>
            <w:szCs w:val="20"/>
            <w:u w:val="none"/>
            <w:shd w:val="clear" w:color="auto" w:fill="FFFFFF"/>
          </w:rPr>
          <w:t>139/20</w:t>
        </w:r>
      </w:hyperlink>
      <w:r w:rsidRPr="00841D51">
        <w:rPr>
          <w:rFonts w:ascii="Arial" w:hAnsi="Arial" w:cs="Arial"/>
          <w:bCs/>
          <w:sz w:val="20"/>
          <w:szCs w:val="20"/>
          <w:shd w:val="clear" w:color="auto" w:fill="FFFFFF"/>
        </w:rPr>
        <w:t>, </w:t>
      </w:r>
      <w:hyperlink r:id="rId27" w:tgtFrame="_blank" w:tooltip="Zakon o dopolnitvah Zakona o nadzoru državne meje" w:history="1">
        <w:r w:rsidRPr="00841D51">
          <w:rPr>
            <w:rStyle w:val="Hiperpovezava"/>
            <w:rFonts w:ascii="Arial" w:hAnsi="Arial" w:cs="Arial"/>
            <w:bCs/>
            <w:color w:val="auto"/>
            <w:sz w:val="20"/>
            <w:szCs w:val="20"/>
            <w:u w:val="none"/>
            <w:shd w:val="clear" w:color="auto" w:fill="FFFFFF"/>
          </w:rPr>
          <w:t>161/21</w:t>
        </w:r>
      </w:hyperlink>
      <w:r w:rsidRPr="00841D51">
        <w:rPr>
          <w:rFonts w:ascii="Arial" w:hAnsi="Arial" w:cs="Arial"/>
          <w:bCs/>
          <w:sz w:val="20"/>
          <w:szCs w:val="20"/>
          <w:shd w:val="clear" w:color="auto" w:fill="FFFFFF"/>
        </w:rPr>
        <w:t>, </w:t>
      </w:r>
      <w:hyperlink r:id="rId28" w:tgtFrame="_blank" w:tooltip="Zakon o dopolnitvi Zakona o nadzoru državne meje" w:history="1">
        <w:r w:rsidRPr="00841D51">
          <w:rPr>
            <w:rStyle w:val="Hiperpovezava"/>
            <w:rFonts w:ascii="Arial" w:hAnsi="Arial" w:cs="Arial"/>
            <w:bCs/>
            <w:color w:val="auto"/>
            <w:sz w:val="20"/>
            <w:szCs w:val="20"/>
            <w:u w:val="none"/>
            <w:shd w:val="clear" w:color="auto" w:fill="FFFFFF"/>
          </w:rPr>
          <w:t>29/22</w:t>
        </w:r>
      </w:hyperlink>
      <w:r w:rsidRPr="00841D51">
        <w:rPr>
          <w:rFonts w:ascii="Arial" w:hAnsi="Arial" w:cs="Arial"/>
          <w:bCs/>
          <w:sz w:val="20"/>
          <w:szCs w:val="20"/>
          <w:shd w:val="clear" w:color="auto" w:fill="FFFFFF"/>
        </w:rPr>
        <w:t>, </w:t>
      </w:r>
      <w:hyperlink r:id="rId29" w:tgtFrame="_blank" w:tooltip="Zakon o spremembah in dopolnitvah Zakona o nadzoru državne meje" w:history="1">
        <w:r w:rsidRPr="00841D51">
          <w:rPr>
            <w:rStyle w:val="Hiperpovezava"/>
            <w:rFonts w:ascii="Arial" w:hAnsi="Arial" w:cs="Arial"/>
            <w:bCs/>
            <w:color w:val="auto"/>
            <w:sz w:val="20"/>
            <w:szCs w:val="20"/>
            <w:u w:val="none"/>
            <w:shd w:val="clear" w:color="auto" w:fill="FFFFFF"/>
          </w:rPr>
          <w:t>76/23</w:t>
        </w:r>
      </w:hyperlink>
      <w:r w:rsidRPr="00841D51">
        <w:rPr>
          <w:rStyle w:val="Hiperpovezava"/>
          <w:rFonts w:ascii="Arial" w:hAnsi="Arial" w:cs="Arial"/>
          <w:bCs/>
          <w:color w:val="auto"/>
          <w:sz w:val="20"/>
          <w:szCs w:val="20"/>
          <w:u w:val="none"/>
          <w:shd w:val="clear" w:color="auto" w:fill="FFFFFF"/>
        </w:rPr>
        <w:t xml:space="preserve"> in 112/24; v nadaljnjem besedilu: ZNDM-2</w:t>
      </w:r>
      <w:r w:rsidRPr="00841D51">
        <w:rPr>
          <w:rFonts w:ascii="Arial" w:hAnsi="Arial" w:cs="Arial"/>
          <w:bCs/>
          <w:sz w:val="20"/>
          <w:szCs w:val="20"/>
          <w:shd w:val="clear" w:color="auto" w:fill="FFFFFF"/>
        </w:rPr>
        <w:t>)</w:t>
      </w:r>
      <w:r w:rsidRPr="005E7BFD">
        <w:rPr>
          <w:rFonts w:ascii="Arial" w:hAnsi="Arial" w:cs="Arial"/>
          <w:sz w:val="20"/>
          <w:szCs w:val="20"/>
        </w:rPr>
        <w:t xml:space="preserve"> v prvem odstavku 36. člena opredeljuje postopek za </w:t>
      </w:r>
      <w:r w:rsidRPr="005E7BFD">
        <w:rPr>
          <w:rFonts w:ascii="Arial" w:hAnsi="Arial" w:cs="Arial"/>
          <w:sz w:val="20"/>
          <w:szCs w:val="20"/>
          <w:lang w:val="x-none"/>
        </w:rPr>
        <w:t>začasn</w:t>
      </w:r>
      <w:r w:rsidRPr="005E7BFD">
        <w:rPr>
          <w:rFonts w:ascii="Arial" w:hAnsi="Arial" w:cs="Arial"/>
          <w:sz w:val="20"/>
          <w:szCs w:val="20"/>
        </w:rPr>
        <w:t>o</w:t>
      </w:r>
      <w:r w:rsidRPr="005E7BFD">
        <w:rPr>
          <w:rFonts w:ascii="Arial" w:hAnsi="Arial" w:cs="Arial"/>
          <w:sz w:val="20"/>
          <w:szCs w:val="20"/>
          <w:lang w:val="x-none"/>
        </w:rPr>
        <w:t xml:space="preserve"> ponovno uvedb</w:t>
      </w:r>
      <w:r w:rsidRPr="005E7BFD">
        <w:rPr>
          <w:rFonts w:ascii="Arial" w:hAnsi="Arial" w:cs="Arial"/>
          <w:sz w:val="20"/>
          <w:szCs w:val="20"/>
        </w:rPr>
        <w:t>o</w:t>
      </w:r>
      <w:r w:rsidRPr="005E7BFD">
        <w:rPr>
          <w:rFonts w:ascii="Arial" w:hAnsi="Arial" w:cs="Arial"/>
          <w:sz w:val="20"/>
          <w:szCs w:val="20"/>
          <w:lang w:val="x-none"/>
        </w:rPr>
        <w:t xml:space="preserve"> ter podaljšanje nadzora na notranjih mejah v skladu z II. poglavjem III. naslova Zakonika o schengenskih mejah</w:t>
      </w:r>
      <w:r w:rsidRPr="005E7BFD">
        <w:rPr>
          <w:rFonts w:ascii="Arial" w:hAnsi="Arial" w:cs="Arial"/>
          <w:sz w:val="20"/>
          <w:szCs w:val="20"/>
        </w:rPr>
        <w:t xml:space="preserve">. </w:t>
      </w:r>
      <w:r w:rsidRPr="009A1039">
        <w:rPr>
          <w:rFonts w:ascii="Arial" w:hAnsi="Arial" w:cs="Arial"/>
          <w:sz w:val="20"/>
          <w:szCs w:val="20"/>
        </w:rPr>
        <w:t>O</w:t>
      </w:r>
      <w:r w:rsidRPr="00F33AB9">
        <w:rPr>
          <w:rFonts w:ascii="Arial" w:hAnsi="Arial" w:cs="Arial"/>
          <w:sz w:val="20"/>
          <w:szCs w:val="20"/>
        </w:rPr>
        <w:t>bveščanje</w:t>
      </w:r>
      <w:r w:rsidRPr="005E7BFD">
        <w:rPr>
          <w:rFonts w:ascii="Arial" w:hAnsi="Arial" w:cs="Arial"/>
          <w:sz w:val="20"/>
          <w:szCs w:val="20"/>
          <w:lang w:val="x-none"/>
        </w:rPr>
        <w:t xml:space="preserve"> oziroma pošiljanje informacij drugim državam članicam Evropske unije</w:t>
      </w:r>
      <w:r>
        <w:rPr>
          <w:rFonts w:ascii="Arial" w:hAnsi="Arial" w:cs="Arial"/>
          <w:sz w:val="20"/>
          <w:szCs w:val="20"/>
        </w:rPr>
        <w:t>, Evropskemu parlamentu in Evropski komisiji</w:t>
      </w:r>
      <w:r w:rsidRPr="005E7BFD">
        <w:rPr>
          <w:rFonts w:ascii="Arial" w:hAnsi="Arial" w:cs="Arial"/>
          <w:sz w:val="20"/>
          <w:szCs w:val="20"/>
          <w:lang w:val="x-none"/>
        </w:rPr>
        <w:t xml:space="preserve"> o ponovni uvedbi ali podaljšanju nadzora na notranjih mejah</w:t>
      </w:r>
      <w:r w:rsidRPr="005E7BFD">
        <w:rPr>
          <w:rFonts w:ascii="Arial" w:hAnsi="Arial" w:cs="Arial"/>
          <w:sz w:val="20"/>
          <w:szCs w:val="20"/>
        </w:rPr>
        <w:t xml:space="preserve"> ZNDM-2 nalaga ministrstvu, </w:t>
      </w:r>
      <w:r w:rsidRPr="005E7BFD">
        <w:rPr>
          <w:rFonts w:ascii="Arial" w:hAnsi="Arial" w:cs="Arial"/>
          <w:sz w:val="20"/>
          <w:szCs w:val="20"/>
          <w:lang w:val="x-none"/>
        </w:rPr>
        <w:t>pristojnemu za zunanje zadeve</w:t>
      </w:r>
      <w:r w:rsidRPr="005E7BFD">
        <w:rPr>
          <w:rFonts w:ascii="Arial" w:hAnsi="Arial" w:cs="Arial"/>
          <w:sz w:val="20"/>
          <w:szCs w:val="20"/>
        </w:rPr>
        <w:t xml:space="preserve">. </w:t>
      </w:r>
    </w:p>
    <w:p w14:paraId="784BEF61" w14:textId="77777777" w:rsidR="004A4B82" w:rsidRPr="005E7BFD" w:rsidRDefault="004A4B82" w:rsidP="004A4B82">
      <w:pPr>
        <w:pStyle w:val="Brezrazmikov"/>
        <w:spacing w:line="260" w:lineRule="atLeast"/>
        <w:jc w:val="both"/>
        <w:rPr>
          <w:rFonts w:ascii="Arial" w:hAnsi="Arial" w:cs="Arial"/>
          <w:sz w:val="20"/>
          <w:szCs w:val="20"/>
          <w:shd w:val="clear" w:color="auto" w:fill="FFFFFF"/>
        </w:rPr>
      </w:pPr>
    </w:p>
    <w:p w14:paraId="142B62AA" w14:textId="77777777" w:rsidR="004A4B82" w:rsidRPr="005E7BFD" w:rsidRDefault="004A4B82" w:rsidP="004A4B82">
      <w:pPr>
        <w:pStyle w:val="Brezrazmikov"/>
        <w:spacing w:line="260" w:lineRule="exact"/>
        <w:jc w:val="both"/>
        <w:rPr>
          <w:rFonts w:ascii="Arial" w:hAnsi="Arial" w:cs="Arial"/>
          <w:sz w:val="20"/>
          <w:szCs w:val="20"/>
        </w:rPr>
      </w:pPr>
      <w:r w:rsidRPr="005E7BFD">
        <w:rPr>
          <w:rFonts w:ascii="Arial" w:hAnsi="Arial" w:cs="Arial"/>
          <w:sz w:val="20"/>
          <w:szCs w:val="20"/>
        </w:rPr>
        <w:t xml:space="preserve">Uredba </w:t>
      </w:r>
      <w:r w:rsidRPr="005E7BFD">
        <w:rPr>
          <w:rFonts w:ascii="Arial" w:hAnsi="Arial" w:cs="Arial"/>
          <w:sz w:val="20"/>
          <w:szCs w:val="20"/>
          <w:shd w:val="clear" w:color="auto" w:fill="FFFFFF"/>
        </w:rPr>
        <w:t xml:space="preserve">(EU) 2016/399 Evropskega parlamenta in </w:t>
      </w:r>
      <w:r w:rsidRPr="00A91A5F">
        <w:rPr>
          <w:rFonts w:ascii="Arial" w:hAnsi="Arial" w:cs="Arial"/>
          <w:sz w:val="20"/>
          <w:szCs w:val="20"/>
          <w:shd w:val="clear" w:color="auto" w:fill="FFFFFF"/>
        </w:rPr>
        <w:t xml:space="preserve">Sveta z dne 9. marca 2016 o Zakoniku Unije o pravilih, ki urejajo gibanje oseb prek meja (Zakonik o schengenskih mejah) (kodificirano besedilo) (UL L št. 77 z dne 23. 3. 2016, str. 1), zadnjič spremenjene z </w:t>
      </w:r>
      <w:r w:rsidRPr="00A91A5F">
        <w:rPr>
          <w:rFonts w:ascii="Arial" w:hAnsi="Arial" w:cs="Arial"/>
          <w:bCs/>
          <w:sz w:val="20"/>
          <w:szCs w:val="20"/>
          <w:shd w:val="clear" w:color="auto" w:fill="FFFFFF"/>
        </w:rPr>
        <w:t xml:space="preserve">Uredbo (EU) št. 2024/1717 Evropskega parlamenta in Sveta z dne 13. junija 2024 o spremembi Uredbe (EU) 2016/399 o Zakoniku Unije o pravilih, ki urejajo gibanje oseb prek meja </w:t>
      </w:r>
      <w:r w:rsidRPr="00A91A5F">
        <w:rPr>
          <w:rFonts w:ascii="Arial" w:hAnsi="Arial" w:cs="Arial"/>
          <w:bCs/>
          <w:i/>
          <w:sz w:val="20"/>
          <w:szCs w:val="20"/>
          <w:shd w:val="clear" w:color="auto" w:fill="FFFFFF"/>
        </w:rPr>
        <w:t>(</w:t>
      </w:r>
      <w:r w:rsidRPr="00A91A5F">
        <w:rPr>
          <w:rStyle w:val="Poudarek"/>
          <w:rFonts w:ascii="Arial" w:hAnsi="Arial" w:cs="Arial"/>
          <w:sz w:val="20"/>
          <w:szCs w:val="20"/>
          <w:shd w:val="clear" w:color="auto" w:fill="FFFFFF"/>
        </w:rPr>
        <w:t>UL L št. 2024/1717 z dne 20.6.2024)</w:t>
      </w:r>
      <w:r>
        <w:rPr>
          <w:rStyle w:val="Poudarek"/>
          <w:rFonts w:ascii="Arial" w:hAnsi="Arial" w:cs="Arial"/>
          <w:sz w:val="20"/>
          <w:szCs w:val="20"/>
          <w:shd w:val="clear" w:color="auto" w:fill="FFFFFF"/>
        </w:rPr>
        <w:t xml:space="preserve"> v </w:t>
      </w:r>
      <w:r w:rsidRPr="005E7BFD">
        <w:rPr>
          <w:rFonts w:ascii="Arial" w:hAnsi="Arial" w:cs="Arial"/>
          <w:sz w:val="20"/>
          <w:szCs w:val="20"/>
        </w:rPr>
        <w:t xml:space="preserve"> </w:t>
      </w:r>
      <w:r w:rsidRPr="005E7BFD">
        <w:rPr>
          <w:rFonts w:ascii="Arial" w:hAnsi="Arial" w:cs="Arial"/>
          <w:sz w:val="20"/>
          <w:szCs w:val="20"/>
          <w:shd w:val="clear" w:color="auto" w:fill="FFFFFF"/>
        </w:rPr>
        <w:t xml:space="preserve">II. poglavju III. naslova </w:t>
      </w:r>
      <w:r w:rsidRPr="005E7BFD">
        <w:rPr>
          <w:rFonts w:ascii="Arial" w:hAnsi="Arial" w:cs="Arial"/>
          <w:sz w:val="20"/>
          <w:szCs w:val="20"/>
        </w:rPr>
        <w:t>ureja splošni okvir začasne ponovne uvedbe in podaljšanja nadzora na notranjih mejah.</w:t>
      </w:r>
    </w:p>
    <w:p w14:paraId="5F74C223" w14:textId="77777777" w:rsidR="004A4B82" w:rsidRPr="005E7BFD" w:rsidRDefault="004A4B82" w:rsidP="004A4B82">
      <w:pPr>
        <w:pStyle w:val="Brezrazmikov"/>
        <w:spacing w:line="260" w:lineRule="exact"/>
        <w:jc w:val="both"/>
        <w:rPr>
          <w:rFonts w:ascii="Arial" w:hAnsi="Arial" w:cs="Arial"/>
          <w:sz w:val="20"/>
          <w:szCs w:val="20"/>
        </w:rPr>
      </w:pPr>
    </w:p>
    <w:p w14:paraId="1D48A344" w14:textId="77777777" w:rsidR="004A4B82" w:rsidRPr="005E7BFD" w:rsidRDefault="004A4B82" w:rsidP="004A4B82">
      <w:pPr>
        <w:pStyle w:val="Brezrazmikov"/>
        <w:spacing w:line="260" w:lineRule="exact"/>
        <w:jc w:val="both"/>
        <w:rPr>
          <w:rFonts w:ascii="Arial" w:hAnsi="Arial" w:cs="Arial"/>
          <w:sz w:val="20"/>
          <w:szCs w:val="20"/>
        </w:rPr>
      </w:pPr>
      <w:r w:rsidRPr="005E7BFD">
        <w:rPr>
          <w:rFonts w:ascii="Arial" w:hAnsi="Arial" w:cs="Arial"/>
          <w:sz w:val="20"/>
          <w:szCs w:val="20"/>
        </w:rPr>
        <w:t>V 25. členu Zakonika o schengenskih mejah je določeno, da lahko država članica v primeru, ko se v območju brez nadzora na notranjih mejah pojavi resna grožnja javnemu redu ali notranji varnosti v državi članici, ki izhaja iz terorističnih groženj ali groženj, ki jih predstavljajo hude oblike organiziranega kriminala</w:t>
      </w:r>
      <w:r>
        <w:rPr>
          <w:rFonts w:ascii="Arial" w:hAnsi="Arial" w:cs="Arial"/>
          <w:sz w:val="20"/>
          <w:szCs w:val="20"/>
        </w:rPr>
        <w:t>,</w:t>
      </w:r>
      <w:r w:rsidRPr="005E7BFD">
        <w:rPr>
          <w:rFonts w:ascii="Arial" w:hAnsi="Arial" w:cs="Arial"/>
          <w:sz w:val="20"/>
          <w:szCs w:val="20"/>
        </w:rPr>
        <w:t xml:space="preserve"> ali ki izhaja iz obsežnih ali odmevnih mednarodnih dogodkov ali v primeru izrednih razmer v javnem zdravju ali zaradi izjemnih razmer, za katere je značilno nenadno obsežno nedovoljeno gibanje državljanov </w:t>
      </w:r>
      <w:r w:rsidRPr="00611328">
        <w:rPr>
          <w:rFonts w:ascii="Arial" w:hAnsi="Arial" w:cs="Arial"/>
          <w:sz w:val="20"/>
          <w:szCs w:val="20"/>
        </w:rPr>
        <w:t xml:space="preserve">tretjih držav </w:t>
      </w:r>
      <w:r w:rsidRPr="00611328">
        <w:rPr>
          <w:rFonts w:ascii="Arial" w:hAnsi="Arial" w:cs="Arial"/>
          <w:color w:val="000000"/>
          <w:sz w:val="20"/>
          <w:szCs w:val="20"/>
          <w:shd w:val="clear" w:color="auto" w:fill="FFFFFF"/>
        </w:rPr>
        <w:t>med državami članicami, kar znatno obremenjuje vse vire in zmogljivosti dobro pripravljenih pristojnih organov ter bo verjetno ogrozilo splošno delovanje območja brez nadzora na notranjih mejah, kot kažejo analiza informacij in vsi razpoložljivi podatki, tudi iz zadevnih agencij Unije</w:t>
      </w:r>
      <w:r w:rsidRPr="00611328">
        <w:rPr>
          <w:rFonts w:ascii="Arial" w:hAnsi="Arial" w:cs="Arial"/>
          <w:sz w:val="20"/>
          <w:szCs w:val="20"/>
        </w:rPr>
        <w:t>,</w:t>
      </w:r>
      <w:r w:rsidRPr="005E7BFD">
        <w:rPr>
          <w:rFonts w:ascii="Arial" w:hAnsi="Arial" w:cs="Arial"/>
          <w:sz w:val="20"/>
          <w:szCs w:val="20"/>
        </w:rPr>
        <w:t xml:space="preserve"> izjemoma ponovno uvede nadzor meje na vseh ali na določenih delih svojih notranjih meja. </w:t>
      </w:r>
    </w:p>
    <w:p w14:paraId="06AC266C" w14:textId="77777777" w:rsidR="004A4B82" w:rsidRPr="005E7BFD" w:rsidRDefault="004A4B82" w:rsidP="004A4B82">
      <w:pPr>
        <w:pStyle w:val="Brezrazmikov"/>
        <w:spacing w:line="260" w:lineRule="exact"/>
        <w:jc w:val="both"/>
        <w:rPr>
          <w:rFonts w:ascii="Arial" w:hAnsi="Arial" w:cs="Arial"/>
          <w:sz w:val="20"/>
          <w:szCs w:val="20"/>
        </w:rPr>
      </w:pPr>
    </w:p>
    <w:p w14:paraId="39C7EF0F" w14:textId="77777777" w:rsidR="002B3CDA" w:rsidRDefault="004A4B82" w:rsidP="002B3CDA">
      <w:pPr>
        <w:pStyle w:val="Brezrazmikov"/>
        <w:spacing w:line="260" w:lineRule="exact"/>
        <w:jc w:val="both"/>
        <w:rPr>
          <w:rFonts w:ascii="Arial" w:hAnsi="Arial" w:cs="Arial"/>
          <w:sz w:val="20"/>
          <w:szCs w:val="20"/>
        </w:rPr>
      </w:pPr>
      <w:r w:rsidRPr="00754B99">
        <w:rPr>
          <w:rFonts w:ascii="Arial" w:hAnsi="Arial" w:cs="Arial"/>
          <w:sz w:val="20"/>
          <w:szCs w:val="20"/>
        </w:rPr>
        <w:t>Republika Slovenija je na podlagi 25. člena in sledečih členov iz II. poglavja Zakonika o schengenskih mejah z</w:t>
      </w:r>
      <w:r w:rsidR="00754B99">
        <w:rPr>
          <w:rFonts w:ascii="Arial" w:hAnsi="Arial" w:cs="Arial"/>
          <w:sz w:val="20"/>
          <w:szCs w:val="20"/>
        </w:rPr>
        <w:t xml:space="preserve"> Odlokom </w:t>
      </w:r>
      <w:r w:rsidRPr="00754B99">
        <w:rPr>
          <w:rFonts w:ascii="Arial" w:hAnsi="Arial" w:cs="Arial"/>
          <w:sz w:val="20"/>
          <w:szCs w:val="20"/>
        </w:rPr>
        <w:t xml:space="preserve"> </w:t>
      </w:r>
      <w:r w:rsidR="00754B99" w:rsidRPr="00754B99">
        <w:rPr>
          <w:rFonts w:ascii="Arial" w:hAnsi="Arial" w:cs="Arial"/>
          <w:sz w:val="20"/>
          <w:szCs w:val="20"/>
        </w:rPr>
        <w:t xml:space="preserve">o uvedbi začasnega ponovnega nadzora na notranjih mejah Republike Slovenije z Republiko Hrvaško in Madžarsko </w:t>
      </w:r>
      <w:r w:rsidR="00754B99">
        <w:rPr>
          <w:rFonts w:ascii="Arial" w:hAnsi="Arial" w:cs="Arial"/>
          <w:sz w:val="20"/>
          <w:szCs w:val="20"/>
        </w:rPr>
        <w:t>št. 00704-387/2024 z dne 18. 12. 2024 z</w:t>
      </w:r>
      <w:r w:rsidR="000A3979">
        <w:rPr>
          <w:rFonts w:ascii="Arial" w:hAnsi="Arial" w:cs="Arial"/>
          <w:sz w:val="20"/>
          <w:szCs w:val="20"/>
        </w:rPr>
        <w:t xml:space="preserve"> 22.</w:t>
      </w:r>
      <w:r w:rsidRPr="00754B99">
        <w:rPr>
          <w:rFonts w:ascii="Arial" w:hAnsi="Arial" w:cs="Arial"/>
          <w:sz w:val="20"/>
          <w:szCs w:val="20"/>
        </w:rPr>
        <w:t xml:space="preserve"> decembrom 202</w:t>
      </w:r>
      <w:r w:rsidR="00754B99" w:rsidRPr="00754B99">
        <w:rPr>
          <w:rFonts w:ascii="Arial" w:hAnsi="Arial" w:cs="Arial"/>
          <w:sz w:val="20"/>
          <w:szCs w:val="20"/>
        </w:rPr>
        <w:t>4</w:t>
      </w:r>
      <w:r w:rsidRPr="00754B99">
        <w:rPr>
          <w:rFonts w:ascii="Arial" w:hAnsi="Arial" w:cs="Arial"/>
          <w:sz w:val="20"/>
          <w:szCs w:val="20"/>
        </w:rPr>
        <w:t xml:space="preserve"> začasno ponovno uvedla nadzor na notranjih kopenskih mejah z Republiko Hrvaško in Madžarsko za obdobje šestih mesecev</w:t>
      </w:r>
      <w:r w:rsidR="002B3CDA">
        <w:rPr>
          <w:rFonts w:ascii="Arial" w:hAnsi="Arial" w:cs="Arial"/>
          <w:sz w:val="20"/>
          <w:szCs w:val="20"/>
        </w:rPr>
        <w:t xml:space="preserve">. </w:t>
      </w:r>
      <w:r w:rsidR="002B3CDA" w:rsidRPr="000B36BE">
        <w:rPr>
          <w:rFonts w:ascii="Arial" w:hAnsi="Arial" w:cs="Arial"/>
          <w:sz w:val="20"/>
          <w:szCs w:val="20"/>
        </w:rPr>
        <w:t>Za ta ukrep se je Republika Slovenija odločila zaradi povečane stopnje teroristične ogroženosti, ki izhaja iz zaostrenih varnostnih razmer v Evropi in na Bližnjem vzhodu, ter zaznanih pozivov terorističnih organizacij k izvajanju terorističnih in drugih nasilnih dejanj v zahodnih državah.</w:t>
      </w:r>
    </w:p>
    <w:p w14:paraId="3204E4DC" w14:textId="77777777" w:rsidR="002B3CDA" w:rsidRDefault="002B3CDA" w:rsidP="002B3CDA">
      <w:pPr>
        <w:pStyle w:val="Brezrazmikov"/>
        <w:spacing w:line="260" w:lineRule="exact"/>
        <w:jc w:val="both"/>
        <w:rPr>
          <w:rFonts w:ascii="Arial" w:hAnsi="Arial" w:cs="Arial"/>
          <w:sz w:val="20"/>
          <w:szCs w:val="20"/>
        </w:rPr>
      </w:pPr>
    </w:p>
    <w:p w14:paraId="0F4DA091" w14:textId="20503D3F" w:rsidR="0010135C" w:rsidRDefault="002B3CDA" w:rsidP="00754B99">
      <w:pPr>
        <w:pStyle w:val="Brezrazmikov"/>
        <w:spacing w:line="260" w:lineRule="exact"/>
        <w:jc w:val="both"/>
        <w:rPr>
          <w:rFonts w:ascii="Arial" w:hAnsi="Arial" w:cs="Arial"/>
          <w:sz w:val="20"/>
          <w:szCs w:val="20"/>
        </w:rPr>
      </w:pPr>
      <w:r w:rsidRPr="005E7BFD">
        <w:rPr>
          <w:rFonts w:ascii="Arial" w:hAnsi="Arial" w:cs="Arial"/>
          <w:sz w:val="20"/>
          <w:szCs w:val="20"/>
        </w:rPr>
        <w:t>V 25</w:t>
      </w:r>
      <w:r>
        <w:rPr>
          <w:rFonts w:ascii="Arial" w:hAnsi="Arial" w:cs="Arial"/>
          <w:sz w:val="20"/>
          <w:szCs w:val="20"/>
        </w:rPr>
        <w:t>.</w:t>
      </w:r>
      <w:r w:rsidRPr="005E7BFD">
        <w:rPr>
          <w:rFonts w:ascii="Arial" w:hAnsi="Arial" w:cs="Arial"/>
          <w:sz w:val="20"/>
          <w:szCs w:val="20"/>
        </w:rPr>
        <w:t>a členu Zakonika o schengenskih mejah je v petem odstavku določeno, da lahko v primeru, kadar je resna grožnja javnemu redu ali notranji varnosti predvidljiva in traja dlje od šestih mesecev, država članica nadzor na notranjih mejah večkrat podaljša za obdobja, ki trajajo največ šest mesecev.</w:t>
      </w:r>
      <w:r w:rsidR="0026291D">
        <w:rPr>
          <w:rFonts w:ascii="Arial" w:hAnsi="Arial" w:cs="Arial"/>
          <w:sz w:val="20"/>
          <w:szCs w:val="20"/>
        </w:rPr>
        <w:t xml:space="preserve"> </w:t>
      </w:r>
    </w:p>
    <w:p w14:paraId="0E5D610F" w14:textId="77777777" w:rsidR="0010135C" w:rsidRDefault="0010135C" w:rsidP="00754B99">
      <w:pPr>
        <w:pStyle w:val="Brezrazmikov"/>
        <w:spacing w:line="260" w:lineRule="exact"/>
        <w:jc w:val="both"/>
        <w:rPr>
          <w:rFonts w:ascii="Arial" w:hAnsi="Arial" w:cs="Arial"/>
          <w:sz w:val="20"/>
          <w:szCs w:val="20"/>
        </w:rPr>
      </w:pPr>
    </w:p>
    <w:p w14:paraId="654CAB4F" w14:textId="771C2F40" w:rsidR="00754B99" w:rsidRPr="00754B99" w:rsidRDefault="002B3CDA" w:rsidP="00754B99">
      <w:pPr>
        <w:pStyle w:val="Brezrazmikov"/>
        <w:spacing w:line="260" w:lineRule="exact"/>
        <w:jc w:val="both"/>
        <w:rPr>
          <w:rFonts w:ascii="Arial" w:hAnsi="Arial" w:cs="Arial"/>
          <w:sz w:val="20"/>
          <w:szCs w:val="20"/>
        </w:rPr>
      </w:pPr>
      <w:r>
        <w:rPr>
          <w:rFonts w:ascii="Arial" w:hAnsi="Arial" w:cs="Arial"/>
          <w:sz w:val="20"/>
          <w:szCs w:val="20"/>
        </w:rPr>
        <w:t xml:space="preserve">Z </w:t>
      </w:r>
      <w:r w:rsidR="00754B99" w:rsidRPr="00754B99">
        <w:rPr>
          <w:rFonts w:ascii="Arial" w:hAnsi="Arial" w:cs="Arial"/>
          <w:sz w:val="20"/>
          <w:szCs w:val="20"/>
        </w:rPr>
        <w:t xml:space="preserve">Odlokom o spremembi Odloka o uvedbi začasnega ponovnega nadzora na notranjih mejah Republike Slovenije z Republiko Hrvaško in Madžarsko št. 00704-162/2025 z dne 19. junija 2025 </w:t>
      </w:r>
      <w:r>
        <w:rPr>
          <w:rFonts w:ascii="Arial" w:hAnsi="Arial" w:cs="Arial"/>
          <w:sz w:val="20"/>
          <w:szCs w:val="20"/>
        </w:rPr>
        <w:t xml:space="preserve">je Republika Slovenija nadzor podaljšala </w:t>
      </w:r>
      <w:r w:rsidR="00754B99" w:rsidRPr="00754B99">
        <w:rPr>
          <w:rFonts w:ascii="Arial" w:hAnsi="Arial" w:cs="Arial"/>
          <w:sz w:val="20"/>
          <w:szCs w:val="20"/>
        </w:rPr>
        <w:t>do 21. decembra 2025 ter</w:t>
      </w:r>
      <w:r>
        <w:rPr>
          <w:rFonts w:ascii="Arial" w:hAnsi="Arial" w:cs="Arial"/>
          <w:sz w:val="20"/>
          <w:szCs w:val="20"/>
        </w:rPr>
        <w:t xml:space="preserve"> v nadaljevanju</w:t>
      </w:r>
      <w:r w:rsidR="00754B99" w:rsidRPr="00754B99">
        <w:rPr>
          <w:rFonts w:ascii="Arial" w:hAnsi="Arial" w:cs="Arial"/>
          <w:sz w:val="20"/>
          <w:szCs w:val="20"/>
        </w:rPr>
        <w:t xml:space="preserve"> z Odlokom o spremembi Odloka o uvedbi začasnega ponovnega nadzora na notranjih mejah Republike Slovenije z Republiko Hrvaško in Madžarsko </w:t>
      </w:r>
      <w:r w:rsidR="000A3979">
        <w:rPr>
          <w:rFonts w:ascii="Arial" w:hAnsi="Arial" w:cs="Arial"/>
          <w:sz w:val="20"/>
          <w:szCs w:val="20"/>
        </w:rPr>
        <w:t>š</w:t>
      </w:r>
      <w:r w:rsidR="00754B99" w:rsidRPr="00754B99">
        <w:rPr>
          <w:rFonts w:ascii="Arial" w:hAnsi="Arial" w:cs="Arial"/>
          <w:sz w:val="20"/>
          <w:szCs w:val="20"/>
        </w:rPr>
        <w:t>t. 00704-412/2025 z dne 17. decembra 2025 še do 21. junija 2026.</w:t>
      </w:r>
    </w:p>
    <w:p w14:paraId="6A66B1E9" w14:textId="072B53CD" w:rsidR="004A4B82" w:rsidRPr="008B614F" w:rsidRDefault="00246087" w:rsidP="004A4B82">
      <w:pPr>
        <w:pStyle w:val="Brezrazmikov"/>
        <w:spacing w:line="260" w:lineRule="exact"/>
        <w:jc w:val="both"/>
        <w:rPr>
          <w:rFonts w:ascii="Arial" w:hAnsi="Arial" w:cs="Arial"/>
          <w:sz w:val="20"/>
          <w:szCs w:val="20"/>
        </w:rPr>
      </w:pPr>
      <w:r>
        <w:rPr>
          <w:rFonts w:ascii="Arial" w:hAnsi="Arial" w:cs="Arial"/>
          <w:sz w:val="20"/>
          <w:szCs w:val="20"/>
        </w:rPr>
        <w:lastRenderedPageBreak/>
        <w:t>S</w:t>
      </w:r>
      <w:r w:rsidR="004A4B82" w:rsidRPr="008B614F">
        <w:rPr>
          <w:rFonts w:ascii="Arial" w:hAnsi="Arial" w:cs="Arial"/>
          <w:sz w:val="20"/>
          <w:szCs w:val="20"/>
        </w:rPr>
        <w:t xml:space="preserve"> predl</w:t>
      </w:r>
      <w:r w:rsidR="00874FE5">
        <w:rPr>
          <w:rFonts w:ascii="Arial" w:hAnsi="Arial" w:cs="Arial"/>
          <w:sz w:val="20"/>
          <w:szCs w:val="20"/>
        </w:rPr>
        <w:t>aganim</w:t>
      </w:r>
      <w:r w:rsidR="004A4B82" w:rsidRPr="008B614F">
        <w:rPr>
          <w:rFonts w:ascii="Arial" w:hAnsi="Arial" w:cs="Arial"/>
          <w:sz w:val="20"/>
          <w:szCs w:val="20"/>
        </w:rPr>
        <w:t xml:space="preserve"> podaljšanj</w:t>
      </w:r>
      <w:r w:rsidR="00874FE5">
        <w:rPr>
          <w:rFonts w:ascii="Arial" w:hAnsi="Arial" w:cs="Arial"/>
          <w:sz w:val="20"/>
          <w:szCs w:val="20"/>
        </w:rPr>
        <w:t xml:space="preserve">em </w:t>
      </w:r>
      <w:r w:rsidR="004A4B82" w:rsidRPr="008B614F">
        <w:rPr>
          <w:rFonts w:ascii="Arial" w:hAnsi="Arial" w:cs="Arial"/>
          <w:sz w:val="20"/>
          <w:szCs w:val="20"/>
        </w:rPr>
        <w:t>nadzora do 2</w:t>
      </w:r>
      <w:r>
        <w:rPr>
          <w:rFonts w:ascii="Arial" w:hAnsi="Arial" w:cs="Arial"/>
          <w:sz w:val="20"/>
          <w:szCs w:val="20"/>
        </w:rPr>
        <w:t>2</w:t>
      </w:r>
      <w:r w:rsidR="004A4B82" w:rsidRPr="008B614F">
        <w:rPr>
          <w:rFonts w:ascii="Arial" w:hAnsi="Arial" w:cs="Arial"/>
          <w:sz w:val="20"/>
          <w:szCs w:val="20"/>
        </w:rPr>
        <w:t xml:space="preserve">. </w:t>
      </w:r>
      <w:r>
        <w:rPr>
          <w:rFonts w:ascii="Arial" w:hAnsi="Arial" w:cs="Arial"/>
          <w:sz w:val="20"/>
          <w:szCs w:val="20"/>
        </w:rPr>
        <w:t>decembr</w:t>
      </w:r>
      <w:r w:rsidR="004A4B82" w:rsidRPr="008B614F">
        <w:rPr>
          <w:rFonts w:ascii="Arial" w:hAnsi="Arial" w:cs="Arial"/>
          <w:sz w:val="20"/>
          <w:szCs w:val="20"/>
        </w:rPr>
        <w:t xml:space="preserve">a 2026 </w:t>
      </w:r>
      <w:r>
        <w:rPr>
          <w:rFonts w:ascii="Arial" w:hAnsi="Arial" w:cs="Arial"/>
          <w:sz w:val="20"/>
          <w:szCs w:val="20"/>
        </w:rPr>
        <w:t xml:space="preserve">bo doseženo najdaljše dovoljeno </w:t>
      </w:r>
      <w:r w:rsidR="004A4B82" w:rsidRPr="008B614F">
        <w:rPr>
          <w:rFonts w:ascii="Arial" w:hAnsi="Arial" w:cs="Arial"/>
          <w:sz w:val="20"/>
          <w:szCs w:val="20"/>
        </w:rPr>
        <w:t xml:space="preserve">obdobje trajanja nadzora na notranjih mejah, ki </w:t>
      </w:r>
      <w:r>
        <w:rPr>
          <w:rFonts w:ascii="Arial" w:hAnsi="Arial" w:cs="Arial"/>
          <w:sz w:val="20"/>
          <w:szCs w:val="20"/>
        </w:rPr>
        <w:t xml:space="preserve">ga </w:t>
      </w:r>
      <w:r w:rsidR="004A4B82" w:rsidRPr="008B614F">
        <w:rPr>
          <w:rFonts w:ascii="Arial" w:hAnsi="Arial" w:cs="Arial"/>
          <w:sz w:val="20"/>
          <w:szCs w:val="20"/>
        </w:rPr>
        <w:t xml:space="preserve">na podlagi v petega odstavka 25.a člena </w:t>
      </w:r>
      <w:r>
        <w:rPr>
          <w:rFonts w:ascii="Arial" w:hAnsi="Arial" w:cs="Arial"/>
          <w:sz w:val="20"/>
          <w:szCs w:val="20"/>
        </w:rPr>
        <w:t xml:space="preserve">določa </w:t>
      </w:r>
      <w:r w:rsidR="004A4B82" w:rsidRPr="008B614F">
        <w:rPr>
          <w:rFonts w:ascii="Arial" w:hAnsi="Arial" w:cs="Arial"/>
          <w:sz w:val="20"/>
          <w:szCs w:val="20"/>
        </w:rPr>
        <w:t>Zakonik o schengenskih mejah</w:t>
      </w:r>
      <w:r>
        <w:rPr>
          <w:rFonts w:ascii="Arial" w:hAnsi="Arial" w:cs="Arial"/>
          <w:sz w:val="20"/>
          <w:szCs w:val="20"/>
        </w:rPr>
        <w:t>.</w:t>
      </w:r>
    </w:p>
    <w:p w14:paraId="00C432C2" w14:textId="77777777" w:rsidR="004A4B82" w:rsidRPr="005E7BFD" w:rsidRDefault="004A4B82" w:rsidP="004A4B82">
      <w:pPr>
        <w:pStyle w:val="Brezrazmikov"/>
        <w:spacing w:line="260" w:lineRule="exact"/>
        <w:jc w:val="both"/>
        <w:rPr>
          <w:rFonts w:ascii="Arial" w:hAnsi="Arial" w:cs="Arial"/>
          <w:sz w:val="20"/>
          <w:szCs w:val="20"/>
        </w:rPr>
      </w:pPr>
    </w:p>
    <w:p w14:paraId="01DBDA4D" w14:textId="77777777" w:rsidR="004A4B82" w:rsidRDefault="004A4B82" w:rsidP="004A4B82">
      <w:pPr>
        <w:pStyle w:val="Brezrazmikov"/>
        <w:spacing w:line="260" w:lineRule="exact"/>
        <w:jc w:val="both"/>
        <w:rPr>
          <w:rFonts w:ascii="Arial" w:hAnsi="Arial" w:cs="Arial"/>
          <w:sz w:val="20"/>
          <w:szCs w:val="20"/>
        </w:rPr>
      </w:pPr>
      <w:bookmarkStart w:id="1" w:name="_Hlk214004149"/>
      <w:r w:rsidRPr="005E7BFD">
        <w:rPr>
          <w:rFonts w:ascii="Arial" w:hAnsi="Arial" w:cs="Arial"/>
          <w:sz w:val="20"/>
          <w:szCs w:val="20"/>
        </w:rPr>
        <w:t>Država članica mora, skladno z določbami 2</w:t>
      </w:r>
      <w:r>
        <w:rPr>
          <w:rFonts w:ascii="Arial" w:hAnsi="Arial" w:cs="Arial"/>
          <w:sz w:val="20"/>
          <w:szCs w:val="20"/>
        </w:rPr>
        <w:t>5</w:t>
      </w:r>
      <w:r w:rsidRPr="005E7BFD">
        <w:rPr>
          <w:rFonts w:ascii="Arial" w:hAnsi="Arial" w:cs="Arial"/>
          <w:sz w:val="20"/>
          <w:szCs w:val="20"/>
        </w:rPr>
        <w:t>.</w:t>
      </w:r>
      <w:r>
        <w:rPr>
          <w:rFonts w:ascii="Arial" w:hAnsi="Arial" w:cs="Arial"/>
          <w:sz w:val="20"/>
          <w:szCs w:val="20"/>
        </w:rPr>
        <w:t>a</w:t>
      </w:r>
      <w:r w:rsidRPr="005E7BFD">
        <w:rPr>
          <w:rFonts w:ascii="Arial" w:hAnsi="Arial" w:cs="Arial"/>
          <w:sz w:val="20"/>
          <w:szCs w:val="20"/>
        </w:rPr>
        <w:t xml:space="preserve"> člena Zakonika o schengenskih mejah, o svoji nameri vsaj štiri tedne pred načrtovanim podaljšanjem obvestiti ostale države članice, Evropski parlament, Svet in Evropsko komisijo ter navesti razloge in okoliščine, ki utemeljujejo tako odločitev, obseg, datum in trajanje nadzora na notranjih mejah ter imena mejnih prehodov, na katerih je v času ponovnega nadzora dovoljeno prestopati državno mejo. </w:t>
      </w:r>
      <w:bookmarkEnd w:id="1"/>
      <w:r w:rsidRPr="005E7BFD">
        <w:rPr>
          <w:rFonts w:ascii="Arial" w:hAnsi="Arial" w:cs="Arial"/>
          <w:sz w:val="20"/>
          <w:szCs w:val="20"/>
        </w:rPr>
        <w:t>Pri tem mora država članica uporabiti predlogo za uradno obvestilo o začasni ponovni uvedbi ali podaljšanju nadzora na notranjih mejah, ki je bila določena z Izvedbenim sklepom Komisije (EU) 2025/315 z dne 14. februarja 2025</w:t>
      </w:r>
      <w:r>
        <w:rPr>
          <w:rFonts w:ascii="Arial" w:hAnsi="Arial" w:cs="Arial"/>
          <w:sz w:val="20"/>
          <w:szCs w:val="20"/>
        </w:rPr>
        <w:t xml:space="preserve"> </w:t>
      </w:r>
      <w:r w:rsidRPr="009A1039">
        <w:rPr>
          <w:rFonts w:ascii="Arial" w:hAnsi="Arial" w:cs="Arial"/>
          <w:sz w:val="20"/>
          <w:szCs w:val="20"/>
        </w:rPr>
        <w:t>o določitvi predloge za uradno obvestilo o začasni ponovni uvedbi ali podaljšanju nadzora na notranjih mejah</w:t>
      </w:r>
      <w:r>
        <w:rPr>
          <w:rFonts w:ascii="Arial" w:hAnsi="Arial" w:cs="Arial"/>
          <w:sz w:val="20"/>
          <w:szCs w:val="20"/>
        </w:rPr>
        <w:t xml:space="preserve"> (UL L št. </w:t>
      </w:r>
      <w:r w:rsidRPr="009A1039">
        <w:rPr>
          <w:rFonts w:ascii="Arial" w:hAnsi="Arial" w:cs="Arial"/>
          <w:sz w:val="20"/>
          <w:szCs w:val="20"/>
        </w:rPr>
        <w:t>2025/315</w:t>
      </w:r>
      <w:r>
        <w:rPr>
          <w:rFonts w:ascii="Arial" w:hAnsi="Arial" w:cs="Arial"/>
          <w:sz w:val="20"/>
          <w:szCs w:val="20"/>
        </w:rPr>
        <w:t xml:space="preserve"> z dne 17. 2. 2025)</w:t>
      </w:r>
      <w:r w:rsidRPr="005E7BFD">
        <w:rPr>
          <w:rFonts w:ascii="Arial" w:hAnsi="Arial" w:cs="Arial"/>
          <w:sz w:val="20"/>
          <w:szCs w:val="20"/>
        </w:rPr>
        <w:t>.</w:t>
      </w:r>
    </w:p>
    <w:p w14:paraId="6A527AB0" w14:textId="77777777" w:rsidR="004A4B82" w:rsidRPr="005E7BFD" w:rsidRDefault="004A4B82" w:rsidP="004A4B82">
      <w:pPr>
        <w:pStyle w:val="Brezrazmikov"/>
        <w:spacing w:line="260" w:lineRule="exact"/>
        <w:jc w:val="both"/>
        <w:rPr>
          <w:rFonts w:ascii="Arial" w:hAnsi="Arial" w:cs="Arial"/>
          <w:sz w:val="20"/>
          <w:szCs w:val="20"/>
        </w:rPr>
      </w:pPr>
    </w:p>
    <w:p w14:paraId="7939988C" w14:textId="77441A03" w:rsidR="004A4B82" w:rsidRPr="005E7BFD" w:rsidRDefault="004A4B82" w:rsidP="004A4B82">
      <w:pPr>
        <w:pStyle w:val="Brezrazmikov"/>
        <w:spacing w:line="260" w:lineRule="exact"/>
        <w:jc w:val="both"/>
        <w:rPr>
          <w:rFonts w:ascii="Arial" w:hAnsi="Arial" w:cs="Arial"/>
          <w:sz w:val="20"/>
          <w:szCs w:val="20"/>
        </w:rPr>
      </w:pPr>
      <w:r>
        <w:rPr>
          <w:rFonts w:ascii="Arial" w:hAnsi="Arial" w:cs="Arial"/>
          <w:sz w:val="20"/>
          <w:szCs w:val="20"/>
        </w:rPr>
        <w:t xml:space="preserve">Zakonik  </w:t>
      </w:r>
      <w:r w:rsidRPr="005E7BFD">
        <w:rPr>
          <w:rFonts w:ascii="Arial" w:hAnsi="Arial" w:cs="Arial"/>
          <w:sz w:val="20"/>
          <w:szCs w:val="20"/>
        </w:rPr>
        <w:t xml:space="preserve">o schengenskih mejah določa, da morata biti obseg in trajanje začasnega nadzora na notranjih mejah sorazmerna z resnostjo ugotovljene grožnje ter določa roke, merila in postopek za njegovo podaljšanje. </w:t>
      </w:r>
    </w:p>
    <w:p w14:paraId="319E25F3" w14:textId="77777777" w:rsidR="004A4B82" w:rsidRDefault="004A4B82" w:rsidP="004A4B82">
      <w:pPr>
        <w:pStyle w:val="Brezrazmikov"/>
        <w:spacing w:line="260" w:lineRule="exact"/>
        <w:jc w:val="both"/>
        <w:rPr>
          <w:rFonts w:ascii="Arial" w:hAnsi="Arial" w:cs="Arial"/>
          <w:sz w:val="20"/>
          <w:szCs w:val="20"/>
        </w:rPr>
      </w:pPr>
    </w:p>
    <w:p w14:paraId="1B22B51E" w14:textId="77777777" w:rsidR="004A4B82" w:rsidRPr="00C4171A" w:rsidRDefault="004A4B82" w:rsidP="004A4B82">
      <w:pPr>
        <w:tabs>
          <w:tab w:val="left" w:pos="6785"/>
        </w:tabs>
        <w:overflowPunct w:val="0"/>
        <w:autoSpaceDE w:val="0"/>
        <w:spacing w:after="0" w:line="260" w:lineRule="exact"/>
        <w:jc w:val="both"/>
        <w:rPr>
          <w:rFonts w:cs="Arial"/>
          <w:sz w:val="20"/>
          <w:szCs w:val="20"/>
        </w:rPr>
      </w:pPr>
      <w:r w:rsidRPr="00C4171A">
        <w:rPr>
          <w:rFonts w:cs="Arial"/>
          <w:sz w:val="20"/>
          <w:szCs w:val="20"/>
        </w:rPr>
        <w:t>Evropska unija (v nadalj</w:t>
      </w:r>
      <w:r>
        <w:rPr>
          <w:rFonts w:cs="Arial"/>
          <w:sz w:val="20"/>
          <w:szCs w:val="20"/>
        </w:rPr>
        <w:t>njem besedilu</w:t>
      </w:r>
      <w:r w:rsidRPr="00C4171A">
        <w:rPr>
          <w:rFonts w:cs="Arial"/>
          <w:sz w:val="20"/>
          <w:szCs w:val="20"/>
        </w:rPr>
        <w:t>: EU) je obkrožena z nestabilnostjo in konflikti. Stopnja teroristične ogroženosti v EU še naprej ostaja visoka, zato morajo biti tudi ukrepi za preprečevanje in boj proti terorizmu ena od prioritet. Prepletanje zunanje in notranje dimenzije varnosti predstavlja velik izziv za države članice in za celotno EU.</w:t>
      </w:r>
    </w:p>
    <w:p w14:paraId="1D8B1193" w14:textId="77777777" w:rsidR="004A4B82" w:rsidRPr="00C4171A" w:rsidRDefault="004A4B82" w:rsidP="004A4B82">
      <w:pPr>
        <w:tabs>
          <w:tab w:val="left" w:pos="6785"/>
        </w:tabs>
        <w:overflowPunct w:val="0"/>
        <w:autoSpaceDE w:val="0"/>
        <w:spacing w:after="0" w:line="260" w:lineRule="exact"/>
        <w:jc w:val="both"/>
        <w:rPr>
          <w:rFonts w:cs="Arial"/>
          <w:sz w:val="20"/>
          <w:szCs w:val="20"/>
        </w:rPr>
      </w:pPr>
    </w:p>
    <w:p w14:paraId="0BB34008" w14:textId="2BA73FC6" w:rsidR="003A22B2" w:rsidRPr="00AF4154" w:rsidRDefault="003A22B2" w:rsidP="003A22B2">
      <w:pPr>
        <w:autoSpaceDE w:val="0"/>
        <w:autoSpaceDN w:val="0"/>
        <w:adjustRightInd w:val="0"/>
        <w:spacing w:after="0" w:line="260" w:lineRule="exact"/>
        <w:jc w:val="both"/>
        <w:rPr>
          <w:rFonts w:cs="Arial"/>
          <w:sz w:val="20"/>
          <w:szCs w:val="20"/>
        </w:rPr>
      </w:pPr>
      <w:r w:rsidRPr="00AF4154">
        <w:rPr>
          <w:rFonts w:cs="Arial"/>
          <w:sz w:val="20"/>
          <w:szCs w:val="20"/>
        </w:rPr>
        <w:t xml:space="preserve">Varnostne razmere v neposredni soseščini EU in širšem mednarodnem okolju ostajajo nestabilne ter še naprej pomembno vplivajo na notranjo varnost držav članic. Poleg nadaljevanja ruske agresije proti Ukrajini so države članice EU in države kandidatke za članstvo še naprej izpostavljene različnim destabilizacijskim aktivnostim, hibridnim grožnjam, dezinformacijskim kampanjam ter drugim varnostnim tveganjem. </w:t>
      </w:r>
    </w:p>
    <w:p w14:paraId="76AC2F38" w14:textId="77777777" w:rsidR="003A22B2" w:rsidRPr="00AF4154" w:rsidRDefault="003A22B2" w:rsidP="003A22B2">
      <w:pPr>
        <w:autoSpaceDE w:val="0"/>
        <w:autoSpaceDN w:val="0"/>
        <w:adjustRightInd w:val="0"/>
        <w:spacing w:after="0" w:line="260" w:lineRule="exact"/>
        <w:jc w:val="both"/>
        <w:rPr>
          <w:rFonts w:cs="Arial"/>
          <w:sz w:val="20"/>
          <w:szCs w:val="20"/>
        </w:rPr>
      </w:pPr>
    </w:p>
    <w:p w14:paraId="640680F7" w14:textId="3BF16B72" w:rsidR="00342CB0" w:rsidRPr="00AF4154" w:rsidRDefault="00342CB0" w:rsidP="00342CB0">
      <w:pPr>
        <w:autoSpaceDE w:val="0"/>
        <w:autoSpaceDN w:val="0"/>
        <w:adjustRightInd w:val="0"/>
        <w:spacing w:after="0" w:line="260" w:lineRule="exact"/>
        <w:jc w:val="both"/>
        <w:rPr>
          <w:rFonts w:cs="Arial"/>
          <w:sz w:val="20"/>
          <w:szCs w:val="20"/>
        </w:rPr>
      </w:pPr>
      <w:r w:rsidRPr="00AF4154">
        <w:rPr>
          <w:rFonts w:cs="Arial"/>
          <w:sz w:val="20"/>
          <w:szCs w:val="20"/>
        </w:rPr>
        <w:t>Razmere v Siriji ostajajo kompleksne in nestabilne, z nadaljnjimi varnostnimi, političnimi in humanitarnimi izzivi, ki pomembno vplivajo na širše regionalno varnostno okolje. Ocenjuje se, da nestabilne razmere omogočajo ohranjanje določenih struktur, povezanih z nasilnim ekstremizmom, ter ustvarjajo pogoje, ki lahko prispevajo k njihovi ponovni konsolidaciji ali prilagoditvi delovanja. Posebno varnostno občutljivost predstavljajo območja na severovzhodu države, kjer se nahajajo zapori in taborišča z osebami, povezanimi z nekdanjimi terorističnimi organizacijami, vključno s posamezniki, ki so bili identificirani kot tuji teroristični borci ali z njimi povezane osebe, med njimi tudi iz držav</w:t>
      </w:r>
      <w:r w:rsidR="001F0717">
        <w:rPr>
          <w:rFonts w:cs="Arial"/>
          <w:sz w:val="20"/>
          <w:szCs w:val="20"/>
        </w:rPr>
        <w:t xml:space="preserve"> EU</w:t>
      </w:r>
      <w:r w:rsidRPr="00AF4154">
        <w:rPr>
          <w:rFonts w:cs="Arial"/>
          <w:sz w:val="20"/>
          <w:szCs w:val="20"/>
        </w:rPr>
        <w:t xml:space="preserve"> in držav Zahodnega Balkana. Razmere v teh objektih ostajajo nestabilne, pri čemer se kot tveganje izpostavljajo predvsem morebitni varnostni incidenti, pobegi posameznikov ter omejene in selektivne repatriacije v države izvora. Takšni razvojni scenariji bi lahko, v primeru njihove eskalacije ali nenadzorovanega poteka, prispevali k povečanju varnostnih tveganj, povezanih z morebitno radikalizacijo ali ponovnim vključevanjem posameznikov v ekstremistična omrežja.</w:t>
      </w:r>
    </w:p>
    <w:p w14:paraId="0600CF5A" w14:textId="77777777" w:rsidR="00AF4154" w:rsidRPr="00AF4154" w:rsidRDefault="00AF4154" w:rsidP="00342CB0">
      <w:pPr>
        <w:autoSpaceDE w:val="0"/>
        <w:autoSpaceDN w:val="0"/>
        <w:adjustRightInd w:val="0"/>
        <w:spacing w:after="0" w:line="260" w:lineRule="exact"/>
        <w:jc w:val="both"/>
        <w:rPr>
          <w:rFonts w:cs="Arial"/>
          <w:sz w:val="20"/>
          <w:szCs w:val="20"/>
        </w:rPr>
      </w:pPr>
    </w:p>
    <w:p w14:paraId="08C4492D" w14:textId="76CBDAD4" w:rsidR="00AF4154" w:rsidRDefault="003A22B2" w:rsidP="003A22B2">
      <w:pPr>
        <w:autoSpaceDE w:val="0"/>
        <w:autoSpaceDN w:val="0"/>
        <w:adjustRightInd w:val="0"/>
        <w:spacing w:after="0" w:line="260" w:lineRule="exact"/>
        <w:jc w:val="both"/>
        <w:rPr>
          <w:rFonts w:cs="Arial"/>
          <w:sz w:val="20"/>
          <w:szCs w:val="20"/>
        </w:rPr>
      </w:pPr>
      <w:r w:rsidRPr="00AF4154">
        <w:rPr>
          <w:rFonts w:cs="Arial"/>
          <w:sz w:val="20"/>
          <w:szCs w:val="20"/>
        </w:rPr>
        <w:t>Posebno pozornost zahtevajo tudi razmere v povezavi z Iranom in širšim regionalnim dogajanjem na Bližnjem vzhodu. Aktualni konflikti, povečane napetosti ter preplet državnih in nedržavnih akterjev prispevajo k izraziti nepredvidljivosti varnostnega okolja, pri čemer se učinki teh razmer lahko odražajo tudi zunaj neposrednega kriznega območja. Zaznava se povečano tveganje za polarizacijo družb, širjenje radikalizacijskih narativov ter krepitev dejavnikov, ki lahko spodbujajo nasilni ekstremizem in različne oblike politično motiviranega nasilja. Posebej izpostavljeni ostajajo procesi, povezani z delovanjem posredniških mrež ter organizacij, ki delujejo v več jurisdikcijah in izkoriščajo kompleksnost regionalnih konfliktov za širjenje vpliva in operativno delovanje.</w:t>
      </w:r>
    </w:p>
    <w:p w14:paraId="3A51EC81" w14:textId="77777777" w:rsidR="00AF4154" w:rsidRPr="00AF4154" w:rsidRDefault="00AF4154" w:rsidP="00AF4154">
      <w:pPr>
        <w:autoSpaceDE w:val="0"/>
        <w:autoSpaceDN w:val="0"/>
        <w:adjustRightInd w:val="0"/>
        <w:spacing w:after="0" w:line="260" w:lineRule="exact"/>
        <w:jc w:val="both"/>
        <w:rPr>
          <w:rFonts w:cs="Arial"/>
          <w:sz w:val="20"/>
          <w:szCs w:val="20"/>
        </w:rPr>
      </w:pPr>
    </w:p>
    <w:p w14:paraId="16865404" w14:textId="61A1629C" w:rsidR="00AF4154" w:rsidRDefault="00AF4154" w:rsidP="003A22B2">
      <w:pPr>
        <w:autoSpaceDE w:val="0"/>
        <w:autoSpaceDN w:val="0"/>
        <w:adjustRightInd w:val="0"/>
        <w:spacing w:after="0" w:line="260" w:lineRule="exact"/>
        <w:jc w:val="both"/>
        <w:rPr>
          <w:rFonts w:cs="Arial"/>
          <w:sz w:val="20"/>
          <w:szCs w:val="20"/>
        </w:rPr>
      </w:pPr>
      <w:r w:rsidRPr="00AF4154">
        <w:rPr>
          <w:rFonts w:cs="Arial"/>
          <w:sz w:val="20"/>
          <w:szCs w:val="20"/>
        </w:rPr>
        <w:lastRenderedPageBreak/>
        <w:t>Dodatno tveganje predstavlja tudi nadaljnja razširjenost nezakonite trgovine z orožjem v širši regiji, ki je povezana z dolgotrajno nestabilnostjo, fragmentacijo nadzora nad posameznimi območji ter razpoložljivostjo oborožitve iz konfliktnih okolij. V kombinaciji z razvojem novih tehnologij in širšo dostopnostjo orodij za izdelavo orožja ti dejavniki prispevajo k povečanemu varnostnemu tveganju, ki ima lahko tudi čezmejne posledice za države članice EU.</w:t>
      </w:r>
    </w:p>
    <w:p w14:paraId="595F7A6D" w14:textId="77777777" w:rsidR="0010135C" w:rsidRDefault="0010135C" w:rsidP="003A22B2">
      <w:pPr>
        <w:autoSpaceDE w:val="0"/>
        <w:autoSpaceDN w:val="0"/>
        <w:adjustRightInd w:val="0"/>
        <w:spacing w:after="0" w:line="260" w:lineRule="exact"/>
        <w:jc w:val="both"/>
        <w:rPr>
          <w:rFonts w:cs="Arial"/>
          <w:sz w:val="20"/>
          <w:szCs w:val="20"/>
        </w:rPr>
      </w:pPr>
    </w:p>
    <w:p w14:paraId="66D3DAD5" w14:textId="77777777" w:rsidR="001E3C28" w:rsidRDefault="00A742C0" w:rsidP="00A742C0">
      <w:pPr>
        <w:autoSpaceDE w:val="0"/>
        <w:autoSpaceDN w:val="0"/>
        <w:adjustRightInd w:val="0"/>
        <w:spacing w:after="0" w:line="260" w:lineRule="exact"/>
        <w:jc w:val="both"/>
        <w:rPr>
          <w:rFonts w:cs="Arial"/>
          <w:sz w:val="20"/>
          <w:szCs w:val="20"/>
        </w:rPr>
      </w:pPr>
      <w:r w:rsidRPr="00A742C0">
        <w:rPr>
          <w:rFonts w:cs="Arial"/>
          <w:sz w:val="20"/>
          <w:szCs w:val="20"/>
        </w:rPr>
        <w:t>Vse navedene okoliščine prispevajo k večji kompleksnosti varnostnega okolja v EU, kjer se tveganja medsebojno prepletajo, hitro spreminjajo in pogosto prehajajo med različnimi geografskimi ter funkcionalnimi področji. Zaradi kombinacije geopolitičnih vplivov, nestabilnih razmer v širši soseščini EU, hibridnih groženj, digitalne razširjenosti ekstremističnih vsebin, delovanja čezmejnih kriminalnih in ekstremističnih mrež ter povečane mobilnosti oseb je pravočasno zaznavanje varnostno relevantnih vzorcev, premikov in potencialnih groženj vse zahtevnejše. Dodatno tveganje predstavljajo zlorabe zakonitih potovalnih in logističnih kanalov ter možnost prehajanja radikaliziranih posameznikov ali oseb, povezanih z organizirano kriminaliteto in ekstremističnimi omrežji med državami članicami, kar ustvarja trajno obremenjeno in dinamično varnostno sliko EU.</w:t>
      </w:r>
      <w:r>
        <w:rPr>
          <w:rFonts w:cs="Arial"/>
          <w:sz w:val="20"/>
          <w:szCs w:val="20"/>
        </w:rPr>
        <w:t xml:space="preserve"> </w:t>
      </w:r>
    </w:p>
    <w:p w14:paraId="34B67CB9" w14:textId="77777777" w:rsidR="001E3C28" w:rsidRDefault="001E3C28" w:rsidP="00A742C0">
      <w:pPr>
        <w:autoSpaceDE w:val="0"/>
        <w:autoSpaceDN w:val="0"/>
        <w:adjustRightInd w:val="0"/>
        <w:spacing w:after="0" w:line="260" w:lineRule="exact"/>
        <w:jc w:val="both"/>
        <w:rPr>
          <w:rFonts w:cs="Arial"/>
          <w:sz w:val="20"/>
          <w:szCs w:val="20"/>
        </w:rPr>
      </w:pPr>
    </w:p>
    <w:p w14:paraId="27C0FD56" w14:textId="08AFFB03" w:rsidR="00AB00AF" w:rsidRDefault="00A742C0" w:rsidP="003A22B2">
      <w:pPr>
        <w:autoSpaceDE w:val="0"/>
        <w:autoSpaceDN w:val="0"/>
        <w:adjustRightInd w:val="0"/>
        <w:spacing w:after="0" w:line="260" w:lineRule="exact"/>
        <w:jc w:val="both"/>
        <w:rPr>
          <w:rFonts w:cs="Arial"/>
          <w:sz w:val="20"/>
          <w:szCs w:val="20"/>
        </w:rPr>
      </w:pPr>
      <w:r>
        <w:rPr>
          <w:rFonts w:cs="Arial"/>
          <w:sz w:val="20"/>
          <w:szCs w:val="20"/>
        </w:rPr>
        <w:t xml:space="preserve">Nekatera mejna območja ostajajo še posebej </w:t>
      </w:r>
      <w:r w:rsidRPr="00A742C0">
        <w:rPr>
          <w:rFonts w:cs="Arial"/>
          <w:sz w:val="20"/>
          <w:szCs w:val="20"/>
        </w:rPr>
        <w:t>izpostavljena različnim varnostnim pritiskom, povezanim z regionalno nestabilnostjo, hibridnimi grožnjami ter širšimi geopolitičnimi dejavniki, ki izhajajo iz kriznih žarišč v širši soseščini. Dodatne izzive predstavljajo čezmejno delovanje kriminalnih mrež, nezakoniti migracijski tokovi ter zloraba transportnih in logističnih poti, kar povečuje zahtevnost spremljanja in obvladovanja varnostnih tveganj.</w:t>
      </w:r>
    </w:p>
    <w:p w14:paraId="65FA0DFE" w14:textId="77777777" w:rsidR="00AB00AF" w:rsidRPr="00874FE5" w:rsidRDefault="00AB00AF" w:rsidP="003A22B2">
      <w:pPr>
        <w:autoSpaceDE w:val="0"/>
        <w:autoSpaceDN w:val="0"/>
        <w:adjustRightInd w:val="0"/>
        <w:spacing w:after="0" w:line="260" w:lineRule="exact"/>
        <w:jc w:val="both"/>
        <w:rPr>
          <w:rFonts w:eastAsiaTheme="minorHAnsi" w:cs="Arial"/>
          <w:color w:val="4472C4" w:themeColor="accent5"/>
          <w:sz w:val="20"/>
          <w:szCs w:val="20"/>
        </w:rPr>
      </w:pPr>
    </w:p>
    <w:p w14:paraId="3B8325DB" w14:textId="38DA71E4" w:rsidR="00F462D8" w:rsidRPr="00C4171A" w:rsidRDefault="00F462D8" w:rsidP="00F462D8">
      <w:pPr>
        <w:tabs>
          <w:tab w:val="left" w:pos="6785"/>
        </w:tabs>
        <w:overflowPunct w:val="0"/>
        <w:autoSpaceDE w:val="0"/>
        <w:spacing w:after="0" w:line="260" w:lineRule="exact"/>
        <w:jc w:val="both"/>
        <w:rPr>
          <w:rFonts w:eastAsiaTheme="minorHAnsi" w:cs="Arial"/>
          <w:sz w:val="20"/>
          <w:szCs w:val="20"/>
        </w:rPr>
      </w:pPr>
      <w:r w:rsidRPr="00C4171A">
        <w:rPr>
          <w:rFonts w:eastAsiaTheme="minorHAnsi" w:cs="Arial"/>
          <w:sz w:val="20"/>
          <w:szCs w:val="20"/>
        </w:rPr>
        <w:t xml:space="preserve">V tem kontekstu  varnostno tveganje predstavljajo migracijski tokovi, saj je v preteklosti več držav članic </w:t>
      </w:r>
      <w:r>
        <w:rPr>
          <w:rFonts w:eastAsiaTheme="minorHAnsi" w:cs="Arial"/>
          <w:sz w:val="20"/>
          <w:szCs w:val="20"/>
        </w:rPr>
        <w:t>EU</w:t>
      </w:r>
      <w:r w:rsidRPr="00C4171A">
        <w:rPr>
          <w:rFonts w:eastAsiaTheme="minorHAnsi" w:cs="Arial"/>
          <w:sz w:val="20"/>
          <w:szCs w:val="20"/>
        </w:rPr>
        <w:t xml:space="preserve"> potrdilo, da so znotraj tokov po zahodnobalkanski migracijski poti potovali tudi posamezniki, državljani tretjih držav, povezovani s fenomenom tujih terorističnih borcev in radikalizirani posamezniki. Posebno tveganje torej še naprej predstavlja povezanost med mrežami tihotapcev in terorističnimi skupinami oziroma prepletenost kriminalnih ter terorističnih aktivnosti. </w:t>
      </w:r>
    </w:p>
    <w:p w14:paraId="65E32ED1" w14:textId="77777777" w:rsidR="00F462D8" w:rsidRDefault="00F462D8" w:rsidP="00EE50C9">
      <w:pPr>
        <w:tabs>
          <w:tab w:val="left" w:pos="6785"/>
        </w:tabs>
        <w:overflowPunct w:val="0"/>
        <w:autoSpaceDE w:val="0"/>
        <w:spacing w:after="0" w:line="260" w:lineRule="exact"/>
        <w:jc w:val="both"/>
        <w:rPr>
          <w:rFonts w:cs="Arial"/>
          <w:sz w:val="20"/>
          <w:szCs w:val="20"/>
        </w:rPr>
      </w:pPr>
    </w:p>
    <w:p w14:paraId="600BFD37" w14:textId="7D59802A" w:rsidR="00F462D8" w:rsidRPr="00F462D8" w:rsidRDefault="00F462D8" w:rsidP="00F462D8">
      <w:pPr>
        <w:tabs>
          <w:tab w:val="left" w:pos="6785"/>
        </w:tabs>
        <w:overflowPunct w:val="0"/>
        <w:autoSpaceDE w:val="0"/>
        <w:spacing w:after="0" w:line="260" w:lineRule="exact"/>
        <w:jc w:val="both"/>
        <w:rPr>
          <w:rFonts w:eastAsiaTheme="minorHAnsi" w:cs="Arial"/>
          <w:color w:val="0D0D0D" w:themeColor="text1" w:themeTint="F2"/>
          <w:sz w:val="20"/>
          <w:szCs w:val="20"/>
        </w:rPr>
      </w:pPr>
      <w:r w:rsidRPr="00F462D8">
        <w:rPr>
          <w:rFonts w:eastAsiaTheme="minorHAnsi" w:cs="Arial"/>
          <w:color w:val="0D0D0D" w:themeColor="text1" w:themeTint="F2"/>
          <w:sz w:val="20"/>
          <w:szCs w:val="20"/>
        </w:rPr>
        <w:t>V letošnjem letu je</w:t>
      </w:r>
      <w:r w:rsidR="00787F18">
        <w:rPr>
          <w:rFonts w:eastAsiaTheme="minorHAnsi" w:cs="Arial"/>
          <w:color w:val="0D0D0D" w:themeColor="text1" w:themeTint="F2"/>
          <w:sz w:val="20"/>
          <w:szCs w:val="20"/>
        </w:rPr>
        <w:t xml:space="preserve">, glede na podatke do vključno </w:t>
      </w:r>
      <w:r w:rsidR="006F6D9D">
        <w:rPr>
          <w:rFonts w:eastAsiaTheme="minorHAnsi" w:cs="Arial"/>
          <w:color w:val="0D0D0D" w:themeColor="text1" w:themeTint="F2"/>
          <w:sz w:val="20"/>
          <w:szCs w:val="20"/>
        </w:rPr>
        <w:t>30.4.2026</w:t>
      </w:r>
      <w:r w:rsidR="00787F18">
        <w:rPr>
          <w:rFonts w:eastAsiaTheme="minorHAnsi" w:cs="Arial"/>
          <w:color w:val="0D0D0D" w:themeColor="text1" w:themeTint="F2"/>
          <w:sz w:val="20"/>
          <w:szCs w:val="20"/>
        </w:rPr>
        <w:t>,</w:t>
      </w:r>
      <w:r w:rsidRPr="00F462D8">
        <w:rPr>
          <w:rFonts w:eastAsiaTheme="minorHAnsi" w:cs="Arial"/>
          <w:color w:val="0D0D0D" w:themeColor="text1" w:themeTint="F2"/>
          <w:sz w:val="20"/>
          <w:szCs w:val="20"/>
        </w:rPr>
        <w:t xml:space="preserve"> število nedovoljenih prehodov meje vzdolž zahodnobalkanske migracijske poti nižje kot v enakem obdobju leta 2025 (-1</w:t>
      </w:r>
      <w:r w:rsidR="006F6D9D">
        <w:rPr>
          <w:rFonts w:eastAsiaTheme="minorHAnsi" w:cs="Arial"/>
          <w:color w:val="0D0D0D" w:themeColor="text1" w:themeTint="F2"/>
          <w:sz w:val="20"/>
          <w:szCs w:val="20"/>
        </w:rPr>
        <w:t>9</w:t>
      </w:r>
      <w:r w:rsidRPr="00F462D8">
        <w:rPr>
          <w:rFonts w:eastAsiaTheme="minorHAnsi" w:cs="Arial"/>
          <w:color w:val="0D0D0D" w:themeColor="text1" w:themeTint="F2"/>
          <w:sz w:val="20"/>
          <w:szCs w:val="20"/>
        </w:rPr>
        <w:t xml:space="preserve">%, 2 </w:t>
      </w:r>
      <w:r w:rsidR="006F6D9D">
        <w:rPr>
          <w:rFonts w:eastAsiaTheme="minorHAnsi" w:cs="Arial"/>
          <w:color w:val="0D0D0D" w:themeColor="text1" w:themeTint="F2"/>
          <w:sz w:val="20"/>
          <w:szCs w:val="20"/>
        </w:rPr>
        <w:t>2.829</w:t>
      </w:r>
      <w:r w:rsidRPr="00F462D8">
        <w:rPr>
          <w:rFonts w:eastAsiaTheme="minorHAnsi" w:cs="Arial"/>
          <w:color w:val="0D0D0D" w:themeColor="text1" w:themeTint="F2"/>
          <w:sz w:val="20"/>
          <w:szCs w:val="20"/>
        </w:rPr>
        <w:t xml:space="preserve">). Pa vendar odsek poti, ki vodi </w:t>
      </w:r>
      <w:r w:rsidR="001B1ACC">
        <w:rPr>
          <w:rFonts w:eastAsiaTheme="minorHAnsi" w:cs="Arial"/>
          <w:color w:val="0D0D0D" w:themeColor="text1" w:themeTint="F2"/>
          <w:sz w:val="20"/>
          <w:szCs w:val="20"/>
        </w:rPr>
        <w:t>iz</w:t>
      </w:r>
      <w:r w:rsidRPr="00F462D8">
        <w:rPr>
          <w:rFonts w:eastAsiaTheme="minorHAnsi" w:cs="Arial"/>
          <w:color w:val="0D0D0D" w:themeColor="text1" w:themeTint="F2"/>
          <w:sz w:val="20"/>
          <w:szCs w:val="20"/>
        </w:rPr>
        <w:t xml:space="preserve"> Republik</w:t>
      </w:r>
      <w:r w:rsidR="001B1ACC">
        <w:rPr>
          <w:rFonts w:eastAsiaTheme="minorHAnsi" w:cs="Arial"/>
          <w:color w:val="0D0D0D" w:themeColor="text1" w:themeTint="F2"/>
          <w:sz w:val="20"/>
          <w:szCs w:val="20"/>
        </w:rPr>
        <w:t>e</w:t>
      </w:r>
      <w:r w:rsidRPr="00F462D8">
        <w:rPr>
          <w:rFonts w:eastAsiaTheme="minorHAnsi" w:cs="Arial"/>
          <w:color w:val="0D0D0D" w:themeColor="text1" w:themeTint="F2"/>
          <w:sz w:val="20"/>
          <w:szCs w:val="20"/>
        </w:rPr>
        <w:t xml:space="preserve"> Hrvašk</w:t>
      </w:r>
      <w:r w:rsidR="001B1ACC">
        <w:rPr>
          <w:rFonts w:eastAsiaTheme="minorHAnsi" w:cs="Arial"/>
          <w:color w:val="0D0D0D" w:themeColor="text1" w:themeTint="F2"/>
          <w:sz w:val="20"/>
          <w:szCs w:val="20"/>
        </w:rPr>
        <w:t>e</w:t>
      </w:r>
      <w:r w:rsidRPr="00F462D8">
        <w:rPr>
          <w:rFonts w:eastAsiaTheme="minorHAnsi" w:cs="Arial"/>
          <w:color w:val="0D0D0D" w:themeColor="text1" w:themeTint="F2"/>
          <w:sz w:val="20"/>
          <w:szCs w:val="20"/>
        </w:rPr>
        <w:t xml:space="preserve"> v Republiko Slovenijo, poroča o </w:t>
      </w:r>
      <w:r w:rsidR="005D3F10">
        <w:rPr>
          <w:rFonts w:eastAsiaTheme="minorHAnsi" w:cs="Arial"/>
          <w:color w:val="0D0D0D" w:themeColor="text1" w:themeTint="F2"/>
          <w:sz w:val="20"/>
          <w:szCs w:val="20"/>
        </w:rPr>
        <w:t>izrazitem</w:t>
      </w:r>
      <w:r w:rsidR="005D3F10" w:rsidRPr="00F462D8">
        <w:rPr>
          <w:rFonts w:eastAsiaTheme="minorHAnsi" w:cs="Arial"/>
          <w:color w:val="0D0D0D" w:themeColor="text1" w:themeTint="F2"/>
          <w:sz w:val="20"/>
          <w:szCs w:val="20"/>
        </w:rPr>
        <w:t xml:space="preserve"> </w:t>
      </w:r>
      <w:r w:rsidRPr="00F462D8">
        <w:rPr>
          <w:rFonts w:eastAsiaTheme="minorHAnsi" w:cs="Arial"/>
          <w:color w:val="0D0D0D" w:themeColor="text1" w:themeTint="F2"/>
          <w:sz w:val="20"/>
          <w:szCs w:val="20"/>
        </w:rPr>
        <w:t>povečanju nedovoljenih prehodov kot v enakem obdobju lani (+</w:t>
      </w:r>
      <w:r w:rsidR="001B1ACC">
        <w:rPr>
          <w:rFonts w:eastAsiaTheme="minorHAnsi" w:cs="Arial"/>
          <w:color w:val="0D0D0D" w:themeColor="text1" w:themeTint="F2"/>
          <w:sz w:val="20"/>
          <w:szCs w:val="20"/>
        </w:rPr>
        <w:t>63</w:t>
      </w:r>
      <w:r w:rsidRPr="00F462D8">
        <w:rPr>
          <w:rFonts w:eastAsiaTheme="minorHAnsi" w:cs="Arial"/>
          <w:color w:val="0D0D0D" w:themeColor="text1" w:themeTint="F2"/>
          <w:sz w:val="20"/>
          <w:szCs w:val="20"/>
        </w:rPr>
        <w:t xml:space="preserve">%, </w:t>
      </w:r>
      <w:r w:rsidR="005D3F10">
        <w:rPr>
          <w:rFonts w:eastAsiaTheme="minorHAnsi" w:cs="Arial"/>
          <w:color w:val="0D0D0D" w:themeColor="text1" w:themeTint="F2"/>
          <w:sz w:val="20"/>
          <w:szCs w:val="20"/>
        </w:rPr>
        <w:t>8.</w:t>
      </w:r>
      <w:r w:rsidR="001B1ACC">
        <w:rPr>
          <w:rFonts w:eastAsiaTheme="minorHAnsi" w:cs="Arial"/>
          <w:color w:val="0D0D0D" w:themeColor="text1" w:themeTint="F2"/>
          <w:sz w:val="20"/>
          <w:szCs w:val="20"/>
        </w:rPr>
        <w:t>138</w:t>
      </w:r>
      <w:r w:rsidRPr="00F462D8">
        <w:rPr>
          <w:rFonts w:eastAsiaTheme="minorHAnsi" w:cs="Arial"/>
          <w:color w:val="0D0D0D" w:themeColor="text1" w:themeTint="F2"/>
          <w:sz w:val="20"/>
          <w:szCs w:val="20"/>
        </w:rPr>
        <w:t xml:space="preserve">). Južna meja Republike Slovenije ostaja </w:t>
      </w:r>
      <w:r w:rsidR="00D05AB3">
        <w:rPr>
          <w:rFonts w:eastAsiaTheme="minorHAnsi" w:cs="Arial"/>
          <w:color w:val="0D0D0D" w:themeColor="text1" w:themeTint="F2"/>
          <w:sz w:val="20"/>
          <w:szCs w:val="20"/>
        </w:rPr>
        <w:t xml:space="preserve">zelo </w:t>
      </w:r>
      <w:r w:rsidRPr="00F462D8">
        <w:rPr>
          <w:rFonts w:eastAsiaTheme="minorHAnsi" w:cs="Arial"/>
          <w:color w:val="0D0D0D" w:themeColor="text1" w:themeTint="F2"/>
          <w:sz w:val="20"/>
          <w:szCs w:val="20"/>
        </w:rPr>
        <w:t>obremenjena in zahteva sprotno spremljanje in analizo vseh njenih delov.</w:t>
      </w:r>
    </w:p>
    <w:p w14:paraId="1BF34D20" w14:textId="77777777" w:rsidR="00F462D8" w:rsidRDefault="00F462D8" w:rsidP="00EE50C9">
      <w:pPr>
        <w:tabs>
          <w:tab w:val="left" w:pos="6785"/>
        </w:tabs>
        <w:overflowPunct w:val="0"/>
        <w:autoSpaceDE w:val="0"/>
        <w:spacing w:after="0" w:line="260" w:lineRule="exact"/>
        <w:jc w:val="both"/>
        <w:rPr>
          <w:rFonts w:cs="Arial"/>
          <w:color w:val="538135" w:themeColor="accent6" w:themeShade="BF"/>
          <w:sz w:val="20"/>
          <w:szCs w:val="20"/>
        </w:rPr>
      </w:pPr>
    </w:p>
    <w:p w14:paraId="0EF5E317" w14:textId="77777777" w:rsidR="004A4B82" w:rsidRPr="00C4171A" w:rsidRDefault="004A4B82" w:rsidP="004A4B82">
      <w:pPr>
        <w:tabs>
          <w:tab w:val="left" w:pos="6785"/>
        </w:tabs>
        <w:overflowPunct w:val="0"/>
        <w:autoSpaceDE w:val="0"/>
        <w:spacing w:after="0" w:line="260" w:lineRule="exact"/>
        <w:jc w:val="both"/>
        <w:rPr>
          <w:rFonts w:eastAsiaTheme="minorHAnsi" w:cs="Arial"/>
          <w:sz w:val="20"/>
          <w:szCs w:val="20"/>
        </w:rPr>
      </w:pPr>
      <w:r w:rsidRPr="00C4171A">
        <w:rPr>
          <w:rFonts w:cs="Arial"/>
          <w:sz w:val="20"/>
          <w:szCs w:val="20"/>
        </w:rPr>
        <w:t xml:space="preserve">Možnost izvajanja nadzora na notranjih mejah s preverjanjem </w:t>
      </w:r>
      <w:r>
        <w:rPr>
          <w:rFonts w:cs="Arial"/>
          <w:sz w:val="20"/>
          <w:szCs w:val="20"/>
        </w:rPr>
        <w:t>podatkov o potnikih in s pregledovanjem vozil, je pomemben ukrep</w:t>
      </w:r>
      <w:r w:rsidRPr="00C4171A">
        <w:rPr>
          <w:rFonts w:cs="Arial"/>
          <w:sz w:val="20"/>
          <w:szCs w:val="20"/>
        </w:rPr>
        <w:t xml:space="preserve"> </w:t>
      </w:r>
      <w:r>
        <w:rPr>
          <w:rFonts w:cs="Arial"/>
          <w:sz w:val="20"/>
          <w:szCs w:val="20"/>
        </w:rPr>
        <w:t>v boju proti tihotapljenju ljudi in proti nenadzorovanemu gibanju</w:t>
      </w:r>
      <w:r w:rsidRPr="00C4171A">
        <w:rPr>
          <w:rFonts w:cs="Arial"/>
          <w:sz w:val="20"/>
          <w:szCs w:val="20"/>
        </w:rPr>
        <w:t xml:space="preserve"> oseb na ozemlju Republike Slovenije</w:t>
      </w:r>
      <w:r>
        <w:rPr>
          <w:rFonts w:cs="Arial"/>
          <w:sz w:val="20"/>
          <w:szCs w:val="20"/>
        </w:rPr>
        <w:t>.</w:t>
      </w:r>
    </w:p>
    <w:p w14:paraId="6B9EF6F7" w14:textId="77777777" w:rsidR="004A4B82" w:rsidRPr="00AE3960" w:rsidRDefault="004A4B82" w:rsidP="004A4B82">
      <w:pPr>
        <w:tabs>
          <w:tab w:val="left" w:pos="6785"/>
        </w:tabs>
        <w:overflowPunct w:val="0"/>
        <w:autoSpaceDE w:val="0"/>
        <w:spacing w:after="0" w:line="260" w:lineRule="exact"/>
        <w:jc w:val="both"/>
        <w:rPr>
          <w:rFonts w:cs="Arial"/>
          <w:sz w:val="20"/>
          <w:szCs w:val="20"/>
        </w:rPr>
      </w:pPr>
    </w:p>
    <w:p w14:paraId="4C75465C" w14:textId="004174AC" w:rsidR="004A4B82" w:rsidRPr="00AE3960" w:rsidRDefault="004A4B82" w:rsidP="004A4B82">
      <w:pPr>
        <w:autoSpaceDE w:val="0"/>
        <w:autoSpaceDN w:val="0"/>
        <w:adjustRightInd w:val="0"/>
        <w:spacing w:after="0" w:line="260" w:lineRule="exact"/>
        <w:jc w:val="both"/>
        <w:rPr>
          <w:rFonts w:cs="Arial"/>
          <w:sz w:val="20"/>
          <w:szCs w:val="20"/>
        </w:rPr>
      </w:pPr>
      <w:r w:rsidRPr="00AE3960">
        <w:rPr>
          <w:rFonts w:cs="Arial"/>
          <w:sz w:val="20"/>
          <w:szCs w:val="20"/>
        </w:rPr>
        <w:t xml:space="preserve">Poleg potrebe po okrepljenemu boju proti različnim oblikam organiziranega kriminala, vključno s preprečevanjem širjenja orožja, kakor tudi tihotapljenjem ljudi, velja opozoriti tudi na nekatere druge izzive za zagotavljanje varnosti v schengenskem območju kot so hibridne grožnje. Pri tem ne moremo prezreti </w:t>
      </w:r>
      <w:r>
        <w:rPr>
          <w:rFonts w:cs="Arial"/>
          <w:sz w:val="20"/>
          <w:szCs w:val="20"/>
        </w:rPr>
        <w:t>incidentov</w:t>
      </w:r>
      <w:r w:rsidRPr="00AE3960">
        <w:rPr>
          <w:rFonts w:cs="Arial"/>
          <w:sz w:val="20"/>
          <w:szCs w:val="20"/>
        </w:rPr>
        <w:t xml:space="preserve"> na evropskih letališčih</w:t>
      </w:r>
      <w:r>
        <w:rPr>
          <w:rFonts w:cs="Arial"/>
          <w:sz w:val="20"/>
          <w:szCs w:val="20"/>
        </w:rPr>
        <w:t xml:space="preserve"> in v okolici druge kritične infrastrukture, povezanih z brezpilotnimi letalskimi sistemi (droni)</w:t>
      </w:r>
      <w:r w:rsidR="00DC23F1">
        <w:rPr>
          <w:rFonts w:cs="Arial"/>
          <w:sz w:val="20"/>
          <w:szCs w:val="20"/>
        </w:rPr>
        <w:t>,</w:t>
      </w:r>
      <w:r w:rsidR="00DC23F1" w:rsidRPr="00DC23F1">
        <w:rPr>
          <w:rFonts w:cs="Arial"/>
          <w:color w:val="5B9BD5" w:themeColor="accent1"/>
          <w:sz w:val="20"/>
          <w:szCs w:val="20"/>
        </w:rPr>
        <w:t xml:space="preserve"> </w:t>
      </w:r>
      <w:r w:rsidR="00DC23F1" w:rsidRPr="00927C57">
        <w:rPr>
          <w:rFonts w:cs="Arial"/>
          <w:sz w:val="20"/>
          <w:szCs w:val="20"/>
        </w:rPr>
        <w:t>ki</w:t>
      </w:r>
      <w:r w:rsidRPr="00927C57">
        <w:rPr>
          <w:rFonts w:cs="Arial"/>
          <w:sz w:val="20"/>
          <w:szCs w:val="20"/>
        </w:rPr>
        <w:t xml:space="preserve"> </w:t>
      </w:r>
      <w:r>
        <w:rPr>
          <w:rFonts w:cs="Arial"/>
          <w:sz w:val="20"/>
          <w:szCs w:val="20"/>
        </w:rPr>
        <w:t>predstavljajo nove oblike zlonamernih dejanj.</w:t>
      </w:r>
    </w:p>
    <w:p w14:paraId="4A190F2A" w14:textId="77777777" w:rsidR="004A4B82" w:rsidRDefault="004A4B82" w:rsidP="004A4B82">
      <w:pPr>
        <w:autoSpaceDE w:val="0"/>
        <w:autoSpaceDN w:val="0"/>
        <w:adjustRightInd w:val="0"/>
        <w:spacing w:after="0" w:line="260" w:lineRule="exact"/>
        <w:jc w:val="both"/>
        <w:rPr>
          <w:rFonts w:cs="Arial"/>
          <w:color w:val="4472C4" w:themeColor="accent5"/>
          <w:sz w:val="20"/>
          <w:szCs w:val="20"/>
        </w:rPr>
      </w:pPr>
    </w:p>
    <w:p w14:paraId="6007243B" w14:textId="29B0D5BF" w:rsidR="004A4B82" w:rsidRPr="000242F0" w:rsidRDefault="004A4B82" w:rsidP="004A4B82">
      <w:pPr>
        <w:tabs>
          <w:tab w:val="left" w:pos="6785"/>
        </w:tabs>
        <w:overflowPunct w:val="0"/>
        <w:autoSpaceDE w:val="0"/>
        <w:spacing w:after="0" w:line="260" w:lineRule="exact"/>
        <w:jc w:val="both"/>
        <w:rPr>
          <w:rFonts w:cs="Arial"/>
          <w:sz w:val="20"/>
          <w:szCs w:val="20"/>
        </w:rPr>
      </w:pPr>
      <w:r>
        <w:rPr>
          <w:rFonts w:cs="Arial"/>
          <w:sz w:val="20"/>
          <w:szCs w:val="20"/>
        </w:rPr>
        <w:t xml:space="preserve">Ocena </w:t>
      </w:r>
      <w:r w:rsidRPr="000242F0">
        <w:rPr>
          <w:rFonts w:cs="Arial"/>
          <w:sz w:val="20"/>
          <w:szCs w:val="20"/>
        </w:rPr>
        <w:t>teroristične ogroženosti Republike Slovenije</w:t>
      </w:r>
      <w:r>
        <w:rPr>
          <w:rFonts w:cs="Arial"/>
          <w:sz w:val="20"/>
          <w:szCs w:val="20"/>
        </w:rPr>
        <w:t>, ki jo sprejema</w:t>
      </w:r>
      <w:r w:rsidRPr="000242F0">
        <w:rPr>
          <w:rFonts w:cs="Arial"/>
          <w:sz w:val="20"/>
          <w:szCs w:val="20"/>
        </w:rPr>
        <w:t xml:space="preserve"> Medresorska delovna skupina za protiterorizem (MDS-PTR)</w:t>
      </w:r>
      <w:r>
        <w:rPr>
          <w:rFonts w:cs="Arial"/>
          <w:sz w:val="20"/>
          <w:szCs w:val="20"/>
        </w:rPr>
        <w:t>,</w:t>
      </w:r>
      <w:r w:rsidRPr="000242F0">
        <w:rPr>
          <w:rFonts w:cs="Arial"/>
          <w:sz w:val="20"/>
          <w:szCs w:val="20"/>
        </w:rPr>
        <w:t xml:space="preserve"> </w:t>
      </w:r>
      <w:r w:rsidRPr="00874FE5">
        <w:rPr>
          <w:rFonts w:cs="Arial"/>
          <w:sz w:val="20"/>
          <w:szCs w:val="20"/>
        </w:rPr>
        <w:t xml:space="preserve">ostaja na stopnji SREDNJA </w:t>
      </w:r>
      <w:r w:rsidRPr="000242F0">
        <w:rPr>
          <w:rFonts w:cs="Arial"/>
          <w:sz w:val="20"/>
          <w:szCs w:val="20"/>
        </w:rPr>
        <w:t>(tretja od petih stopenj)</w:t>
      </w:r>
      <w:r>
        <w:rPr>
          <w:rFonts w:cs="Arial"/>
          <w:sz w:val="20"/>
          <w:szCs w:val="20"/>
        </w:rPr>
        <w:t xml:space="preserve">. </w:t>
      </w:r>
      <w:r w:rsidRPr="000242F0">
        <w:rPr>
          <w:rFonts w:cs="Arial"/>
          <w:sz w:val="20"/>
          <w:szCs w:val="20"/>
        </w:rPr>
        <w:t xml:space="preserve">Pristojni organi, ki sodelujejo pri delu MDS-PTR </w:t>
      </w:r>
      <w:r w:rsidR="005957AD">
        <w:rPr>
          <w:rFonts w:cs="Arial"/>
          <w:sz w:val="20"/>
          <w:szCs w:val="20"/>
        </w:rPr>
        <w:t xml:space="preserve">so </w:t>
      </w:r>
      <w:r w:rsidR="005957AD" w:rsidRPr="004258BE">
        <w:rPr>
          <w:rFonts w:cs="Arial"/>
          <w:sz w:val="20"/>
          <w:szCs w:val="20"/>
        </w:rPr>
        <w:t>19. 3. 2026</w:t>
      </w:r>
      <w:r w:rsidR="005957AD">
        <w:rPr>
          <w:rFonts w:cs="Arial"/>
          <w:sz w:val="20"/>
          <w:szCs w:val="20"/>
        </w:rPr>
        <w:t xml:space="preserve"> ocenili</w:t>
      </w:r>
      <w:r w:rsidRPr="000242F0">
        <w:rPr>
          <w:rFonts w:cs="Arial"/>
          <w:sz w:val="20"/>
          <w:szCs w:val="20"/>
        </w:rPr>
        <w:t xml:space="preserve">, da je </w:t>
      </w:r>
      <w:r w:rsidR="005957AD">
        <w:rPr>
          <w:rFonts w:cs="Arial"/>
          <w:sz w:val="20"/>
          <w:szCs w:val="20"/>
        </w:rPr>
        <w:t xml:space="preserve">taka </w:t>
      </w:r>
      <w:r w:rsidRPr="000242F0">
        <w:rPr>
          <w:rFonts w:cs="Arial"/>
          <w:sz w:val="20"/>
          <w:szCs w:val="20"/>
        </w:rPr>
        <w:t xml:space="preserve">stopnja teroristične ogroženosti ustrezna zaradi trenutnih zaostrenih varnostnih razmer v Evropi in na Bližnjem </w:t>
      </w:r>
      <w:r w:rsidRPr="000242F0">
        <w:rPr>
          <w:rFonts w:cs="Arial"/>
          <w:sz w:val="20"/>
          <w:szCs w:val="20"/>
        </w:rPr>
        <w:lastRenderedPageBreak/>
        <w:t xml:space="preserve">vzhodu ter številnih pozivov terorističnih organizacij k izvajanju terorističnih in drugih nasilnih dejanj v zahodnih državah. Povišana stopnja teroristične ogroženosti še vedno velja tudi v več drugih državah članicah </w:t>
      </w:r>
      <w:r>
        <w:rPr>
          <w:rFonts w:cs="Arial"/>
          <w:sz w:val="20"/>
          <w:szCs w:val="20"/>
        </w:rPr>
        <w:t>EU</w:t>
      </w:r>
      <w:r w:rsidRPr="000242F0">
        <w:rPr>
          <w:rFonts w:cs="Arial"/>
          <w:sz w:val="20"/>
          <w:szCs w:val="20"/>
        </w:rPr>
        <w:t>. Upoštevaje povezanost schengenskega območja lahko grožnja v eni članici predstavlja grožnjo celotnemu območju oziroma lahko povečana ogroženost v naših sosednjih državah vpliva tudi na varnost v Republiki Sloveniji.</w:t>
      </w:r>
    </w:p>
    <w:p w14:paraId="0D05CD12" w14:textId="77777777" w:rsidR="004A4B82" w:rsidRDefault="004A4B82" w:rsidP="004A4B82">
      <w:pPr>
        <w:pStyle w:val="Brezrazmikov"/>
        <w:spacing w:line="260" w:lineRule="exact"/>
        <w:jc w:val="both"/>
        <w:rPr>
          <w:rFonts w:ascii="Arial" w:hAnsi="Arial" w:cs="Arial"/>
          <w:iCs/>
          <w:color w:val="FF0000"/>
          <w:sz w:val="20"/>
          <w:szCs w:val="20"/>
        </w:rPr>
      </w:pPr>
    </w:p>
    <w:p w14:paraId="3298D2A7" w14:textId="7DA7E80B" w:rsidR="004A4B82" w:rsidRPr="00A168A6" w:rsidRDefault="004A4B82" w:rsidP="004A4B82">
      <w:pPr>
        <w:pStyle w:val="Brezrazmikov"/>
        <w:spacing w:line="260" w:lineRule="exact"/>
        <w:ind w:right="-7"/>
        <w:jc w:val="both"/>
        <w:rPr>
          <w:rFonts w:ascii="Arial" w:hAnsi="Arial" w:cs="Arial"/>
          <w:sz w:val="20"/>
          <w:szCs w:val="20"/>
          <w:shd w:val="clear" w:color="auto" w:fill="FFFFFF"/>
        </w:rPr>
      </w:pPr>
      <w:r w:rsidRPr="00A168A6">
        <w:rPr>
          <w:rFonts w:ascii="Arial" w:hAnsi="Arial" w:cs="Arial"/>
          <w:sz w:val="20"/>
          <w:szCs w:val="20"/>
        </w:rPr>
        <w:t>Iz navedenega izhaja, da resna grožnja javnemu redu oziroma notranji varnosti ostaja, zato  minister, pristojen za notranje zadeve, na podlagi prvega odstavka 36. člena ZNDM-2 v povezavi s 25. in 25.a členom Zakonika o schengenskih mejah, Vladi Republike Slovenije predlaga,</w:t>
      </w:r>
      <w:r w:rsidRPr="00A168A6">
        <w:rPr>
          <w:rFonts w:ascii="Arial" w:hAnsi="Arial" w:cs="Arial"/>
          <w:sz w:val="20"/>
          <w:szCs w:val="20"/>
          <w:shd w:val="clear" w:color="auto" w:fill="FFFFFF"/>
        </w:rPr>
        <w:t xml:space="preserve"> da se Vlada Republike Slovenije seznani z razlogi za podaljšanje nadzora na notranjih mejah Republike Slovenije z Republiko Hrvaško in Madžarsko za obdobje šestih mesecev, to je </w:t>
      </w:r>
      <w:r w:rsidRPr="00422266">
        <w:rPr>
          <w:rFonts w:ascii="Arial" w:hAnsi="Arial" w:cs="Arial"/>
          <w:sz w:val="20"/>
          <w:szCs w:val="20"/>
          <w:shd w:val="clear" w:color="auto" w:fill="FFFFFF"/>
        </w:rPr>
        <w:t xml:space="preserve">od 22. </w:t>
      </w:r>
      <w:r w:rsidR="00B01055">
        <w:rPr>
          <w:rFonts w:ascii="Arial" w:hAnsi="Arial" w:cs="Arial"/>
          <w:sz w:val="20"/>
          <w:szCs w:val="20"/>
          <w:shd w:val="clear" w:color="auto" w:fill="FFFFFF"/>
        </w:rPr>
        <w:t>junija</w:t>
      </w:r>
      <w:r w:rsidRPr="00422266">
        <w:rPr>
          <w:rFonts w:ascii="Arial" w:hAnsi="Arial" w:cs="Arial"/>
          <w:sz w:val="20"/>
          <w:szCs w:val="20"/>
          <w:shd w:val="clear" w:color="auto" w:fill="FFFFFF"/>
        </w:rPr>
        <w:t xml:space="preserve"> 202</w:t>
      </w:r>
      <w:r w:rsidR="00B01055">
        <w:rPr>
          <w:rFonts w:ascii="Arial" w:hAnsi="Arial" w:cs="Arial"/>
          <w:sz w:val="20"/>
          <w:szCs w:val="20"/>
          <w:shd w:val="clear" w:color="auto" w:fill="FFFFFF"/>
        </w:rPr>
        <w:t>6</w:t>
      </w:r>
      <w:r w:rsidRPr="00422266">
        <w:rPr>
          <w:rFonts w:ascii="Arial" w:hAnsi="Arial" w:cs="Arial"/>
          <w:sz w:val="20"/>
          <w:szCs w:val="20"/>
          <w:shd w:val="clear" w:color="auto" w:fill="FFFFFF"/>
        </w:rPr>
        <w:t xml:space="preserve"> do vključno 21. </w:t>
      </w:r>
      <w:r w:rsidR="00B01055">
        <w:rPr>
          <w:rFonts w:ascii="Arial" w:hAnsi="Arial" w:cs="Arial"/>
          <w:sz w:val="20"/>
          <w:szCs w:val="20"/>
          <w:shd w:val="clear" w:color="auto" w:fill="FFFFFF"/>
        </w:rPr>
        <w:t>decembra</w:t>
      </w:r>
      <w:r w:rsidRPr="00422266">
        <w:rPr>
          <w:rFonts w:ascii="Arial" w:hAnsi="Arial" w:cs="Arial"/>
          <w:sz w:val="20"/>
          <w:szCs w:val="20"/>
          <w:shd w:val="clear" w:color="auto" w:fill="FFFFFF"/>
        </w:rPr>
        <w:t xml:space="preserve"> 2026 </w:t>
      </w:r>
      <w:r w:rsidRPr="00A168A6">
        <w:rPr>
          <w:rFonts w:ascii="Arial" w:hAnsi="Arial" w:cs="Arial"/>
          <w:sz w:val="20"/>
          <w:szCs w:val="20"/>
          <w:shd w:val="clear" w:color="auto" w:fill="FFFFFF"/>
        </w:rPr>
        <w:t>ter da Ministrstvo za evropske in zunanje zadeve o tem seznani institucije EU in države članice.</w:t>
      </w:r>
    </w:p>
    <w:p w14:paraId="2BD62377" w14:textId="77777777" w:rsidR="004A4B82" w:rsidRPr="00A168A6" w:rsidRDefault="004A4B82" w:rsidP="004A4B82">
      <w:pPr>
        <w:pStyle w:val="Brezrazmikov"/>
        <w:spacing w:line="260" w:lineRule="exact"/>
        <w:ind w:right="-7"/>
        <w:jc w:val="both"/>
        <w:rPr>
          <w:rFonts w:ascii="Arial" w:hAnsi="Arial" w:cs="Arial"/>
          <w:color w:val="4472C4" w:themeColor="accent5"/>
          <w:sz w:val="20"/>
          <w:szCs w:val="20"/>
          <w:shd w:val="clear" w:color="auto" w:fill="FFFFFF"/>
        </w:rPr>
      </w:pPr>
    </w:p>
    <w:p w14:paraId="511B5B0E" w14:textId="77777777" w:rsidR="004A4B82" w:rsidRPr="00A168A6" w:rsidRDefault="004A4B82" w:rsidP="004A4B82">
      <w:pPr>
        <w:spacing w:after="0" w:line="260" w:lineRule="exact"/>
        <w:jc w:val="both"/>
        <w:rPr>
          <w:rFonts w:eastAsia="Times New Roman" w:cs="Arial"/>
          <w:bCs/>
          <w:kern w:val="36"/>
          <w:sz w:val="20"/>
          <w:szCs w:val="20"/>
          <w:lang w:eastAsia="sl-SI"/>
        </w:rPr>
      </w:pPr>
      <w:r w:rsidRPr="00A168A6">
        <w:rPr>
          <w:rFonts w:cs="Arial"/>
          <w:sz w:val="20"/>
          <w:szCs w:val="20"/>
        </w:rPr>
        <w:t xml:space="preserve">Seznam mejnih prehodov, na katerih bo v času trajanja začasnega ponovnega nadzora dovoljeno prehajati državno mejo, je določen z Odredbo o določitvi mejnih prehodov z Republiko Hrvaško in Madžarsko </w:t>
      </w:r>
      <w:r w:rsidRPr="00A168A6">
        <w:rPr>
          <w:rFonts w:eastAsia="Times New Roman" w:cs="Arial"/>
          <w:bCs/>
          <w:kern w:val="36"/>
          <w:sz w:val="20"/>
          <w:szCs w:val="20"/>
          <w:lang w:eastAsia="sl-SI"/>
        </w:rPr>
        <w:t>na katerih je v času trajanja začasnega ponovnega nadzora dovoljeno prehajati državno mejo (Uradni list RS, št. 107/23)</w:t>
      </w:r>
      <w:r>
        <w:rPr>
          <w:rStyle w:val="Sprotnaopomba-sklic"/>
          <w:rFonts w:eastAsia="Times New Roman" w:cs="Arial"/>
          <w:bCs/>
          <w:kern w:val="36"/>
          <w:sz w:val="20"/>
          <w:szCs w:val="20"/>
          <w:lang w:eastAsia="sl-SI"/>
        </w:rPr>
        <w:footnoteReference w:id="1"/>
      </w:r>
      <w:r w:rsidRPr="00A168A6">
        <w:rPr>
          <w:rFonts w:eastAsia="Times New Roman" w:cs="Arial"/>
          <w:bCs/>
          <w:kern w:val="36"/>
          <w:sz w:val="20"/>
          <w:szCs w:val="20"/>
          <w:lang w:eastAsia="sl-SI"/>
        </w:rPr>
        <w:t>.</w:t>
      </w:r>
    </w:p>
    <w:p w14:paraId="21810539" w14:textId="77777777" w:rsidR="004A4B82" w:rsidRPr="00A168A6" w:rsidRDefault="004A4B82" w:rsidP="004A4B82">
      <w:pPr>
        <w:spacing w:after="0" w:line="260" w:lineRule="exact"/>
        <w:jc w:val="both"/>
        <w:rPr>
          <w:color w:val="4472C4" w:themeColor="accent5"/>
        </w:rPr>
      </w:pPr>
    </w:p>
    <w:p w14:paraId="6DB22D14" w14:textId="77777777" w:rsidR="004A4B82" w:rsidRDefault="004A4B82" w:rsidP="004A4B82">
      <w:pPr>
        <w:pStyle w:val="Telobesedila"/>
        <w:spacing w:line="260" w:lineRule="exact"/>
        <w:jc w:val="both"/>
      </w:pPr>
      <w:r w:rsidRPr="00A168A6">
        <w:t xml:space="preserve">Podaljšanje nadzora na notranjih mejah z Republiko Hrvaško in Madžarsko predstavlja nujen ukrep, ki je sorazmeren glede na ugotovljeno grožnjo. Glede na podatke pristojnih služb je mogoče sklepati, da se varnostna situacija v naslednjih šestih mesecih ne bo izboljšala in bo v tem času potrebno še naprej izvajati ustrezne ukrepe. Izvajanje mejne kontrole na notranjih mejah daje policiji možnost identifikacije oseb, ki vstopajo v državo, s tem pa predstavlja dodatno orodje za obravnavo prepoznane resne grožnje javnemu redu ali notranji varnosti, ki izhaja zlasti iz terorističnih groženj in tveganj, ki jih predstavljajo hude oblike organiziranega kriminala, vključno z omenjenim tihotapljenjem ljudi in trgovine z orožjem. </w:t>
      </w:r>
    </w:p>
    <w:p w14:paraId="74D28DDF" w14:textId="77777777" w:rsidR="00FA6311" w:rsidRDefault="00FA6311" w:rsidP="004A4B82">
      <w:pPr>
        <w:pStyle w:val="Telobesedila"/>
        <w:spacing w:line="260" w:lineRule="exact"/>
        <w:jc w:val="both"/>
      </w:pPr>
    </w:p>
    <w:p w14:paraId="4F37AE5B" w14:textId="735A3076" w:rsidR="00902D63" w:rsidRDefault="00DF26D8" w:rsidP="004A4B82">
      <w:pPr>
        <w:pStyle w:val="Telobesedila"/>
        <w:spacing w:line="260" w:lineRule="exact"/>
        <w:jc w:val="both"/>
      </w:pPr>
      <w:r>
        <w:t xml:space="preserve">Dne </w:t>
      </w:r>
      <w:r w:rsidR="00442DE5" w:rsidRPr="00DF26D8">
        <w:t xml:space="preserve">10. aprila 2026 </w:t>
      </w:r>
      <w:r>
        <w:t xml:space="preserve">se je na zunanjih mejah EU </w:t>
      </w:r>
      <w:r w:rsidR="00442DE5" w:rsidRPr="00DF26D8">
        <w:t xml:space="preserve">v celoti začel uporabljati sistem vstopa in izstopa, </w:t>
      </w:r>
      <w:r>
        <w:t xml:space="preserve">katerega namen je </w:t>
      </w:r>
      <w:r w:rsidR="00A742C0" w:rsidRPr="00A742C0">
        <w:t>večj</w:t>
      </w:r>
      <w:r w:rsidR="00A742C0">
        <w:t xml:space="preserve">a </w:t>
      </w:r>
      <w:r w:rsidR="00A742C0" w:rsidRPr="00A742C0">
        <w:t>učinkovitosti mejnih kontrol</w:t>
      </w:r>
      <w:r w:rsidR="00A742C0">
        <w:t xml:space="preserve">, s tem pa </w:t>
      </w:r>
      <w:r>
        <w:t>omogoč</w:t>
      </w:r>
      <w:r w:rsidR="00A742C0">
        <w:t>anje</w:t>
      </w:r>
      <w:r>
        <w:t xml:space="preserve"> prepoznavanj</w:t>
      </w:r>
      <w:r w:rsidR="00A742C0">
        <w:t>a</w:t>
      </w:r>
      <w:r>
        <w:t xml:space="preserve"> varnostnih tveganj ter nud</w:t>
      </w:r>
      <w:r w:rsidR="00A742C0">
        <w:t>enje</w:t>
      </w:r>
      <w:r>
        <w:t xml:space="preserve"> podpor</w:t>
      </w:r>
      <w:r w:rsidR="00A742C0">
        <w:t>e</w:t>
      </w:r>
      <w:r>
        <w:t xml:space="preserve"> v boju</w:t>
      </w:r>
      <w:r w:rsidRPr="00DF26D8">
        <w:t xml:space="preserve"> hudim kaznivim dejanjem </w:t>
      </w:r>
      <w:r>
        <w:t xml:space="preserve">ter </w:t>
      </w:r>
      <w:r w:rsidRPr="00DF26D8">
        <w:t>terorizmu</w:t>
      </w:r>
      <w:r>
        <w:t xml:space="preserve">. Poleg tega se bodo </w:t>
      </w:r>
      <w:r w:rsidR="005D3F10">
        <w:t xml:space="preserve">junija 2026 </w:t>
      </w:r>
      <w:r>
        <w:t xml:space="preserve">začeli izvajati postopki, predvideni v Paktu o migracijah in azilu, med katerimi </w:t>
      </w:r>
      <w:r w:rsidR="00A742C0">
        <w:t>bo</w:t>
      </w:r>
      <w:r>
        <w:t xml:space="preserve"> </w:t>
      </w:r>
      <w:r w:rsidR="00A742C0">
        <w:t>izjemno pomemben</w:t>
      </w:r>
      <w:r>
        <w:t xml:space="preserve"> </w:t>
      </w:r>
      <w:r w:rsidRPr="00DF26D8">
        <w:t>postopek preverjanja</w:t>
      </w:r>
      <w:r>
        <w:t xml:space="preserve"> na zunanjih mejah. Ta bo vključeval </w:t>
      </w:r>
      <w:r w:rsidR="00442DE5" w:rsidRPr="00DF26D8">
        <w:t>identifikacijo in varnostn</w:t>
      </w:r>
      <w:r>
        <w:t>o</w:t>
      </w:r>
      <w:r w:rsidR="00442DE5" w:rsidRPr="00DF26D8">
        <w:t xml:space="preserve"> preverjanje oseb, ki nedovoljeno vstopajo v EU</w:t>
      </w:r>
      <w:r>
        <w:t>,</w:t>
      </w:r>
      <w:r w:rsidR="00A742C0">
        <w:t xml:space="preserve"> ter njihovo registracijo v sistem Eurodac,</w:t>
      </w:r>
      <w:r>
        <w:t xml:space="preserve"> zaradi česar</w:t>
      </w:r>
      <w:r w:rsidR="00442DE5" w:rsidRPr="00DF26D8">
        <w:t xml:space="preserve"> pričakujemo, da bo pomembno prispeval k zagotavljanju varnejših meja EU. </w:t>
      </w:r>
      <w:r w:rsidR="007A0CC1">
        <w:t>Jeseni 2026 je načrtovan začetek delovanja še enega informacijskega sistema EU, in sicer ETIAS - sistem potovalne odobritve, katero bodo morali pridobiti državljani tretjih držav, pred prihodom na mejni prehod in bodo morali imeti veljavno v celotnem obdobju njihovega prebivanja na ozemlju</w:t>
      </w:r>
      <w:r w:rsidR="00560B1D">
        <w:t>. Ta sistem bo omogočil dodatne postopke preverjanja oseb, že pred njihovim prihodom na mejni prehod.</w:t>
      </w:r>
      <w:r w:rsidR="00554395">
        <w:t xml:space="preserve"> Z uveljavijo navedenih sprememb bodo organi, ki izvajajo mejno kontrolo lahko lažje in bolj učinkovito izvajali mejno kontrolo na zunanjih mejah, kar dodatno razbremenjuje varnostno situacijo na notranjih mejah EU.</w:t>
      </w:r>
      <w:r w:rsidR="007A0CC1">
        <w:t xml:space="preserve"> </w:t>
      </w:r>
    </w:p>
    <w:p w14:paraId="4E3E8BF8" w14:textId="77777777" w:rsidR="00902D63" w:rsidRDefault="00902D63" w:rsidP="004A4B82">
      <w:pPr>
        <w:pStyle w:val="Telobesedila"/>
        <w:spacing w:line="260" w:lineRule="exact"/>
        <w:jc w:val="both"/>
      </w:pPr>
    </w:p>
    <w:p w14:paraId="68F5AC38" w14:textId="5F25CCD2" w:rsidR="009A7DF9" w:rsidRPr="00407D03" w:rsidRDefault="00DF26D8" w:rsidP="009A7DF9">
      <w:pPr>
        <w:pStyle w:val="Telobesedila"/>
        <w:spacing w:line="260" w:lineRule="exact"/>
        <w:jc w:val="both"/>
      </w:pPr>
      <w:r w:rsidRPr="00407D03">
        <w:t xml:space="preserve">Zaradi </w:t>
      </w:r>
      <w:r w:rsidR="009D0B25" w:rsidRPr="00407D03">
        <w:t>naštetih novih orodij</w:t>
      </w:r>
      <w:r w:rsidR="00902D63" w:rsidRPr="00407D03">
        <w:t xml:space="preserve"> </w:t>
      </w:r>
      <w:r w:rsidR="00A26516">
        <w:t xml:space="preserve">in trenda migracijskih tokov </w:t>
      </w:r>
      <w:r w:rsidR="00902D63" w:rsidRPr="00407D03">
        <w:t>se uvaja</w:t>
      </w:r>
      <w:r w:rsidRPr="00407D03">
        <w:t xml:space="preserve"> prilagojen pristop izvajanj</w:t>
      </w:r>
      <w:r w:rsidR="00A54517">
        <w:t>a</w:t>
      </w:r>
      <w:r w:rsidRPr="00407D03">
        <w:t xml:space="preserve"> nadzora na notranjih mejah </w:t>
      </w:r>
      <w:r w:rsidR="008009D4" w:rsidRPr="00407D03">
        <w:t>z Madžarsko in Republiko Hrvaško</w:t>
      </w:r>
      <w:r w:rsidRPr="00407D03">
        <w:t xml:space="preserve">, kot državah z zunanjo kopensko mejo EU. Nadzor </w:t>
      </w:r>
      <w:r w:rsidR="008009D4" w:rsidRPr="00407D03">
        <w:t>na mejnih prehodih</w:t>
      </w:r>
      <w:r w:rsidRPr="00407D03">
        <w:t xml:space="preserve"> z obema državama bi se</w:t>
      </w:r>
      <w:r w:rsidR="008009D4" w:rsidRPr="00407D03">
        <w:t xml:space="preserve"> izvajal le naključno, skladno z analizami tveganja in varnostno situacijo, v večji meri pa b</w:t>
      </w:r>
      <w:r w:rsidRPr="00407D03">
        <w:t xml:space="preserve">i </w:t>
      </w:r>
      <w:r w:rsidR="008009D4" w:rsidRPr="00407D03">
        <w:t xml:space="preserve">policija izvajala okrepljene izravnalne ukrepe na ozemlju celotne Slovenije, predvsem na najbolj pomembnih in varnostno izpostavljenih tranzitnih poteh. </w:t>
      </w:r>
    </w:p>
    <w:p w14:paraId="40444B0A" w14:textId="77777777" w:rsidR="009A7DF9" w:rsidRPr="00407D03" w:rsidRDefault="009A7DF9" w:rsidP="009A7DF9">
      <w:pPr>
        <w:pStyle w:val="Telobesedila"/>
        <w:spacing w:line="260" w:lineRule="exact"/>
        <w:jc w:val="both"/>
      </w:pPr>
    </w:p>
    <w:p w14:paraId="1ABD74F0" w14:textId="482F7AA4" w:rsidR="009A7DF9" w:rsidRPr="00407D03" w:rsidRDefault="009A7DF9" w:rsidP="009A7DF9">
      <w:pPr>
        <w:pStyle w:val="Telobesedila"/>
        <w:spacing w:line="260" w:lineRule="exact"/>
        <w:jc w:val="both"/>
      </w:pPr>
      <w:r w:rsidRPr="00407D03">
        <w:lastRenderedPageBreak/>
        <w:t xml:space="preserve">Podobni odločitvi </w:t>
      </w:r>
      <w:r w:rsidR="00CF166A" w:rsidRPr="00407D03">
        <w:t xml:space="preserve">glede izvajanja nadzora na notranji meji </w:t>
      </w:r>
      <w:r w:rsidRPr="00407D03">
        <w:t>sta sprejel</w:t>
      </w:r>
      <w:r w:rsidR="00CF166A" w:rsidRPr="00407D03">
        <w:t>i</w:t>
      </w:r>
      <w:r w:rsidRPr="00407D03">
        <w:t xml:space="preserve"> Avstrija in Nizozemska,  Avstrija je decembra lani uvedla koncept varovanja državne meje z mešanico izravnalnih ukrepov v notranjosti ter občasnih kontrol na mejnih prehodih, prilagojenih analizam tveganja, Nizozemska pa je napovedala, da bo septembra začel veljati prenovljen nacionalni pravni okvir za policijske kontrole na območjih notranjih meja, ki bo trenutni režim nadomestil z alternativnimi policijskimi ukrepi in izvajanjem okrepljenih policijskih pooblastil v notranjosti.</w:t>
      </w:r>
    </w:p>
    <w:p w14:paraId="229B4699" w14:textId="77777777" w:rsidR="00902D63" w:rsidRDefault="00902D63" w:rsidP="004A4B82">
      <w:pPr>
        <w:pStyle w:val="Telobesedila"/>
        <w:spacing w:line="260" w:lineRule="exact"/>
        <w:jc w:val="both"/>
      </w:pPr>
    </w:p>
    <w:p w14:paraId="441FEB5D" w14:textId="36E8F8BD" w:rsidR="008009D4" w:rsidRDefault="008009D4" w:rsidP="004A4B82">
      <w:pPr>
        <w:pStyle w:val="Telobesedila"/>
        <w:spacing w:line="260" w:lineRule="exact"/>
        <w:jc w:val="both"/>
      </w:pPr>
      <w:r>
        <w:t xml:space="preserve">Ocenjujemo, da </w:t>
      </w:r>
      <w:r w:rsidR="00A742C0">
        <w:t>bi</w:t>
      </w:r>
      <w:r>
        <w:t xml:space="preserve"> </w:t>
      </w:r>
      <w:r w:rsidR="00A742C0">
        <w:t>se</w:t>
      </w:r>
      <w:r>
        <w:t xml:space="preserve"> s tovrstnim </w:t>
      </w:r>
      <w:r w:rsidR="00DF26D8">
        <w:t xml:space="preserve">prožnim načinom izvajanja mejne kontrole razbremenilo delovanje policijskih postaj, zagotovilo večjo prisotnost patrulj na terenu, ter ne bo negativno </w:t>
      </w:r>
      <w:r w:rsidR="00DF26D8" w:rsidRPr="00DF26D8">
        <w:t>vplival</w:t>
      </w:r>
      <w:r w:rsidR="00DF26D8">
        <w:t>o</w:t>
      </w:r>
      <w:r w:rsidR="00DF26D8" w:rsidRPr="00DF26D8">
        <w:t xml:space="preserve"> na življenje prebivalstva ob meji, konkretno na pretok potnikov, na gospodarsko sodelovanje in na okolje</w:t>
      </w:r>
      <w:r w:rsidR="00DF26D8">
        <w:t>.</w:t>
      </w:r>
    </w:p>
    <w:p w14:paraId="7AC18756" w14:textId="77777777" w:rsidR="00902D63" w:rsidRDefault="00902D63" w:rsidP="004A4B82">
      <w:pPr>
        <w:pStyle w:val="Telobesedila"/>
        <w:spacing w:line="260" w:lineRule="exact"/>
        <w:jc w:val="both"/>
      </w:pPr>
    </w:p>
    <w:p w14:paraId="7B24B330" w14:textId="418323A1" w:rsidR="004A4B82" w:rsidRPr="00A168A6" w:rsidRDefault="004A4B82" w:rsidP="004A4B82">
      <w:pPr>
        <w:tabs>
          <w:tab w:val="left" w:pos="6785"/>
        </w:tabs>
        <w:overflowPunct w:val="0"/>
        <w:autoSpaceDE w:val="0"/>
        <w:spacing w:after="0" w:line="260" w:lineRule="exact"/>
        <w:jc w:val="both"/>
        <w:rPr>
          <w:rFonts w:cs="Arial"/>
          <w:sz w:val="20"/>
          <w:szCs w:val="20"/>
        </w:rPr>
      </w:pPr>
      <w:r w:rsidRPr="00A168A6">
        <w:rPr>
          <w:rFonts w:cs="Arial"/>
          <w:sz w:val="20"/>
          <w:szCs w:val="20"/>
        </w:rPr>
        <w:t>Slovenska policija bo še naprej tesno sodelova</w:t>
      </w:r>
      <w:r w:rsidR="00B01055">
        <w:rPr>
          <w:rFonts w:cs="Arial"/>
          <w:sz w:val="20"/>
          <w:szCs w:val="20"/>
        </w:rPr>
        <w:t>la</w:t>
      </w:r>
      <w:r w:rsidRPr="00A168A6">
        <w:rPr>
          <w:rFonts w:cs="Arial"/>
          <w:sz w:val="20"/>
          <w:szCs w:val="20"/>
        </w:rPr>
        <w:t xml:space="preserve"> s policijama obeh držav, s katerima med drugim sodeluje tudi v okviru Centra za sodelovanje varnostnih organov Dolga vas. Kljub začasnemu ponovnemu nadzor</w:t>
      </w:r>
      <w:r>
        <w:rPr>
          <w:rFonts w:cs="Arial"/>
          <w:sz w:val="20"/>
          <w:szCs w:val="20"/>
        </w:rPr>
        <w:t>u</w:t>
      </w:r>
      <w:r w:rsidRPr="00A168A6">
        <w:rPr>
          <w:rFonts w:cs="Arial"/>
          <w:sz w:val="20"/>
          <w:szCs w:val="20"/>
        </w:rPr>
        <w:t xml:space="preserve"> na notranji meji z Republiko Hrvaško in Madžarsko poteka policijsko sodelovanje na podlagi dvostranskih sporazumov z vsemi sosednjimi državami Republike Slovenije. Tako se z vsemi, tudi z Republiko Hrvaško in Madžarsko, nadaljuje izvajanje mešanih patrulj, ki so usmerjene v preprečevanje čezmejne kriminalitete in odkrivanje nedovoljenih prehodov državne meje, s poudarkom na odkrivanju oseb na podlagi indikatorjev za terorizem in ekstremizem, prav tako pa poteka redna izmenjava operativnih in statističnih podatkov o problematiki na skupni meji ter druge oblike policijskega sodelovanja.</w:t>
      </w:r>
    </w:p>
    <w:p w14:paraId="49FB1F77" w14:textId="77777777" w:rsidR="004A4B82" w:rsidRPr="005E7BFD" w:rsidRDefault="004A4B82" w:rsidP="004A4B82">
      <w:pPr>
        <w:tabs>
          <w:tab w:val="left" w:pos="6785"/>
        </w:tabs>
        <w:overflowPunct w:val="0"/>
        <w:autoSpaceDE w:val="0"/>
        <w:spacing w:after="0" w:line="260" w:lineRule="exact"/>
        <w:jc w:val="both"/>
        <w:rPr>
          <w:rFonts w:cs="Arial"/>
          <w:sz w:val="20"/>
          <w:szCs w:val="20"/>
        </w:rPr>
      </w:pPr>
    </w:p>
    <w:p w14:paraId="41F2E8C7" w14:textId="6B3D3828" w:rsidR="004A4B82" w:rsidRPr="005677D6" w:rsidRDefault="004A4B82" w:rsidP="004A4B82">
      <w:pPr>
        <w:tabs>
          <w:tab w:val="left" w:pos="6785"/>
        </w:tabs>
        <w:overflowPunct w:val="0"/>
        <w:autoSpaceDE w:val="0"/>
        <w:spacing w:after="0" w:line="260" w:lineRule="exact"/>
        <w:jc w:val="both"/>
        <w:rPr>
          <w:rFonts w:cs="Arial"/>
          <w:sz w:val="20"/>
          <w:szCs w:val="20"/>
        </w:rPr>
      </w:pPr>
      <w:r w:rsidRPr="005E7BFD">
        <w:rPr>
          <w:rFonts w:cs="Arial"/>
          <w:sz w:val="20"/>
          <w:szCs w:val="20"/>
        </w:rPr>
        <w:t xml:space="preserve">Upoštevajoč aktualno varnostno situacijo se ocenjuje, da </w:t>
      </w:r>
      <w:r w:rsidR="0032796E">
        <w:rPr>
          <w:rFonts w:cs="Arial"/>
          <w:sz w:val="20"/>
          <w:szCs w:val="20"/>
        </w:rPr>
        <w:t xml:space="preserve">zgolj </w:t>
      </w:r>
      <w:r w:rsidRPr="005E7BFD">
        <w:rPr>
          <w:rFonts w:cs="Arial"/>
          <w:sz w:val="20"/>
          <w:szCs w:val="20"/>
        </w:rPr>
        <w:t>uporaba obstoječih alternativnih ukrepov v tem trenutku ne zadošča za dosego ciljev, ki se zasledujejo z nadzorom na notranjih mejah. Podobno tudi uporaba postopka za predajo oseb, ki ga predvideva 23</w:t>
      </w:r>
      <w:r>
        <w:rPr>
          <w:rFonts w:cs="Arial"/>
          <w:sz w:val="20"/>
          <w:szCs w:val="20"/>
        </w:rPr>
        <w:t>.</w:t>
      </w:r>
      <w:r w:rsidRPr="005E7BFD">
        <w:rPr>
          <w:rFonts w:cs="Arial"/>
          <w:sz w:val="20"/>
          <w:szCs w:val="20"/>
        </w:rPr>
        <w:t>a člen Zakonika o schengenskih mejah, v tem trenutku ne predstavlja učinkovite alternative, saj je odvisna od ustreznih dogovorov s sosednjimi državami</w:t>
      </w:r>
      <w:r>
        <w:rPr>
          <w:rFonts w:cs="Arial"/>
          <w:sz w:val="20"/>
          <w:szCs w:val="20"/>
        </w:rPr>
        <w:t>.</w:t>
      </w:r>
      <w:r w:rsidRPr="005E7BFD">
        <w:rPr>
          <w:rFonts w:cs="Arial"/>
          <w:sz w:val="20"/>
          <w:szCs w:val="20"/>
        </w:rPr>
        <w:t xml:space="preserve"> Republika Slovenija si bo tudi v prihodnje prizadevala za izvajanje ukrepov iz Priporočila Komisije (EU) 2024/268 z dne 23. novembra 2023 o sodelovanju med državami članicami v zvezi z resnimi grožnjami notranji varnosti in javnemu redu na območju brez nadzora na notranjih mejah. </w:t>
      </w:r>
    </w:p>
    <w:p w14:paraId="1ED8FE40" w14:textId="77777777" w:rsidR="004A4B82" w:rsidRPr="005E7BFD" w:rsidRDefault="004A4B82" w:rsidP="004A4B82">
      <w:pPr>
        <w:spacing w:after="0" w:line="260" w:lineRule="exact"/>
        <w:jc w:val="both"/>
        <w:rPr>
          <w:rFonts w:cs="Arial"/>
          <w:sz w:val="20"/>
          <w:szCs w:val="20"/>
        </w:rPr>
      </w:pPr>
    </w:p>
    <w:p w14:paraId="059E9C91" w14:textId="77777777" w:rsidR="004A4B82" w:rsidRPr="005E7BFD" w:rsidRDefault="004A4B82" w:rsidP="004A4B82">
      <w:pPr>
        <w:spacing w:after="0" w:line="260" w:lineRule="exact"/>
        <w:jc w:val="both"/>
        <w:rPr>
          <w:rFonts w:cs="Arial"/>
          <w:sz w:val="20"/>
          <w:szCs w:val="20"/>
        </w:rPr>
      </w:pPr>
      <w:r w:rsidRPr="005E7BFD">
        <w:rPr>
          <w:rFonts w:cs="Arial"/>
          <w:sz w:val="20"/>
          <w:szCs w:val="20"/>
        </w:rPr>
        <w:t xml:space="preserve">Nacionalni varnostni organi Republike Slovenije bodo še naprej pozorno spremljali morebitna tveganja in varnostne razmere v državi in širši regiji ter učinke </w:t>
      </w:r>
      <w:r>
        <w:rPr>
          <w:rFonts w:cs="Arial"/>
          <w:sz w:val="20"/>
          <w:szCs w:val="20"/>
        </w:rPr>
        <w:t>uvedenega nadzora</w:t>
      </w:r>
      <w:r w:rsidRPr="005E7BFD">
        <w:rPr>
          <w:rFonts w:cs="Arial"/>
          <w:sz w:val="20"/>
          <w:szCs w:val="20"/>
        </w:rPr>
        <w:t xml:space="preserve"> – s ciljem vrnitve k območju brez nadzora na notranjih mejah, </w:t>
      </w:r>
      <w:r>
        <w:rPr>
          <w:rFonts w:cs="Arial"/>
          <w:sz w:val="20"/>
          <w:szCs w:val="20"/>
        </w:rPr>
        <w:t xml:space="preserve">takoj </w:t>
      </w:r>
      <w:r w:rsidRPr="005E7BFD">
        <w:rPr>
          <w:rFonts w:cs="Arial"/>
          <w:sz w:val="20"/>
          <w:szCs w:val="20"/>
        </w:rPr>
        <w:t xml:space="preserve">ko bodo razmere to dopuščale. </w:t>
      </w:r>
    </w:p>
    <w:p w14:paraId="30E92CCF" w14:textId="77777777" w:rsidR="004A4B82" w:rsidRPr="005E7BFD" w:rsidRDefault="004A4B82" w:rsidP="004A4B82">
      <w:pPr>
        <w:spacing w:after="0" w:line="260" w:lineRule="exact"/>
      </w:pPr>
    </w:p>
    <w:p w14:paraId="7C68DBA2" w14:textId="77777777" w:rsidR="004A4B82" w:rsidRPr="005E7BFD" w:rsidRDefault="004A4B82" w:rsidP="004A4B82"/>
    <w:p w14:paraId="5DBEDF45" w14:textId="77777777" w:rsidR="004A4B82" w:rsidRDefault="004A4B82" w:rsidP="004A4B82"/>
    <w:p w14:paraId="11308D55" w14:textId="77777777" w:rsidR="00897820" w:rsidRDefault="00897820"/>
    <w:sectPr w:rsidR="00897820" w:rsidSect="004A4B82">
      <w:headerReference w:type="even" r:id="rId30"/>
      <w:headerReference w:type="default" r:id="rId31"/>
      <w:footerReference w:type="even" r:id="rId32"/>
      <w:footerReference w:type="default" r:id="rId33"/>
      <w:headerReference w:type="first" r:id="rId34"/>
      <w:pgSz w:w="11900" w:h="16840" w:code="9"/>
      <w:pgMar w:top="193" w:right="1701" w:bottom="1134" w:left="1701" w:header="1635"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3759" w14:textId="77777777" w:rsidR="00362272" w:rsidRDefault="00362272" w:rsidP="004A4B82">
      <w:pPr>
        <w:spacing w:after="0" w:line="240" w:lineRule="auto"/>
      </w:pPr>
      <w:r>
        <w:separator/>
      </w:r>
    </w:p>
  </w:endnote>
  <w:endnote w:type="continuationSeparator" w:id="0">
    <w:p w14:paraId="500FC442" w14:textId="77777777" w:rsidR="00362272" w:rsidRDefault="00362272" w:rsidP="004A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8106" w14:textId="77777777" w:rsidR="004A4B82" w:rsidRDefault="004A4B8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2390" w14:textId="77777777" w:rsidR="004A4B82" w:rsidRDefault="004A4B8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23EE" w14:textId="77777777" w:rsidR="004A4B82" w:rsidRDefault="004A4B82">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22DA" w14:textId="77777777" w:rsidR="00B01055" w:rsidRDefault="00B0105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6F7F31D" w14:textId="77777777" w:rsidR="00B01055" w:rsidRDefault="00B01055">
    <w:pPr>
      <w:pStyle w:val="Nog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2AA4" w14:textId="77777777" w:rsidR="00B01055" w:rsidRDefault="00B0105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3392951E" w14:textId="77777777" w:rsidR="00B01055" w:rsidRDefault="00B01055">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F901" w14:textId="77777777" w:rsidR="00362272" w:rsidRDefault="00362272" w:rsidP="004A4B82">
      <w:pPr>
        <w:spacing w:after="0" w:line="240" w:lineRule="auto"/>
      </w:pPr>
      <w:r>
        <w:separator/>
      </w:r>
    </w:p>
  </w:footnote>
  <w:footnote w:type="continuationSeparator" w:id="0">
    <w:p w14:paraId="31F58F7C" w14:textId="77777777" w:rsidR="00362272" w:rsidRDefault="00362272" w:rsidP="004A4B82">
      <w:pPr>
        <w:spacing w:after="0" w:line="240" w:lineRule="auto"/>
      </w:pPr>
      <w:r>
        <w:continuationSeparator/>
      </w:r>
    </w:p>
  </w:footnote>
  <w:footnote w:id="1">
    <w:p w14:paraId="0AAF0FFB" w14:textId="77777777" w:rsidR="004A4B82" w:rsidRDefault="004A4B82" w:rsidP="004A4B82">
      <w:pPr>
        <w:pStyle w:val="Sprotnaopomba-besedilo"/>
      </w:pPr>
      <w:r>
        <w:rPr>
          <w:rStyle w:val="Sprotnaopomba-sklic"/>
        </w:rPr>
        <w:footnoteRef/>
      </w:r>
      <w:r>
        <w:t xml:space="preserve"> </w:t>
      </w:r>
      <w:r w:rsidRPr="00D33F4B">
        <w:t>https://pisrs.si/pregledPredpisa?id=ODRE2857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C8D4" w14:textId="77777777" w:rsidR="004A4B82" w:rsidRDefault="004A4B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7C18" w14:textId="77777777" w:rsidR="004A4B82" w:rsidRDefault="004A4B8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35CB" w14:textId="77777777" w:rsidR="004A4B82" w:rsidRPr="00E21FF9" w:rsidRDefault="004A4B82" w:rsidP="00094562">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35C8A53B" w14:textId="77777777" w:rsidR="004A4B82" w:rsidRPr="008F3500" w:rsidRDefault="004A4B82" w:rsidP="00094562">
    <w:pPr>
      <w:pStyle w:val="Glava"/>
      <w:tabs>
        <w:tab w:val="left" w:pos="511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5ED1" w14:textId="77777777" w:rsidR="00B01055" w:rsidRDefault="00B01055">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AC8B" w14:textId="77777777" w:rsidR="00B01055" w:rsidRDefault="00B01055">
    <w:pPr>
      <w:pStyle w:val="Glava"/>
      <w:spacing w:line="240" w:lineRule="exact"/>
      <w:rPr>
        <w:rFonts w:ascii="Republika" w:hAnsi="Republika"/>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1743" w14:textId="77777777" w:rsidR="00B01055" w:rsidRPr="00DC107B" w:rsidRDefault="00B01055" w:rsidP="00DC10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4146"/>
    <w:multiLevelType w:val="hybridMultilevel"/>
    <w:tmpl w:val="926A9ACA"/>
    <w:lvl w:ilvl="0" w:tplc="0424000F">
      <w:start w:val="1"/>
      <w:numFmt w:val="decimal"/>
      <w:lvlText w:val="%1."/>
      <w:lvlJc w:val="left"/>
      <w:pPr>
        <w:ind w:left="986" w:hanging="360"/>
      </w:pPr>
      <w:rPr>
        <w:rFonts w:hint="default"/>
      </w:rPr>
    </w:lvl>
    <w:lvl w:ilvl="1" w:tplc="04240019" w:tentative="1">
      <w:start w:val="1"/>
      <w:numFmt w:val="lowerLetter"/>
      <w:lvlText w:val="%2."/>
      <w:lvlJc w:val="left"/>
      <w:pPr>
        <w:ind w:left="1706" w:hanging="360"/>
      </w:pPr>
    </w:lvl>
    <w:lvl w:ilvl="2" w:tplc="0424001B" w:tentative="1">
      <w:start w:val="1"/>
      <w:numFmt w:val="lowerRoman"/>
      <w:lvlText w:val="%3."/>
      <w:lvlJc w:val="right"/>
      <w:pPr>
        <w:ind w:left="2426" w:hanging="180"/>
      </w:pPr>
    </w:lvl>
    <w:lvl w:ilvl="3" w:tplc="0424000F" w:tentative="1">
      <w:start w:val="1"/>
      <w:numFmt w:val="decimal"/>
      <w:lvlText w:val="%4."/>
      <w:lvlJc w:val="left"/>
      <w:pPr>
        <w:ind w:left="3146" w:hanging="360"/>
      </w:pPr>
    </w:lvl>
    <w:lvl w:ilvl="4" w:tplc="04240019" w:tentative="1">
      <w:start w:val="1"/>
      <w:numFmt w:val="lowerLetter"/>
      <w:lvlText w:val="%5."/>
      <w:lvlJc w:val="left"/>
      <w:pPr>
        <w:ind w:left="3866" w:hanging="360"/>
      </w:pPr>
    </w:lvl>
    <w:lvl w:ilvl="5" w:tplc="0424001B" w:tentative="1">
      <w:start w:val="1"/>
      <w:numFmt w:val="lowerRoman"/>
      <w:lvlText w:val="%6."/>
      <w:lvlJc w:val="right"/>
      <w:pPr>
        <w:ind w:left="4586" w:hanging="180"/>
      </w:pPr>
    </w:lvl>
    <w:lvl w:ilvl="6" w:tplc="0424000F" w:tentative="1">
      <w:start w:val="1"/>
      <w:numFmt w:val="decimal"/>
      <w:lvlText w:val="%7."/>
      <w:lvlJc w:val="left"/>
      <w:pPr>
        <w:ind w:left="5306" w:hanging="360"/>
      </w:pPr>
    </w:lvl>
    <w:lvl w:ilvl="7" w:tplc="04240019" w:tentative="1">
      <w:start w:val="1"/>
      <w:numFmt w:val="lowerLetter"/>
      <w:lvlText w:val="%8."/>
      <w:lvlJc w:val="left"/>
      <w:pPr>
        <w:ind w:left="6026" w:hanging="360"/>
      </w:pPr>
    </w:lvl>
    <w:lvl w:ilvl="8" w:tplc="0424001B" w:tentative="1">
      <w:start w:val="1"/>
      <w:numFmt w:val="lowerRoman"/>
      <w:lvlText w:val="%9."/>
      <w:lvlJc w:val="right"/>
      <w:pPr>
        <w:ind w:left="6746" w:hanging="180"/>
      </w:pPr>
    </w:lvl>
  </w:abstractNum>
  <w:abstractNum w:abstractNumId="1" w15:restartNumberingAfterBreak="0">
    <w:nsid w:val="37A8660F"/>
    <w:multiLevelType w:val="hybridMultilevel"/>
    <w:tmpl w:val="274260B8"/>
    <w:lvl w:ilvl="0" w:tplc="0144CAF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1165268"/>
    <w:multiLevelType w:val="hybridMultilevel"/>
    <w:tmpl w:val="30AA5FEC"/>
    <w:lvl w:ilvl="0" w:tplc="CB7283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65853908">
    <w:abstractNumId w:val="2"/>
  </w:num>
  <w:num w:numId="2" w16cid:durableId="694041508">
    <w:abstractNumId w:val="4"/>
  </w:num>
  <w:num w:numId="3" w16cid:durableId="1365132918">
    <w:abstractNumId w:val="1"/>
  </w:num>
  <w:num w:numId="4" w16cid:durableId="510066911">
    <w:abstractNumId w:val="3"/>
  </w:num>
  <w:num w:numId="5" w16cid:durableId="60700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82"/>
    <w:rsid w:val="0005113A"/>
    <w:rsid w:val="000823D4"/>
    <w:rsid w:val="000A3979"/>
    <w:rsid w:val="000B0A05"/>
    <w:rsid w:val="0010135C"/>
    <w:rsid w:val="001B01DC"/>
    <w:rsid w:val="001B1ACC"/>
    <w:rsid w:val="001E3C28"/>
    <w:rsid w:val="001F0717"/>
    <w:rsid w:val="00214AA2"/>
    <w:rsid w:val="002455FC"/>
    <w:rsid w:val="00246087"/>
    <w:rsid w:val="00253F3E"/>
    <w:rsid w:val="0026291D"/>
    <w:rsid w:val="00282610"/>
    <w:rsid w:val="002B3CDA"/>
    <w:rsid w:val="002F2A60"/>
    <w:rsid w:val="0032796E"/>
    <w:rsid w:val="00336137"/>
    <w:rsid w:val="00342CB0"/>
    <w:rsid w:val="00362272"/>
    <w:rsid w:val="00381DB4"/>
    <w:rsid w:val="00383AA0"/>
    <w:rsid w:val="003A22B2"/>
    <w:rsid w:val="003B0360"/>
    <w:rsid w:val="003B442D"/>
    <w:rsid w:val="003D4A04"/>
    <w:rsid w:val="00407D03"/>
    <w:rsid w:val="00420A49"/>
    <w:rsid w:val="004345F0"/>
    <w:rsid w:val="00442DE5"/>
    <w:rsid w:val="004A4B82"/>
    <w:rsid w:val="004C0811"/>
    <w:rsid w:val="00534300"/>
    <w:rsid w:val="00554395"/>
    <w:rsid w:val="00560B1D"/>
    <w:rsid w:val="00585016"/>
    <w:rsid w:val="005957AD"/>
    <w:rsid w:val="005D3F10"/>
    <w:rsid w:val="005D4A9C"/>
    <w:rsid w:val="005F7629"/>
    <w:rsid w:val="00604927"/>
    <w:rsid w:val="00632EA7"/>
    <w:rsid w:val="00633263"/>
    <w:rsid w:val="006C210F"/>
    <w:rsid w:val="006E198E"/>
    <w:rsid w:val="006F0F74"/>
    <w:rsid w:val="006F6D9D"/>
    <w:rsid w:val="00754B99"/>
    <w:rsid w:val="00787F18"/>
    <w:rsid w:val="007A0CC1"/>
    <w:rsid w:val="007A787E"/>
    <w:rsid w:val="007A7D13"/>
    <w:rsid w:val="007B397A"/>
    <w:rsid w:val="008009D4"/>
    <w:rsid w:val="00814E1A"/>
    <w:rsid w:val="00841D51"/>
    <w:rsid w:val="00874FE5"/>
    <w:rsid w:val="00897820"/>
    <w:rsid w:val="008D3553"/>
    <w:rsid w:val="008D7F66"/>
    <w:rsid w:val="00902D63"/>
    <w:rsid w:val="009162A9"/>
    <w:rsid w:val="00927C57"/>
    <w:rsid w:val="009379C7"/>
    <w:rsid w:val="009A156A"/>
    <w:rsid w:val="009A5FFD"/>
    <w:rsid w:val="009A7DF9"/>
    <w:rsid w:val="009D0B25"/>
    <w:rsid w:val="00A26516"/>
    <w:rsid w:val="00A26B2C"/>
    <w:rsid w:val="00A41133"/>
    <w:rsid w:val="00A54517"/>
    <w:rsid w:val="00A742C0"/>
    <w:rsid w:val="00AB00AF"/>
    <w:rsid w:val="00AC6534"/>
    <w:rsid w:val="00AF4154"/>
    <w:rsid w:val="00B01055"/>
    <w:rsid w:val="00B6293D"/>
    <w:rsid w:val="00B65390"/>
    <w:rsid w:val="00BF500F"/>
    <w:rsid w:val="00C963D8"/>
    <w:rsid w:val="00CF166A"/>
    <w:rsid w:val="00CF2374"/>
    <w:rsid w:val="00D04572"/>
    <w:rsid w:val="00D05AB3"/>
    <w:rsid w:val="00D14E5C"/>
    <w:rsid w:val="00D20DC3"/>
    <w:rsid w:val="00DC23F1"/>
    <w:rsid w:val="00DF23A5"/>
    <w:rsid w:val="00DF26D8"/>
    <w:rsid w:val="00E83652"/>
    <w:rsid w:val="00E93FB0"/>
    <w:rsid w:val="00ED476E"/>
    <w:rsid w:val="00ED7778"/>
    <w:rsid w:val="00ED7E3B"/>
    <w:rsid w:val="00EE50C9"/>
    <w:rsid w:val="00F1574C"/>
    <w:rsid w:val="00F462D8"/>
    <w:rsid w:val="00F731C4"/>
    <w:rsid w:val="00F96675"/>
    <w:rsid w:val="00FA6311"/>
    <w:rsid w:val="00FC3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DBDD"/>
  <w15:chartTrackingRefBased/>
  <w15:docId w15:val="{1D83CC78-5C1C-47D7-BD78-BD00BF48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4B82"/>
    <w:rPr>
      <w:rFonts w:ascii="Arial" w:eastAsia="Calibri" w:hAnsi="Arial" w:cs="Times New Roman"/>
      <w:kern w:val="0"/>
      <w14:ligatures w14:val="none"/>
    </w:rPr>
  </w:style>
  <w:style w:type="paragraph" w:styleId="Naslov1">
    <w:name w:val="heading 1"/>
    <w:basedOn w:val="Navaden"/>
    <w:next w:val="Navaden"/>
    <w:link w:val="Naslov1Znak"/>
    <w:uiPriority w:val="9"/>
    <w:qFormat/>
    <w:rsid w:val="004A4B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4A4B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4A4B82"/>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4A4B82"/>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4A4B82"/>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4A4B8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A4B8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A4B8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A4B8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A4B82"/>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4A4B82"/>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4A4B82"/>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4A4B82"/>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4A4B82"/>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4A4B8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A4B8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A4B8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A4B82"/>
    <w:rPr>
      <w:rFonts w:eastAsiaTheme="majorEastAsia" w:cstheme="majorBidi"/>
      <w:color w:val="272727" w:themeColor="text1" w:themeTint="D8"/>
    </w:rPr>
  </w:style>
  <w:style w:type="paragraph" w:styleId="Naslov">
    <w:name w:val="Title"/>
    <w:basedOn w:val="Navaden"/>
    <w:next w:val="Navaden"/>
    <w:link w:val="NaslovZnak"/>
    <w:uiPriority w:val="10"/>
    <w:qFormat/>
    <w:rsid w:val="004A4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A4B8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A4B8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A4B8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A4B82"/>
    <w:pPr>
      <w:spacing w:before="160"/>
      <w:jc w:val="center"/>
    </w:pPr>
    <w:rPr>
      <w:i/>
      <w:iCs/>
      <w:color w:val="404040" w:themeColor="text1" w:themeTint="BF"/>
    </w:rPr>
  </w:style>
  <w:style w:type="character" w:customStyle="1" w:styleId="CitatZnak">
    <w:name w:val="Citat Znak"/>
    <w:basedOn w:val="Privzetapisavaodstavka"/>
    <w:link w:val="Citat"/>
    <w:uiPriority w:val="29"/>
    <w:rsid w:val="004A4B82"/>
    <w:rPr>
      <w:i/>
      <w:iCs/>
      <w:color w:val="404040" w:themeColor="text1" w:themeTint="BF"/>
    </w:rPr>
  </w:style>
  <w:style w:type="paragraph" w:styleId="Odstavekseznama">
    <w:name w:val="List Paragraph"/>
    <w:basedOn w:val="Navaden"/>
    <w:uiPriority w:val="34"/>
    <w:qFormat/>
    <w:rsid w:val="004A4B82"/>
    <w:pPr>
      <w:ind w:left="720"/>
      <w:contextualSpacing/>
    </w:pPr>
  </w:style>
  <w:style w:type="character" w:styleId="Intenzivenpoudarek">
    <w:name w:val="Intense Emphasis"/>
    <w:basedOn w:val="Privzetapisavaodstavka"/>
    <w:uiPriority w:val="21"/>
    <w:qFormat/>
    <w:rsid w:val="004A4B82"/>
    <w:rPr>
      <w:i/>
      <w:iCs/>
      <w:color w:val="2E74B5" w:themeColor="accent1" w:themeShade="BF"/>
    </w:rPr>
  </w:style>
  <w:style w:type="paragraph" w:styleId="Intenzivencitat">
    <w:name w:val="Intense Quote"/>
    <w:basedOn w:val="Navaden"/>
    <w:next w:val="Navaden"/>
    <w:link w:val="IntenzivencitatZnak"/>
    <w:uiPriority w:val="30"/>
    <w:qFormat/>
    <w:rsid w:val="004A4B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4A4B82"/>
    <w:rPr>
      <w:i/>
      <w:iCs/>
      <w:color w:val="2E74B5" w:themeColor="accent1" w:themeShade="BF"/>
    </w:rPr>
  </w:style>
  <w:style w:type="character" w:styleId="Intenzivensklic">
    <w:name w:val="Intense Reference"/>
    <w:basedOn w:val="Privzetapisavaodstavka"/>
    <w:uiPriority w:val="32"/>
    <w:qFormat/>
    <w:rsid w:val="004A4B82"/>
    <w:rPr>
      <w:b/>
      <w:bCs/>
      <w:smallCaps/>
      <w:color w:val="2E74B5" w:themeColor="accent1" w:themeShade="BF"/>
      <w:spacing w:val="5"/>
    </w:rPr>
  </w:style>
  <w:style w:type="paragraph" w:styleId="Glava">
    <w:name w:val="header"/>
    <w:basedOn w:val="Navaden"/>
    <w:link w:val="GlavaZnak"/>
    <w:uiPriority w:val="99"/>
    <w:unhideWhenUsed/>
    <w:rsid w:val="004A4B82"/>
    <w:pPr>
      <w:tabs>
        <w:tab w:val="center" w:pos="4536"/>
        <w:tab w:val="right" w:pos="9072"/>
      </w:tabs>
    </w:pPr>
  </w:style>
  <w:style w:type="character" w:customStyle="1" w:styleId="GlavaZnak">
    <w:name w:val="Glava Znak"/>
    <w:basedOn w:val="Privzetapisavaodstavka"/>
    <w:link w:val="Glava"/>
    <w:uiPriority w:val="99"/>
    <w:rsid w:val="004A4B82"/>
    <w:rPr>
      <w:rFonts w:ascii="Arial" w:eastAsia="Calibri" w:hAnsi="Arial" w:cs="Times New Roman"/>
      <w:kern w:val="0"/>
      <w14:ligatures w14:val="none"/>
    </w:rPr>
  </w:style>
  <w:style w:type="paragraph" w:styleId="Noga">
    <w:name w:val="footer"/>
    <w:basedOn w:val="Navaden"/>
    <w:link w:val="NogaZnak"/>
    <w:uiPriority w:val="99"/>
    <w:unhideWhenUsed/>
    <w:rsid w:val="004A4B82"/>
    <w:pPr>
      <w:tabs>
        <w:tab w:val="center" w:pos="4536"/>
        <w:tab w:val="right" w:pos="9072"/>
      </w:tabs>
    </w:pPr>
  </w:style>
  <w:style w:type="character" w:customStyle="1" w:styleId="NogaZnak">
    <w:name w:val="Noga Znak"/>
    <w:basedOn w:val="Privzetapisavaodstavka"/>
    <w:link w:val="Noga"/>
    <w:uiPriority w:val="99"/>
    <w:rsid w:val="004A4B82"/>
    <w:rPr>
      <w:rFonts w:ascii="Arial" w:eastAsia="Calibri" w:hAnsi="Arial" w:cs="Times New Roman"/>
      <w:kern w:val="0"/>
      <w14:ligatures w14:val="none"/>
    </w:rPr>
  </w:style>
  <w:style w:type="character" w:styleId="tevilkastrani">
    <w:name w:val="page number"/>
    <w:semiHidden/>
    <w:rsid w:val="004A4B82"/>
    <w:rPr>
      <w:rFonts w:cs="Times New Roman"/>
    </w:rPr>
  </w:style>
  <w:style w:type="character" w:styleId="Hiperpovezava">
    <w:name w:val="Hyperlink"/>
    <w:uiPriority w:val="99"/>
    <w:unhideWhenUsed/>
    <w:rsid w:val="004A4B82"/>
    <w:rPr>
      <w:color w:val="0000FF"/>
      <w:u w:val="single"/>
    </w:rPr>
  </w:style>
  <w:style w:type="paragraph" w:styleId="Brezrazmikov">
    <w:name w:val="No Spacing"/>
    <w:uiPriority w:val="1"/>
    <w:qFormat/>
    <w:rsid w:val="004A4B82"/>
    <w:pPr>
      <w:spacing w:after="0" w:line="240" w:lineRule="auto"/>
    </w:pPr>
    <w:rPr>
      <w:kern w:val="0"/>
      <w14:ligatures w14:val="none"/>
    </w:rPr>
  </w:style>
  <w:style w:type="paragraph" w:styleId="Telobesedila">
    <w:name w:val="Body Text"/>
    <w:basedOn w:val="Navaden"/>
    <w:link w:val="TelobesedilaZnak"/>
    <w:uiPriority w:val="1"/>
    <w:qFormat/>
    <w:rsid w:val="004A4B82"/>
    <w:pPr>
      <w:widowControl w:val="0"/>
      <w:autoSpaceDE w:val="0"/>
      <w:autoSpaceDN w:val="0"/>
      <w:spacing w:after="0" w:line="240" w:lineRule="auto"/>
    </w:pPr>
    <w:rPr>
      <w:rFonts w:eastAsia="Arial" w:cs="Arial"/>
      <w:sz w:val="20"/>
      <w:szCs w:val="20"/>
    </w:rPr>
  </w:style>
  <w:style w:type="character" w:customStyle="1" w:styleId="TelobesedilaZnak">
    <w:name w:val="Telo besedila Znak"/>
    <w:basedOn w:val="Privzetapisavaodstavka"/>
    <w:link w:val="Telobesedila"/>
    <w:uiPriority w:val="1"/>
    <w:rsid w:val="004A4B82"/>
    <w:rPr>
      <w:rFonts w:ascii="Arial" w:eastAsia="Arial" w:hAnsi="Arial" w:cs="Arial"/>
      <w:kern w:val="0"/>
      <w:sz w:val="20"/>
      <w:szCs w:val="20"/>
      <w14:ligatures w14:val="none"/>
    </w:rPr>
  </w:style>
  <w:style w:type="character" w:styleId="Poudarek">
    <w:name w:val="Emphasis"/>
    <w:basedOn w:val="Privzetapisavaodstavka"/>
    <w:uiPriority w:val="20"/>
    <w:qFormat/>
    <w:rsid w:val="004A4B82"/>
    <w:rPr>
      <w:i/>
      <w:iCs/>
    </w:rPr>
  </w:style>
  <w:style w:type="paragraph" w:styleId="Sprotnaopomba-besedilo">
    <w:name w:val="footnote text"/>
    <w:basedOn w:val="Navaden"/>
    <w:link w:val="Sprotnaopomba-besediloZnak"/>
    <w:uiPriority w:val="99"/>
    <w:semiHidden/>
    <w:unhideWhenUsed/>
    <w:rsid w:val="004A4B8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A4B82"/>
    <w:rPr>
      <w:rFonts w:ascii="Arial" w:eastAsia="Calibri" w:hAnsi="Arial" w:cs="Times New Roman"/>
      <w:kern w:val="0"/>
      <w:sz w:val="20"/>
      <w:szCs w:val="20"/>
      <w14:ligatures w14:val="none"/>
    </w:rPr>
  </w:style>
  <w:style w:type="character" w:styleId="Sprotnaopomba-sklic">
    <w:name w:val="footnote reference"/>
    <w:basedOn w:val="Privzetapisavaodstavka"/>
    <w:uiPriority w:val="99"/>
    <w:semiHidden/>
    <w:unhideWhenUsed/>
    <w:rsid w:val="004A4B82"/>
    <w:rPr>
      <w:vertAlign w:val="superscript"/>
    </w:rPr>
  </w:style>
  <w:style w:type="paragraph" w:customStyle="1" w:styleId="Naslovpredpisa">
    <w:name w:val="Naslov_predpisa"/>
    <w:basedOn w:val="Navaden"/>
    <w:link w:val="NaslovpredpisaZnak"/>
    <w:qFormat/>
    <w:rsid w:val="006E198E"/>
    <w:pPr>
      <w:suppressAutoHyphens/>
      <w:overflowPunct w:val="0"/>
      <w:autoSpaceDE w:val="0"/>
      <w:autoSpaceDN w:val="0"/>
      <w:adjustRightInd w:val="0"/>
      <w:spacing w:before="120" w:line="200" w:lineRule="exact"/>
      <w:jc w:val="center"/>
      <w:textAlignment w:val="baseline"/>
    </w:pPr>
    <w:rPr>
      <w:rFonts w:eastAsia="Times New Roman" w:cs="Arial"/>
      <w:b/>
      <w:lang w:eastAsia="sl-SI"/>
    </w:rPr>
  </w:style>
  <w:style w:type="character" w:customStyle="1" w:styleId="NaslovpredpisaZnak">
    <w:name w:val="Naslov_predpisa Znak"/>
    <w:link w:val="Naslovpredpisa"/>
    <w:rsid w:val="006E198E"/>
    <w:rPr>
      <w:rFonts w:ascii="Arial" w:eastAsia="Times New Roman" w:hAnsi="Arial" w:cs="Arial"/>
      <w:b/>
      <w:kern w:val="0"/>
      <w:lang w:eastAsia="sl-SI"/>
      <w14:ligatures w14:val="none"/>
    </w:rPr>
  </w:style>
  <w:style w:type="paragraph" w:styleId="Revizija">
    <w:name w:val="Revision"/>
    <w:hidden/>
    <w:uiPriority w:val="99"/>
    <w:semiHidden/>
    <w:rsid w:val="002B3CDA"/>
    <w:pPr>
      <w:spacing w:after="0" w:line="240" w:lineRule="auto"/>
    </w:pPr>
    <w:rPr>
      <w:rFonts w:ascii="Arial" w:eastAsia="Calibri" w:hAnsi="Arial" w:cs="Times New Roman"/>
      <w:kern w:val="0"/>
      <w14:ligatures w14:val="none"/>
    </w:rPr>
  </w:style>
  <w:style w:type="character" w:styleId="Pripombasklic">
    <w:name w:val="annotation reference"/>
    <w:basedOn w:val="Privzetapisavaodstavka"/>
    <w:uiPriority w:val="99"/>
    <w:semiHidden/>
    <w:unhideWhenUsed/>
    <w:rsid w:val="00336137"/>
    <w:rPr>
      <w:sz w:val="16"/>
      <w:szCs w:val="16"/>
    </w:rPr>
  </w:style>
  <w:style w:type="paragraph" w:styleId="Pripombabesedilo">
    <w:name w:val="annotation text"/>
    <w:basedOn w:val="Navaden"/>
    <w:link w:val="PripombabesediloZnak"/>
    <w:uiPriority w:val="99"/>
    <w:semiHidden/>
    <w:unhideWhenUsed/>
    <w:rsid w:val="0033613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36137"/>
    <w:rPr>
      <w:rFonts w:ascii="Arial" w:eastAsia="Calibri" w:hAnsi="Arial"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336137"/>
    <w:rPr>
      <w:b/>
      <w:bCs/>
    </w:rPr>
  </w:style>
  <w:style w:type="character" w:customStyle="1" w:styleId="ZadevapripombeZnak">
    <w:name w:val="Zadeva pripombe Znak"/>
    <w:basedOn w:val="PripombabesediloZnak"/>
    <w:link w:val="Zadevapripombe"/>
    <w:uiPriority w:val="99"/>
    <w:semiHidden/>
    <w:rsid w:val="00336137"/>
    <w:rPr>
      <w:rFonts w:ascii="Arial" w:eastAsia="Calibri" w:hAnsi="Arial" w:cs="Times New Roman"/>
      <w:b/>
      <w:bCs/>
      <w:kern w:val="0"/>
      <w:sz w:val="20"/>
      <w:szCs w:val="20"/>
      <w14:ligatures w14:val="none"/>
    </w:rPr>
  </w:style>
  <w:style w:type="paragraph" w:styleId="Besedilooblaka">
    <w:name w:val="Balloon Text"/>
    <w:basedOn w:val="Navaden"/>
    <w:link w:val="BesedilooblakaZnak"/>
    <w:uiPriority w:val="99"/>
    <w:semiHidden/>
    <w:unhideWhenUsed/>
    <w:rsid w:val="007A0CC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A0CC1"/>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62260">
      <w:bodyDiv w:val="1"/>
      <w:marLeft w:val="0"/>
      <w:marRight w:val="0"/>
      <w:marTop w:val="0"/>
      <w:marBottom w:val="0"/>
      <w:divBdr>
        <w:top w:val="none" w:sz="0" w:space="0" w:color="auto"/>
        <w:left w:val="none" w:sz="0" w:space="0" w:color="auto"/>
        <w:bottom w:val="none" w:sz="0" w:space="0" w:color="auto"/>
        <w:right w:val="none" w:sz="0" w:space="0" w:color="auto"/>
      </w:divBdr>
      <w:divsChild>
        <w:div w:id="1826582517">
          <w:marLeft w:val="0"/>
          <w:marRight w:val="0"/>
          <w:marTop w:val="480"/>
          <w:marBottom w:val="72"/>
          <w:divBdr>
            <w:top w:val="none" w:sz="0" w:space="0" w:color="auto"/>
            <w:left w:val="none" w:sz="0" w:space="0" w:color="auto"/>
            <w:bottom w:val="none" w:sz="0" w:space="0" w:color="auto"/>
            <w:right w:val="none" w:sz="0" w:space="0" w:color="auto"/>
          </w:divBdr>
        </w:div>
        <w:div w:id="599066639">
          <w:marLeft w:val="0"/>
          <w:marRight w:val="0"/>
          <w:marTop w:val="0"/>
          <w:marBottom w:val="72"/>
          <w:divBdr>
            <w:top w:val="none" w:sz="0" w:space="0" w:color="auto"/>
            <w:left w:val="none" w:sz="0" w:space="0" w:color="auto"/>
            <w:bottom w:val="none" w:sz="0" w:space="0" w:color="auto"/>
            <w:right w:val="none" w:sz="0" w:space="0" w:color="auto"/>
          </w:divBdr>
        </w:div>
      </w:divsChild>
    </w:div>
    <w:div w:id="2060200940">
      <w:bodyDiv w:val="1"/>
      <w:marLeft w:val="0"/>
      <w:marRight w:val="0"/>
      <w:marTop w:val="0"/>
      <w:marBottom w:val="0"/>
      <w:divBdr>
        <w:top w:val="none" w:sz="0" w:space="0" w:color="auto"/>
        <w:left w:val="none" w:sz="0" w:space="0" w:color="auto"/>
        <w:bottom w:val="none" w:sz="0" w:space="0" w:color="auto"/>
        <w:right w:val="none" w:sz="0" w:space="0" w:color="auto"/>
      </w:divBdr>
      <w:divsChild>
        <w:div w:id="1216700828">
          <w:marLeft w:val="0"/>
          <w:marRight w:val="0"/>
          <w:marTop w:val="480"/>
          <w:marBottom w:val="72"/>
          <w:divBdr>
            <w:top w:val="none" w:sz="0" w:space="0" w:color="auto"/>
            <w:left w:val="none" w:sz="0" w:space="0" w:color="auto"/>
            <w:bottom w:val="none" w:sz="0" w:space="0" w:color="auto"/>
            <w:right w:val="none" w:sz="0" w:space="0" w:color="auto"/>
          </w:divBdr>
        </w:div>
        <w:div w:id="1184514379">
          <w:marLeft w:val="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22-01-0555" TargetMode="External"/><Relationship Id="rId18" Type="http://schemas.openxmlformats.org/officeDocument/2006/relationships/footer" Target="footer2.xml"/><Relationship Id="rId26" Type="http://schemas.openxmlformats.org/officeDocument/2006/relationships/hyperlink" Target="http://www.uradni-list.si/1/objava.jsp?sop=2020-01-2451" TargetMode="External"/><Relationship Id="rId3" Type="http://schemas.openxmlformats.org/officeDocument/2006/relationships/styles" Target="styles.xml"/><Relationship Id="rId21" Type="http://schemas.openxmlformats.org/officeDocument/2006/relationships/hyperlink" Target="http://www.uradni-list.si/1/objava.jsp?sop=2010-01-1696"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uradni-list.si/1/objava.jsp?sop=2013-01-0435" TargetMode="External"/><Relationship Id="rId17" Type="http://schemas.openxmlformats.org/officeDocument/2006/relationships/footer" Target="footer1.xml"/><Relationship Id="rId25" Type="http://schemas.openxmlformats.org/officeDocument/2006/relationships/hyperlink" Target="http://www.uradni-list.si/1/objava.jsp?sop=2019-01-2287"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uradni-list.si/1/objava.jsp?sop=2023-01-2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696" TargetMode="External"/><Relationship Id="rId24" Type="http://schemas.openxmlformats.org/officeDocument/2006/relationships/hyperlink" Target="http://www.uradni-list.si/1/objava.jsp?sop=2017-01-3191"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uradni-list.si/1/objava.jsp?sop=2017-01-0224" TargetMode="External"/><Relationship Id="rId28" Type="http://schemas.openxmlformats.org/officeDocument/2006/relationships/hyperlink" Target="http://www.uradni-list.si/1/objava.jsp?sop=2022-01-0555" TargetMode="External"/><Relationship Id="rId36" Type="http://schemas.openxmlformats.org/officeDocument/2006/relationships/theme" Target="theme/theme1.xml"/><Relationship Id="rId10" Type="http://schemas.openxmlformats.org/officeDocument/2006/relationships/hyperlink" Target="mailto:Gp.gs@gov.si" TargetMode="Externa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mnz.gov.si" TargetMode="External"/><Relationship Id="rId14" Type="http://schemas.openxmlformats.org/officeDocument/2006/relationships/hyperlink" Target="http://www.uradni-list.si/1/objava.jsp?sop=2023-01-2390" TargetMode="External"/><Relationship Id="rId22" Type="http://schemas.openxmlformats.org/officeDocument/2006/relationships/hyperlink" Target="http://www.uradni-list.si/1/objava.jsp?sop=2013-01-0435" TargetMode="External"/><Relationship Id="rId27" Type="http://schemas.openxmlformats.org/officeDocument/2006/relationships/hyperlink" Target="http://www.uradni-list.si/1/objava.jsp?sop=2021-01-3057" TargetMode="Externa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6E8D63-267C-4FDA-8415-F87FFF04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3634</Words>
  <Characters>20715</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Aleksandra Marolt Vajda</dc:creator>
  <cp:keywords/>
  <dc:description/>
  <cp:lastModifiedBy>Slovenia</cp:lastModifiedBy>
  <cp:revision>14</cp:revision>
  <dcterms:created xsi:type="dcterms:W3CDTF">2026-05-18T08:28:00Z</dcterms:created>
  <dcterms:modified xsi:type="dcterms:W3CDTF">2026-05-18T10:56:00Z</dcterms:modified>
</cp:coreProperties>
</file>