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0571" w14:textId="77777777" w:rsidR="00BD6A1D" w:rsidRPr="00BD6A1D" w:rsidRDefault="001E63EF" w:rsidP="00683232">
      <w:pPr>
        <w:pStyle w:val="Glava"/>
        <w:tabs>
          <w:tab w:val="left" w:pos="5103"/>
        </w:tabs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Dunajska cesta 21</w:t>
      </w:r>
      <w:r w:rsidR="00BD6A1D" w:rsidRPr="00BD6A1D">
        <w:rPr>
          <w:rFonts w:cs="Arial"/>
          <w:sz w:val="16"/>
          <w:szCs w:val="16"/>
        </w:rPr>
        <w:t>, 1000 Ljubljana</w:t>
      </w:r>
      <w:r w:rsidR="00BD6A1D">
        <w:rPr>
          <w:rFonts w:cs="Arial"/>
          <w:sz w:val="16"/>
          <w:szCs w:val="16"/>
        </w:rPr>
        <w:tab/>
      </w:r>
      <w:r w:rsidR="00BD6A1D">
        <w:rPr>
          <w:rFonts w:cs="Arial"/>
          <w:sz w:val="16"/>
          <w:szCs w:val="16"/>
        </w:rPr>
        <w:tab/>
      </w:r>
      <w:r w:rsidR="00BD6A1D" w:rsidRPr="00BD6A1D">
        <w:rPr>
          <w:rFonts w:cs="Arial"/>
          <w:sz w:val="16"/>
          <w:szCs w:val="16"/>
        </w:rPr>
        <w:t xml:space="preserve">T: 01 369 </w:t>
      </w:r>
      <w:r w:rsidR="00794550">
        <w:rPr>
          <w:rFonts w:cs="Arial"/>
          <w:sz w:val="16"/>
          <w:szCs w:val="16"/>
        </w:rPr>
        <w:t>79 40</w:t>
      </w:r>
    </w:p>
    <w:p w14:paraId="41A5B2C4" w14:textId="77777777"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cs="Arial"/>
          <w:sz w:val="16"/>
          <w:szCs w:val="16"/>
        </w:rPr>
      </w:pPr>
      <w:r w:rsidRPr="00BD6A1D">
        <w:rPr>
          <w:rFonts w:cs="Arial"/>
          <w:sz w:val="16"/>
          <w:szCs w:val="16"/>
        </w:rPr>
        <w:tab/>
        <w:t>E: gp.</w:t>
      </w:r>
      <w:r w:rsidR="00683232">
        <w:rPr>
          <w:rFonts w:cs="Arial"/>
          <w:sz w:val="16"/>
          <w:szCs w:val="16"/>
        </w:rPr>
        <w:t>msp</w:t>
      </w:r>
      <w:r w:rsidRPr="00BD6A1D">
        <w:rPr>
          <w:rFonts w:cs="Arial"/>
          <w:sz w:val="16"/>
          <w:szCs w:val="16"/>
        </w:rPr>
        <w:t xml:space="preserve">@gov.si </w:t>
      </w:r>
      <w:hyperlink r:id="rId8" w:history="1">
        <w:r w:rsidR="00683232" w:rsidRPr="00B45898">
          <w:rPr>
            <w:rStyle w:val="Hiperpovezava"/>
            <w:rFonts w:cs="Arial"/>
            <w:sz w:val="16"/>
            <w:szCs w:val="16"/>
          </w:rPr>
          <w:t>www.gov.si</w:t>
        </w:r>
      </w:hyperlink>
    </w:p>
    <w:p w14:paraId="0CC7E691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4C87605F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BE50896" w14:textId="0E525021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Številka:</w:t>
            </w:r>
            <w:r w:rsidR="00E80999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FA325C">
              <w:rPr>
                <w:rFonts w:eastAsia="Times New Roman" w:cs="Arial"/>
                <w:szCs w:val="20"/>
                <w:lang w:eastAsia="sl-SI"/>
              </w:rPr>
              <w:t>3523-1</w:t>
            </w:r>
            <w:r w:rsidR="00E80999" w:rsidRPr="00E80999">
              <w:rPr>
                <w:rFonts w:eastAsia="Times New Roman" w:cs="Arial"/>
                <w:szCs w:val="20"/>
                <w:lang w:eastAsia="sl-SI"/>
              </w:rPr>
              <w:t>/202</w:t>
            </w:r>
            <w:r w:rsidR="00FA325C">
              <w:rPr>
                <w:rFonts w:eastAsia="Times New Roman" w:cs="Arial"/>
                <w:szCs w:val="20"/>
                <w:lang w:eastAsia="sl-SI"/>
              </w:rPr>
              <w:t>4</w:t>
            </w:r>
            <w:r w:rsidR="00E80999" w:rsidRPr="00E80999">
              <w:rPr>
                <w:rFonts w:eastAsia="Times New Roman" w:cs="Arial"/>
                <w:szCs w:val="20"/>
                <w:lang w:eastAsia="sl-SI"/>
              </w:rPr>
              <w:t>-2720</w:t>
            </w:r>
            <w:r w:rsidR="00D77320">
              <w:rPr>
                <w:rFonts w:eastAsia="Times New Roman" w:cs="Arial"/>
                <w:szCs w:val="20"/>
                <w:lang w:eastAsia="sl-SI"/>
              </w:rPr>
              <w:t>-</w:t>
            </w:r>
            <w:r w:rsidR="00657592">
              <w:rPr>
                <w:rFonts w:eastAsia="Times New Roman" w:cs="Arial"/>
                <w:szCs w:val="20"/>
                <w:lang w:eastAsia="sl-SI"/>
              </w:rPr>
              <w:t>8</w:t>
            </w:r>
          </w:p>
        </w:tc>
      </w:tr>
      <w:tr w:rsidR="00AE1F83" w:rsidRPr="00AE1F83" w14:paraId="2245A206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88FC59" w14:textId="7CC1A360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 xml:space="preserve">Ljubljana, </w:t>
            </w:r>
            <w:r w:rsidR="00657592">
              <w:rPr>
                <w:rFonts w:eastAsia="Times New Roman" w:cs="Arial"/>
                <w:szCs w:val="20"/>
                <w:lang w:eastAsia="sl-SI"/>
              </w:rPr>
              <w:t>23. 5. 2024</w:t>
            </w:r>
          </w:p>
        </w:tc>
      </w:tr>
      <w:tr w:rsidR="00AE1F83" w:rsidRPr="00AE1F83" w14:paraId="2FB92592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6582CA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  <w:p w14:paraId="25577715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27802DCF" w14:textId="77777777" w:rsidR="00AE1F83" w:rsidRPr="00AE1F83" w:rsidRDefault="00000000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hyperlink r:id="rId9" w:history="1">
              <w:r w:rsidR="00AE1F83" w:rsidRPr="00AE1F83">
                <w:rPr>
                  <w:rFonts w:eastAsia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7B6A151E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625C254E" w14:textId="77777777" w:rsidTr="00BD6A1D">
        <w:tc>
          <w:tcPr>
            <w:tcW w:w="9163" w:type="dxa"/>
            <w:gridSpan w:val="4"/>
          </w:tcPr>
          <w:p w14:paraId="6CE32DAD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 xml:space="preserve">ZADEVA: </w:t>
            </w:r>
            <w:r w:rsidR="004A6AE1">
              <w:rPr>
                <w:b/>
                <w:bCs/>
              </w:rPr>
              <w:t xml:space="preserve">Povečanje namenskega premoženja in kapitala Stanovanjskega sklada Republike Slovenije, javnega sklada </w:t>
            </w: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 xml:space="preserve">– predlog za obravnavo </w:t>
            </w:r>
          </w:p>
        </w:tc>
      </w:tr>
      <w:tr w:rsidR="00AE1F83" w:rsidRPr="00AE1F83" w14:paraId="76852399" w14:textId="77777777" w:rsidTr="00BD6A1D">
        <w:tc>
          <w:tcPr>
            <w:tcW w:w="9163" w:type="dxa"/>
            <w:gridSpan w:val="4"/>
          </w:tcPr>
          <w:p w14:paraId="04100B10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12FF8DDD" w14:textId="77777777" w:rsidTr="00BD6A1D">
        <w:tc>
          <w:tcPr>
            <w:tcW w:w="9163" w:type="dxa"/>
            <w:gridSpan w:val="4"/>
          </w:tcPr>
          <w:p w14:paraId="6CB3AD06" w14:textId="22860F10" w:rsidR="00AF4A40" w:rsidRDefault="00AF4A40" w:rsidP="00AF4A4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noProof/>
                <w:color w:val="000000"/>
                <w:szCs w:val="20"/>
                <w:lang w:eastAsia="sl-SI"/>
              </w:rPr>
            </w:pPr>
            <w:r w:rsidRPr="0041475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Na podlagi </w:t>
            </w:r>
            <w:r w:rsidR="00C3064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prve alineje prvega odstavka in </w:t>
            </w:r>
            <w:r w:rsidRPr="0041475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drugega odstavka 10. člena 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>Zakon</w:t>
            </w:r>
            <w:r>
              <w:rPr>
                <w:rFonts w:cs="Arial"/>
                <w:noProof/>
                <w:color w:val="000000"/>
                <w:szCs w:val="20"/>
                <w:lang w:eastAsia="sl-SI"/>
              </w:rPr>
              <w:t>a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o javnih skladih (Uradni list RS, št. 77/08, 8/10 – ZSKZ-B, 61/20 – ZDLGPE in 206/21 – ZDUPŠOP</w:t>
            </w:r>
            <w:r w:rsidR="003F2783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) </w:t>
            </w:r>
            <w:r w:rsidRPr="00414758">
              <w:rPr>
                <w:rFonts w:cs="Arial"/>
                <w:noProof/>
                <w:color w:val="000000"/>
                <w:szCs w:val="20"/>
                <w:lang w:eastAsia="sl-SI"/>
              </w:rPr>
              <w:t>in</w:t>
            </w:r>
            <w:r w:rsidR="00C3064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drugega odstavka</w:t>
            </w:r>
            <w:r w:rsidRPr="0041475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4. člena 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>Akt</w:t>
            </w:r>
            <w:r>
              <w:rPr>
                <w:rFonts w:cs="Arial"/>
                <w:noProof/>
                <w:color w:val="000000"/>
                <w:szCs w:val="20"/>
                <w:lang w:eastAsia="sl-SI"/>
              </w:rPr>
              <w:t>a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o ustanovitvi Stanovanjskega sklada Republike Slovenije kot javnega sklada (Uradni list RS, št. 6/11, 60/17, 17/18, 4/19</w:t>
            </w:r>
            <w:r w:rsidR="00FA325C">
              <w:rPr>
                <w:rFonts w:cs="Arial"/>
                <w:noProof/>
                <w:color w:val="000000"/>
                <w:szCs w:val="20"/>
                <w:lang w:eastAsia="sl-SI"/>
              </w:rPr>
              <w:t>,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31/21</w:t>
            </w:r>
            <w:r w:rsidR="00FA325C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in 132/23</w:t>
            </w:r>
            <w:r w:rsidRPr="00AF4A40">
              <w:rPr>
                <w:rFonts w:cs="Arial"/>
                <w:noProof/>
                <w:color w:val="000000"/>
                <w:szCs w:val="20"/>
                <w:lang w:eastAsia="sl-SI"/>
              </w:rPr>
              <w:t>)</w:t>
            </w:r>
            <w:r w:rsidRPr="00414758">
              <w:rPr>
                <w:rFonts w:cs="Arial"/>
                <w:noProof/>
                <w:color w:val="000000"/>
                <w:szCs w:val="20"/>
                <w:lang w:eastAsia="sl-SI"/>
              </w:rPr>
              <w:t xml:space="preserve"> je Vlada Republike Slovenije na … seji, dne … sprejela naslednji</w:t>
            </w:r>
          </w:p>
          <w:p w14:paraId="4401B68A" w14:textId="77777777" w:rsidR="00AF4A40" w:rsidRDefault="00AF4A40" w:rsidP="00AF4A4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noProof/>
                <w:color w:val="000000"/>
                <w:szCs w:val="20"/>
                <w:lang w:eastAsia="sl-SI"/>
              </w:rPr>
            </w:pPr>
          </w:p>
          <w:p w14:paraId="10C4B39D" w14:textId="77777777" w:rsidR="00AF4A40" w:rsidRDefault="00AF4A40" w:rsidP="00AF4A4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noProof/>
                <w:color w:val="000000"/>
                <w:szCs w:val="20"/>
                <w:lang w:val="en-US" w:eastAsia="sl-SI"/>
              </w:rPr>
            </w:pPr>
            <w:r w:rsidRPr="00F1479E">
              <w:rPr>
                <w:rFonts w:cs="Arial"/>
                <w:b/>
                <w:noProof/>
                <w:color w:val="000000"/>
                <w:szCs w:val="20"/>
                <w:lang w:val="en-US" w:eastAsia="sl-SI"/>
              </w:rPr>
              <w:t>SKLEP</w:t>
            </w:r>
            <w:r>
              <w:rPr>
                <w:rFonts w:cs="Arial"/>
                <w:b/>
                <w:noProof/>
                <w:color w:val="000000"/>
                <w:szCs w:val="20"/>
                <w:lang w:val="en-US" w:eastAsia="sl-SI"/>
              </w:rPr>
              <w:t>:</w:t>
            </w:r>
          </w:p>
          <w:p w14:paraId="652B3B97" w14:textId="77777777" w:rsidR="00AF4A40" w:rsidRPr="00494D8D" w:rsidRDefault="00AF4A40" w:rsidP="00AF4A4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noProof/>
                <w:color w:val="000000"/>
                <w:szCs w:val="20"/>
                <w:lang w:val="en-US" w:eastAsia="sl-SI"/>
              </w:rPr>
            </w:pPr>
          </w:p>
          <w:p w14:paraId="4699FA7A" w14:textId="29AAA573" w:rsidR="003D7DBE" w:rsidRDefault="00EA3FC2" w:rsidP="007969B8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</w:rPr>
            </w:pPr>
            <w:r w:rsidRPr="00C65226">
              <w:rPr>
                <w:rFonts w:cs="Arial"/>
              </w:rPr>
              <w:t>Namensko premoženje in kapital Stanovanjskega sklada Republike Slovenije, javnega sklada, se</w:t>
            </w:r>
            <w:r w:rsidR="009334EF">
              <w:rPr>
                <w:rFonts w:cs="Arial"/>
              </w:rPr>
              <w:t xml:space="preserve"> v letu 2024</w:t>
            </w:r>
            <w:r w:rsidRPr="00C65226">
              <w:rPr>
                <w:rFonts w:cs="Arial"/>
              </w:rPr>
              <w:t xml:space="preserve"> povečata z </w:t>
            </w:r>
            <w:r w:rsidR="007969B8">
              <w:rPr>
                <w:rFonts w:cs="Arial"/>
              </w:rPr>
              <w:t xml:space="preserve">izplačilom sredstev </w:t>
            </w:r>
            <w:r w:rsidR="00F50B51">
              <w:rPr>
                <w:rFonts w:cs="Arial"/>
              </w:rPr>
              <w:t>v višin</w:t>
            </w:r>
            <w:r w:rsidRPr="00C65226">
              <w:rPr>
                <w:rFonts w:cs="Arial"/>
              </w:rPr>
              <w:t xml:space="preserve">i </w:t>
            </w:r>
            <w:r w:rsidR="003D7DBE">
              <w:rPr>
                <w:rFonts w:cs="Arial"/>
              </w:rPr>
              <w:t>25</w:t>
            </w:r>
            <w:r w:rsidRPr="003D7DBE">
              <w:rPr>
                <w:rFonts w:cs="Arial"/>
              </w:rPr>
              <w:t>.500.000</w:t>
            </w:r>
            <w:r w:rsidR="00DA0383">
              <w:rPr>
                <w:rFonts w:cs="Arial"/>
              </w:rPr>
              <w:t>,00</w:t>
            </w:r>
            <w:r w:rsidRPr="003D7DBE">
              <w:rPr>
                <w:rFonts w:cs="Arial"/>
              </w:rPr>
              <w:t xml:space="preserve"> evr</w:t>
            </w:r>
            <w:r w:rsidR="00C30648">
              <w:rPr>
                <w:rFonts w:cs="Arial"/>
              </w:rPr>
              <w:t>a</w:t>
            </w:r>
            <w:r w:rsidRPr="003D7DBE">
              <w:rPr>
                <w:rFonts w:cs="Arial"/>
              </w:rPr>
              <w:t xml:space="preserve"> s </w:t>
            </w:r>
            <w:r w:rsidRPr="00EC4BBD">
              <w:rPr>
                <w:rFonts w:cs="Arial"/>
              </w:rPr>
              <w:t>proračunske postavke -</w:t>
            </w:r>
            <w:r w:rsidR="00032AD4" w:rsidRPr="00EC4BBD">
              <w:rPr>
                <w:rFonts w:cs="Arial"/>
              </w:rPr>
              <w:t xml:space="preserve"> </w:t>
            </w:r>
            <w:r w:rsidR="008D7B27" w:rsidRPr="00EC4BBD">
              <w:t>231655</w:t>
            </w:r>
            <w:r w:rsidR="00032AD4" w:rsidRPr="00EC4BBD">
              <w:rPr>
                <w:rFonts w:cs="Arial"/>
              </w:rPr>
              <w:t xml:space="preserve"> </w:t>
            </w:r>
            <w:r w:rsidRPr="00EC4BBD">
              <w:rPr>
                <w:rFonts w:cs="Arial"/>
              </w:rPr>
              <w:t>Dokapitalizacija Stanovanjskega sklada RS</w:t>
            </w:r>
            <w:r w:rsidR="00C65226" w:rsidRPr="00EC4BBD">
              <w:rPr>
                <w:rFonts w:cs="Arial"/>
              </w:rPr>
              <w:t>.</w:t>
            </w:r>
          </w:p>
          <w:p w14:paraId="1C2B065F" w14:textId="77777777" w:rsidR="003D7DBE" w:rsidRDefault="003D7DBE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</w:rPr>
            </w:pPr>
          </w:p>
          <w:p w14:paraId="39A01B24" w14:textId="77777777" w:rsidR="001E63EF" w:rsidRPr="001E63EF" w:rsidRDefault="007969B8" w:rsidP="00613ECD">
            <w:pPr>
              <w:pStyle w:val="Odstavekseznama"/>
              <w:numPr>
                <w:ilvl w:val="0"/>
                <w:numId w:val="9"/>
              </w:numPr>
              <w:jc w:val="both"/>
            </w:pPr>
            <w:r w:rsidRPr="00613ECD">
              <w:rPr>
                <w:rFonts w:cs="Arial"/>
                <w:color w:val="000000"/>
              </w:rPr>
              <w:t>Povečanje, vrednost ter vrsta namenskega premoženja in kapitala iz prejšnje točke se vpišejo v sodni register.</w:t>
            </w:r>
          </w:p>
          <w:p w14:paraId="4E3E097F" w14:textId="77777777" w:rsidR="00795202" w:rsidRPr="003F2783" w:rsidRDefault="00795202" w:rsidP="00795202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noProof/>
                <w:color w:val="000000"/>
                <w:szCs w:val="20"/>
                <w:lang w:eastAsia="sl-SI"/>
              </w:rPr>
            </w:pPr>
          </w:p>
          <w:p w14:paraId="3CFF29AC" w14:textId="77777777" w:rsidR="00795202" w:rsidRPr="003F2783" w:rsidRDefault="00795202" w:rsidP="00795202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noProof/>
                <w:color w:val="000000"/>
                <w:szCs w:val="20"/>
                <w:lang w:eastAsia="sl-SI"/>
              </w:rPr>
            </w:pPr>
          </w:p>
          <w:p w14:paraId="23EE91D7" w14:textId="77777777" w:rsidR="00AF4A40" w:rsidRPr="003F2783" w:rsidRDefault="00AF4A40" w:rsidP="00AF4A4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noProof/>
                <w:color w:val="000000"/>
                <w:szCs w:val="20"/>
              </w:rPr>
            </w:pPr>
          </w:p>
          <w:p w14:paraId="125D9D3B" w14:textId="77777777" w:rsidR="00AE1F83" w:rsidRDefault="00C65226" w:rsidP="00C6522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Sklep prejmejo</w:t>
            </w:r>
            <w:r w:rsidR="00795202">
              <w:rPr>
                <w:rFonts w:cs="Arial"/>
                <w:iCs/>
                <w:szCs w:val="20"/>
                <w:lang w:eastAsia="sl-SI"/>
              </w:rPr>
              <w:t>:</w:t>
            </w:r>
          </w:p>
          <w:p w14:paraId="2C6595C9" w14:textId="77777777" w:rsidR="00795202" w:rsidRPr="00795202" w:rsidRDefault="00795202" w:rsidP="00C65226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5202">
              <w:rPr>
                <w:rFonts w:cs="Arial"/>
                <w:iCs/>
                <w:szCs w:val="20"/>
                <w:lang w:eastAsia="sl-SI"/>
              </w:rPr>
              <w:t>Ministrstvo za solidarno prihodnost</w:t>
            </w:r>
          </w:p>
          <w:p w14:paraId="50300015" w14:textId="77777777" w:rsidR="00795202" w:rsidRDefault="00795202" w:rsidP="00795202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Stanovanjski sklad Republike Slovenije</w:t>
            </w:r>
            <w:r w:rsidR="007969B8">
              <w:rPr>
                <w:rFonts w:cs="Arial"/>
                <w:iCs/>
                <w:szCs w:val="20"/>
                <w:lang w:eastAsia="sl-SI"/>
              </w:rPr>
              <w:t>, javni sklad</w:t>
            </w:r>
          </w:p>
          <w:p w14:paraId="5C800B15" w14:textId="77777777" w:rsidR="00795202" w:rsidRDefault="00795202" w:rsidP="00795202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Ministrstvo za finance</w:t>
            </w:r>
          </w:p>
          <w:p w14:paraId="3735FC39" w14:textId="77777777" w:rsidR="00795202" w:rsidRDefault="00795202" w:rsidP="00795202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Služba vlade RS za zakonodajo</w:t>
            </w:r>
          </w:p>
          <w:p w14:paraId="2D19D726" w14:textId="238F9481" w:rsidR="00795202" w:rsidRPr="00795202" w:rsidRDefault="00795202" w:rsidP="00795202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Urad vlade RS za komuniciranje</w:t>
            </w:r>
          </w:p>
          <w:p w14:paraId="535F885F" w14:textId="77777777" w:rsidR="00C65226" w:rsidRPr="00AE1F83" w:rsidRDefault="00C65226" w:rsidP="00C6522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12CCD2E9" w14:textId="77777777" w:rsidTr="00BD6A1D">
        <w:tc>
          <w:tcPr>
            <w:tcW w:w="9163" w:type="dxa"/>
            <w:gridSpan w:val="4"/>
          </w:tcPr>
          <w:p w14:paraId="70F2199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14:paraId="330ED18F" w14:textId="77777777" w:rsidTr="00BD6A1D">
        <w:tc>
          <w:tcPr>
            <w:tcW w:w="9163" w:type="dxa"/>
            <w:gridSpan w:val="4"/>
          </w:tcPr>
          <w:p w14:paraId="56C3DD54" w14:textId="77777777" w:rsidR="00AE1F83" w:rsidRPr="00AE1F83" w:rsidRDefault="00C652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7FF8DF01" w14:textId="77777777" w:rsidTr="00BD6A1D">
        <w:tc>
          <w:tcPr>
            <w:tcW w:w="9163" w:type="dxa"/>
            <w:gridSpan w:val="4"/>
          </w:tcPr>
          <w:p w14:paraId="5A8A1FF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14:paraId="2898EE10" w14:textId="77777777" w:rsidTr="00BD6A1D">
        <w:tc>
          <w:tcPr>
            <w:tcW w:w="9163" w:type="dxa"/>
            <w:gridSpan w:val="4"/>
          </w:tcPr>
          <w:p w14:paraId="099023E0" w14:textId="77777777" w:rsidR="00AE1F83" w:rsidRDefault="00C65226" w:rsidP="00C65226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Simon Maljevac, minister</w:t>
            </w:r>
          </w:p>
          <w:p w14:paraId="79BCFB40" w14:textId="77777777" w:rsidR="00C65226" w:rsidRDefault="001E63EF" w:rsidP="00C65226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dr. </w:t>
            </w:r>
            <w:r w:rsidR="00C65226">
              <w:rPr>
                <w:rFonts w:eastAsia="Times New Roman" w:cs="Arial"/>
                <w:iCs/>
                <w:szCs w:val="20"/>
                <w:lang w:eastAsia="sl-SI"/>
              </w:rPr>
              <w:t>Klemen Ploštajner, državni sekretar</w:t>
            </w:r>
          </w:p>
          <w:p w14:paraId="61FFACE6" w14:textId="77777777" w:rsidR="00C65226" w:rsidRPr="00C65226" w:rsidRDefault="00C65226" w:rsidP="00C65226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Živa Matjašič,</w:t>
            </w:r>
            <w:r w:rsidR="00F50B51">
              <w:rPr>
                <w:rFonts w:eastAsia="Times New Roman" w:cs="Arial"/>
                <w:iCs/>
                <w:szCs w:val="20"/>
                <w:lang w:eastAsia="sl-SI"/>
              </w:rPr>
              <w:t xml:space="preserve"> generaln</w:t>
            </w:r>
            <w:r w:rsidR="00C56E00">
              <w:rPr>
                <w:rFonts w:eastAsia="Times New Roman" w:cs="Arial"/>
                <w:iCs/>
                <w:szCs w:val="20"/>
                <w:lang w:eastAsia="sl-SI"/>
              </w:rPr>
              <w:t>a</w:t>
            </w:r>
            <w:r w:rsidR="00F50B51">
              <w:rPr>
                <w:rFonts w:eastAsia="Times New Roman" w:cs="Arial"/>
                <w:iCs/>
                <w:szCs w:val="20"/>
                <w:lang w:eastAsia="sl-SI"/>
              </w:rPr>
              <w:t xml:space="preserve"> direktor</w:t>
            </w:r>
            <w:r w:rsidR="00C56E00">
              <w:rPr>
                <w:rFonts w:eastAsia="Times New Roman" w:cs="Arial"/>
                <w:iCs/>
                <w:szCs w:val="20"/>
                <w:lang w:eastAsia="sl-SI"/>
              </w:rPr>
              <w:t>ica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 Direktorata za stanovanja</w:t>
            </w:r>
          </w:p>
        </w:tc>
      </w:tr>
      <w:tr w:rsidR="00AE1F83" w:rsidRPr="00AE1F83" w14:paraId="0CB8BA82" w14:textId="77777777" w:rsidTr="00BD6A1D">
        <w:tc>
          <w:tcPr>
            <w:tcW w:w="9163" w:type="dxa"/>
            <w:gridSpan w:val="4"/>
          </w:tcPr>
          <w:p w14:paraId="0DF1B4F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14:paraId="37783AB8" w14:textId="77777777" w:rsidTr="00BD6A1D">
        <w:tc>
          <w:tcPr>
            <w:tcW w:w="9163" w:type="dxa"/>
            <w:gridSpan w:val="4"/>
          </w:tcPr>
          <w:p w14:paraId="25D7BEFB" w14:textId="77777777" w:rsidR="00C65226" w:rsidRPr="00AE1F83" w:rsidRDefault="00C65226" w:rsidP="00C6522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60C66E09" w14:textId="77777777" w:rsidR="00AE1F83" w:rsidRPr="00AE1F83" w:rsidRDefault="00C652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0C0DB42B" w14:textId="77777777" w:rsidTr="00BD6A1D">
        <w:tc>
          <w:tcPr>
            <w:tcW w:w="9163" w:type="dxa"/>
            <w:gridSpan w:val="4"/>
          </w:tcPr>
          <w:p w14:paraId="1A716A7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14:paraId="291DD646" w14:textId="77777777" w:rsidTr="00BD6A1D">
        <w:tc>
          <w:tcPr>
            <w:tcW w:w="9163" w:type="dxa"/>
            <w:gridSpan w:val="4"/>
          </w:tcPr>
          <w:p w14:paraId="04C588CD" w14:textId="77777777" w:rsidR="00AE1F83" w:rsidRPr="00AE1F83" w:rsidRDefault="00C65226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5F8E3047" w14:textId="77777777" w:rsidTr="00BD6A1D">
        <w:tc>
          <w:tcPr>
            <w:tcW w:w="9163" w:type="dxa"/>
            <w:gridSpan w:val="4"/>
          </w:tcPr>
          <w:p w14:paraId="78B1FEF0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AE1F83" w:rsidRPr="00AE1F83" w14:paraId="5C2BBB38" w14:textId="77777777" w:rsidTr="00BD6A1D">
        <w:tc>
          <w:tcPr>
            <w:tcW w:w="9163" w:type="dxa"/>
            <w:gridSpan w:val="4"/>
          </w:tcPr>
          <w:p w14:paraId="6CDEEDA1" w14:textId="16307161" w:rsidR="003D7DBE" w:rsidRDefault="00795202" w:rsidP="003D7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Stanovanjski sklad Republike 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Slovenije, javni sklad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(</w:t>
            </w:r>
            <w:r w:rsidR="001E63EF">
              <w:rPr>
                <w:rFonts w:eastAsia="Times New Roman" w:cs="Arial"/>
                <w:iCs/>
                <w:szCs w:val="20"/>
                <w:lang w:eastAsia="sl-SI"/>
              </w:rPr>
              <w:t>v nadaljevanju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>:</w:t>
            </w:r>
            <w:r w:rsidR="001E63EF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SSRS) je skladno z Resolucijo o 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nacionalnem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stanovanjskem programu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2015-2025 </w:t>
            </w:r>
            <w:r w:rsidR="001E63EF" w:rsidRPr="005C0A91">
              <w:rPr>
                <w:rFonts w:cs="Arial"/>
                <w:color w:val="000000"/>
              </w:rPr>
              <w:t xml:space="preserve">(Uradni list RS, št. 92/15)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glavni izvajalec stanovanjske politike Republike Slovenije. SSRS to nalogo 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skladno Poslovno politiko SSRS za obdobje 2021-2025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izpolnjuje prek dveh ključnih ukrepov: lastna gradnja javnih najemnih stanovanj in financiranje gradnje javnih najemnih stanovanj s strani občin, lokalnih stanovanjskih skladov in neprofitnih stanovanjskih organizacij</w:t>
            </w:r>
            <w:r w:rsidR="00751C13">
              <w:rPr>
                <w:rFonts w:eastAsia="Times New Roman" w:cs="Arial"/>
                <w:iCs/>
                <w:szCs w:val="20"/>
                <w:lang w:eastAsia="sl-SI"/>
              </w:rPr>
              <w:t>. Slednjo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 xml:space="preserve"> SSRS izvaja prek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>o vsakokratnega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 xml:space="preserve"> Programa sofinanciranja zagotavljanja javnih najemnih 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stanovanjskih 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>enot in bivalnih enot</w:t>
            </w:r>
            <w:r w:rsidR="00D0580B">
              <w:rPr>
                <w:rFonts w:eastAsia="Times New Roman" w:cs="Arial"/>
                <w:iCs/>
                <w:szCs w:val="20"/>
                <w:lang w:eastAsia="sl-SI"/>
              </w:rPr>
              <w:t xml:space="preserve"> (v nadaljevanju</w:t>
            </w:r>
            <w:r w:rsidR="00E20A3F">
              <w:rPr>
                <w:rFonts w:eastAsia="Times New Roman" w:cs="Arial"/>
                <w:iCs/>
                <w:szCs w:val="20"/>
                <w:lang w:eastAsia="sl-SI"/>
              </w:rPr>
              <w:t>:</w:t>
            </w:r>
            <w:r w:rsidR="00D0580B">
              <w:rPr>
                <w:rFonts w:eastAsia="Times New Roman" w:cs="Arial"/>
                <w:iCs/>
                <w:szCs w:val="20"/>
                <w:lang w:eastAsia="sl-SI"/>
              </w:rPr>
              <w:t xml:space="preserve"> Program)</w:t>
            </w:r>
            <w:r w:rsidR="00751C13">
              <w:rPr>
                <w:rFonts w:eastAsia="Times New Roman" w:cs="Arial"/>
                <w:iCs/>
                <w:szCs w:val="20"/>
                <w:lang w:eastAsia="sl-SI"/>
              </w:rPr>
              <w:t xml:space="preserve">, v katerem določi obdobje in pogoje podpore. 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>Sredstva</w:t>
            </w:r>
            <w:r w:rsidR="007969B8">
              <w:rPr>
                <w:rFonts w:eastAsia="Times New Roman" w:cs="Arial"/>
                <w:iCs/>
                <w:szCs w:val="20"/>
                <w:lang w:eastAsia="sl-SI"/>
              </w:rPr>
              <w:t xml:space="preserve"> povečanja namenskega premoženja in kapitala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="00D0580B">
              <w:rPr>
                <w:rFonts w:eastAsia="Times New Roman" w:cs="Arial"/>
                <w:iCs/>
                <w:szCs w:val="20"/>
                <w:lang w:eastAsia="sl-SI"/>
              </w:rPr>
              <w:t xml:space="preserve">v višini 25.500.000 evrov </w:t>
            </w:r>
            <w:r w:rsidR="003D7DBE">
              <w:rPr>
                <w:rFonts w:eastAsia="Times New Roman" w:cs="Arial"/>
                <w:iCs/>
                <w:szCs w:val="20"/>
                <w:lang w:eastAsia="sl-SI"/>
              </w:rPr>
              <w:t xml:space="preserve">bodo namenjena za </w:t>
            </w:r>
            <w:r w:rsidR="00D0580B">
              <w:rPr>
                <w:rFonts w:eastAsia="Times New Roman" w:cs="Arial"/>
                <w:iCs/>
                <w:szCs w:val="20"/>
                <w:lang w:eastAsia="sl-SI"/>
              </w:rPr>
              <w:t>izvajanje Programa</w:t>
            </w:r>
            <w:r w:rsidR="00441F9F"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  <w:r w:rsidR="00D0580B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</w:p>
          <w:p w14:paraId="3F4F3186" w14:textId="77777777" w:rsidR="00630363" w:rsidRPr="00AE1F83" w:rsidRDefault="00630363" w:rsidP="003D7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45BD51BD" w14:textId="77777777" w:rsidTr="00BD6A1D">
        <w:tc>
          <w:tcPr>
            <w:tcW w:w="9163" w:type="dxa"/>
            <w:gridSpan w:val="4"/>
          </w:tcPr>
          <w:p w14:paraId="14BA2F82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AE1F83" w:rsidRPr="00AE1F83" w14:paraId="303A679E" w14:textId="77777777" w:rsidTr="00BD6A1D">
        <w:tc>
          <w:tcPr>
            <w:tcW w:w="1448" w:type="dxa"/>
          </w:tcPr>
          <w:p w14:paraId="0AF58C64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9178BC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75B2F8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AE1F83" w:rsidRPr="00AE1F83" w14:paraId="7ABD0F5C" w14:textId="77777777" w:rsidTr="00BD6A1D">
        <w:tc>
          <w:tcPr>
            <w:tcW w:w="1448" w:type="dxa"/>
          </w:tcPr>
          <w:p w14:paraId="4BA5E6A0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68D53E1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6D7AAB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35502C54" w14:textId="77777777" w:rsidTr="00BD6A1D">
        <w:tc>
          <w:tcPr>
            <w:tcW w:w="1448" w:type="dxa"/>
          </w:tcPr>
          <w:p w14:paraId="4203374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06D80F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3F9E843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629090FD" w14:textId="77777777" w:rsidTr="00BD6A1D">
        <w:tc>
          <w:tcPr>
            <w:tcW w:w="1448" w:type="dxa"/>
          </w:tcPr>
          <w:p w14:paraId="5FC1721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1B4406C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BC4A8E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397528F3" w14:textId="77777777" w:rsidTr="00BD6A1D">
        <w:tc>
          <w:tcPr>
            <w:tcW w:w="1448" w:type="dxa"/>
          </w:tcPr>
          <w:p w14:paraId="5F17296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169C390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245590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61103F5D" w14:textId="77777777" w:rsidTr="00BD6A1D">
        <w:tc>
          <w:tcPr>
            <w:tcW w:w="1448" w:type="dxa"/>
          </w:tcPr>
          <w:p w14:paraId="5EB0D017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02BDCB8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DBF5AEE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46EF206B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475BC9FF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761151A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52735BA3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E8F6A36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EEA65F8" w14:textId="77777777"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56B875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5FD1B929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063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5A3935CC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</w:tbl>
    <w:p w14:paraId="0BB942DF" w14:textId="77777777" w:rsidR="00AE1F83" w:rsidRPr="00AE1F83" w:rsidRDefault="00AE1F83" w:rsidP="00AE1F83">
      <w:pPr>
        <w:spacing w:after="0" w:line="260" w:lineRule="exact"/>
        <w:rPr>
          <w:rFonts w:eastAsia="Times New Roman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798"/>
        <w:gridCol w:w="1390"/>
        <w:gridCol w:w="517"/>
        <w:gridCol w:w="1123"/>
        <w:gridCol w:w="801"/>
        <w:gridCol w:w="392"/>
        <w:gridCol w:w="303"/>
        <w:gridCol w:w="1905"/>
      </w:tblGrid>
      <w:tr w:rsidR="00AE1F83" w:rsidRPr="00AE1F83" w14:paraId="0E438567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472AD8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14:paraId="0AD440D3" w14:textId="77777777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73B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FB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52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4CF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24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+ 3</w:t>
            </w:r>
          </w:p>
        </w:tc>
      </w:tr>
      <w:tr w:rsidR="00AE1F83" w:rsidRPr="00AE1F83" w14:paraId="25537025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F82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23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2B9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72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7B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4C27A928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746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50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0D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01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547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0D3E9895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3F65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3B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A8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BE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93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57C982D3" w14:textId="77777777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A70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7E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21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3A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8CD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489057DC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D9D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EA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43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917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52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3AA0A3CC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876E55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27C647AB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B898AF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</w:t>
            </w:r>
            <w:r w:rsidRPr="00EC4BBD">
              <w:rPr>
                <w:rFonts w:eastAsia="Times New Roman" w:cs="Arial"/>
                <w:b/>
                <w:kern w:val="32"/>
                <w:szCs w:val="20"/>
                <w:lang w:eastAsia="sl-SI"/>
              </w:rPr>
              <w:t>a Pravice porabe</w:t>
            </w: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 xml:space="preserve"> za izvedbo predlaganih rešitev so zagotovljene:</w:t>
            </w:r>
          </w:p>
        </w:tc>
      </w:tr>
      <w:tr w:rsidR="00AE1F83" w:rsidRPr="00AE1F83" w14:paraId="4AC74E14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9A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69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A9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5A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6B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AE1F83" w14:paraId="0322C27A" w14:textId="77777777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450" w14:textId="77777777" w:rsidR="00AE1F83" w:rsidRPr="00AE1F83" w:rsidRDefault="00C65226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Ministrstvo za solidarno prihodnost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031A" w14:textId="77777777" w:rsidR="00AE1F83" w:rsidRPr="00AE1F83" w:rsidRDefault="00C65226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t xml:space="preserve">2550-22-0002 Dokapitalizacija Stanovanjskega sklada </w:t>
            </w:r>
            <w:r w:rsidR="001E63EF">
              <w:t>R</w:t>
            </w:r>
            <w:r w:rsidR="003F2783">
              <w:t>S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E7D2" w14:textId="2F756D00" w:rsidR="00AE1F83" w:rsidRPr="00AE1F83" w:rsidRDefault="003F27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t>231655</w:t>
            </w:r>
            <w:r w:rsidR="005169EB">
              <w:t xml:space="preserve"> </w:t>
            </w:r>
            <w:r w:rsidR="00A053FA" w:rsidRPr="00902CB0">
              <w:t>Dokapitalizacija</w:t>
            </w:r>
            <w:r w:rsidR="00902CB0">
              <w:t xml:space="preserve"> </w:t>
            </w:r>
            <w:r w:rsidR="00A053FA" w:rsidRPr="00902CB0">
              <w:t>Stanovanjskega sklada RS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1EF" w14:textId="77777777" w:rsidR="00C65226" w:rsidRPr="00AE1F83" w:rsidRDefault="00C65226" w:rsidP="00C6522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25.500.000,00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7B9B" w14:textId="77777777" w:rsidR="00AE1F83" w:rsidRPr="00AE1F83" w:rsidRDefault="00C65226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/</w:t>
            </w:r>
          </w:p>
        </w:tc>
      </w:tr>
      <w:tr w:rsidR="00AE1F83" w:rsidRPr="00AE1F83" w14:paraId="60DB37BF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BA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1AB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08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D0D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93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541BD4CE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BA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9F1" w14:textId="77777777" w:rsidR="00AE1F83" w:rsidRPr="00AE1F83" w:rsidRDefault="003F27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25.500.000,00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939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AE1F83" w14:paraId="3BDAE64F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BFD1A8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AE1F83" w14:paraId="4B892D11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B1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BC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24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AF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06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Znesek za t + 1 </w:t>
            </w:r>
          </w:p>
        </w:tc>
      </w:tr>
      <w:tr w:rsidR="00AE1F83" w:rsidRPr="00AE1F83" w14:paraId="3D6D5EB4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C9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24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E8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03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12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2116407B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AD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6E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03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AE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DE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2467834E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1A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DA4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E4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AE1F83" w14:paraId="54AD5612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251BEE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AE1F83" w14:paraId="3BB86C37" w14:textId="77777777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DDD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B49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B9C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AE1F83" w14:paraId="3B87565F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4AD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07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3E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26C7CCDD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6D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9A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53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45B648B4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3C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92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93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343E9C91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D4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8F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C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AE1F83" w14:paraId="6F59465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109308E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</w:p>
          <w:p w14:paraId="3898952C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OBRAZLOŽITEV:</w:t>
            </w:r>
          </w:p>
          <w:p w14:paraId="509F8DCD" w14:textId="77777777" w:rsid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40FE2FE" w14:textId="77777777" w:rsidR="00AE1F83" w:rsidRDefault="008D7B27" w:rsidP="008D7B27">
            <w:pPr>
              <w:widowControl w:val="0"/>
              <w:suppressAutoHyphens/>
              <w:spacing w:after="0" w:line="260" w:lineRule="exact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szCs w:val="20"/>
                <w:lang w:eastAsia="sl-SI"/>
              </w:rPr>
              <w:t>/</w:t>
            </w:r>
          </w:p>
          <w:p w14:paraId="4083E4DE" w14:textId="77777777" w:rsidR="008D7B27" w:rsidRPr="00AE1F83" w:rsidRDefault="008D7B27" w:rsidP="008D7B27">
            <w:pPr>
              <w:widowControl w:val="0"/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  <w:lang w:eastAsia="sl-SI"/>
              </w:rPr>
            </w:pPr>
          </w:p>
          <w:p w14:paraId="1EEFF423" w14:textId="77777777" w:rsid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Finančne posledice za državni proračun</w:t>
            </w:r>
          </w:p>
          <w:p w14:paraId="7675B43C" w14:textId="77777777" w:rsidR="008D7B27" w:rsidRPr="00AE1F83" w:rsidRDefault="008D7B27" w:rsidP="008D7B27">
            <w:pPr>
              <w:widowControl w:val="0"/>
              <w:suppressAutoHyphens/>
              <w:spacing w:after="0" w:line="260" w:lineRule="exact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</w:p>
          <w:p w14:paraId="1C90539E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8D7B27">
              <w:rPr>
                <w:rFonts w:eastAsia="Times New Roman"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14:paraId="67E48493" w14:textId="56F55CA4" w:rsidR="008D7B27" w:rsidRDefault="008D7B27" w:rsidP="008D7B27">
            <w:pPr>
              <w:widowControl w:val="0"/>
              <w:suppressAutoHyphens/>
              <w:spacing w:after="0" w:line="260" w:lineRule="exact"/>
              <w:jc w:val="both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Sredstva so zagotovljena pri proračunskem uporabniku Ministrstvo za solidarno prihodnost na proračunski postavki </w:t>
            </w:r>
            <w:r>
              <w:t>231655 Dokapitalizacija Stanovanjskega sklada RS</w:t>
            </w:r>
            <w:r w:rsidR="005169EB">
              <w:t>, ukrep št. 2550-22-0002 Dokapitalizacija stanovanjskega sklada</w:t>
            </w:r>
            <w:r w:rsidR="0038183F">
              <w:t xml:space="preserve"> RS.</w:t>
            </w:r>
          </w:p>
          <w:p w14:paraId="44BEF3BD" w14:textId="77777777" w:rsidR="008D7B27" w:rsidRDefault="008D7B27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eastAsia="Times New Roman" w:cs="Arial"/>
                <w:szCs w:val="20"/>
                <w:lang w:eastAsia="sl-SI"/>
              </w:rPr>
            </w:pPr>
          </w:p>
          <w:p w14:paraId="6C99688F" w14:textId="77777777" w:rsid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II.b Manjkajoče pravice porabe bodo zagotovljene s prerazporeditvijo:</w:t>
            </w:r>
          </w:p>
          <w:p w14:paraId="544D1A0D" w14:textId="3F61E7A9" w:rsidR="008D7B27" w:rsidRPr="00AE1F83" w:rsidRDefault="0038183F" w:rsidP="008D7B27">
            <w:pPr>
              <w:widowControl w:val="0"/>
              <w:suppressAutoHyphens/>
              <w:spacing w:after="0" w:line="260" w:lineRule="exact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szCs w:val="20"/>
                <w:lang w:eastAsia="sl-SI"/>
              </w:rPr>
              <w:t xml:space="preserve">              </w:t>
            </w:r>
            <w:r w:rsidR="008D7B27">
              <w:rPr>
                <w:rFonts w:eastAsia="Times New Roman" w:cs="Arial"/>
                <w:b/>
                <w:szCs w:val="20"/>
                <w:lang w:eastAsia="sl-SI"/>
              </w:rPr>
              <w:t>/</w:t>
            </w:r>
          </w:p>
          <w:p w14:paraId="2CED5857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2862BF7F" w14:textId="317B9FB8" w:rsidR="00AE1F83" w:rsidRPr="00AE1F83" w:rsidRDefault="0038183F" w:rsidP="008D7B27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b/>
                <w:bCs/>
                <w:spacing w:val="4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bCs/>
                <w:spacing w:val="40"/>
                <w:szCs w:val="20"/>
                <w:lang w:eastAsia="sl-SI"/>
              </w:rPr>
              <w:t xml:space="preserve">     </w:t>
            </w:r>
            <w:r w:rsidR="008D7B27">
              <w:rPr>
                <w:rFonts w:eastAsia="Times New Roman" w:cs="Arial"/>
                <w:b/>
                <w:bCs/>
                <w:spacing w:val="40"/>
                <w:szCs w:val="20"/>
                <w:lang w:eastAsia="sl-SI"/>
              </w:rPr>
              <w:t>/</w:t>
            </w:r>
          </w:p>
        </w:tc>
      </w:tr>
      <w:tr w:rsidR="00AE1F83" w:rsidRPr="00AE1F83" w14:paraId="4451B93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BA2A" w14:textId="77777777" w:rsidR="00AE1F83" w:rsidRPr="00AE1F83" w:rsidRDefault="00AE1F83" w:rsidP="008D7B27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7.b Predstavitev ocene finančnih posledic pod 40.000 EUR:</w:t>
            </w:r>
          </w:p>
        </w:tc>
      </w:tr>
      <w:tr w:rsidR="00AE1F83" w:rsidRPr="00AE1F83" w14:paraId="7685597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8823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8. Predstavitev sodelovanja z združenji občin:</w:t>
            </w:r>
          </w:p>
        </w:tc>
      </w:tr>
      <w:tr w:rsidR="00AE1F83" w:rsidRPr="00AE1F83" w14:paraId="4339C89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4C51CC3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48ED6771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pristojnosti občin,</w:t>
            </w:r>
          </w:p>
          <w:p w14:paraId="56A6249A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delovanje občin,</w:t>
            </w:r>
          </w:p>
          <w:p w14:paraId="3ED71DE2" w14:textId="77777777"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financiranje občin.</w:t>
            </w:r>
          </w:p>
          <w:p w14:paraId="5DA23D31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41275B1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DA/</w:t>
            </w:r>
            <w:r w:rsidRPr="003F2783">
              <w:rPr>
                <w:rFonts w:eastAsia="Times New Roman" w:cs="Arial"/>
                <w:b/>
                <w:bCs/>
                <w:szCs w:val="20"/>
                <w:lang w:eastAsia="sl-SI"/>
              </w:rPr>
              <w:t>NE</w:t>
            </w:r>
          </w:p>
        </w:tc>
      </w:tr>
      <w:tr w:rsidR="00AE1F83" w:rsidRPr="00AE1F83" w14:paraId="73F9A2C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AD01E2C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3D223A01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Skupnosti občin Slovenije SOS: DA/</w:t>
            </w:r>
            <w:r w:rsidRPr="008D7B27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>NE</w:t>
            </w:r>
          </w:p>
          <w:p w14:paraId="6517FECB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Združenju občin Slovenije ZOS: DA/</w:t>
            </w:r>
            <w:r w:rsidRPr="008D7B27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>NE</w:t>
            </w:r>
          </w:p>
          <w:p w14:paraId="6496A80E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Združenju mestnih občin Slovenije ZMOS: DA/</w:t>
            </w:r>
            <w:r w:rsidRPr="008D7B27">
              <w:rPr>
                <w:rFonts w:eastAsia="Times New Roman" w:cs="Arial"/>
                <w:b/>
                <w:bCs/>
                <w:iCs/>
                <w:szCs w:val="20"/>
                <w:lang w:eastAsia="sl-SI"/>
              </w:rPr>
              <w:t>NE</w:t>
            </w:r>
          </w:p>
          <w:p w14:paraId="02BA1A06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3885121A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4143295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v celoti,</w:t>
            </w:r>
          </w:p>
          <w:p w14:paraId="75E56561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večinoma,</w:t>
            </w:r>
          </w:p>
          <w:p w14:paraId="7C6F1F9D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delno,</w:t>
            </w:r>
          </w:p>
          <w:p w14:paraId="4E1CC118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niso bili upoštevani.</w:t>
            </w:r>
          </w:p>
          <w:p w14:paraId="4028A7AF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  <w:p w14:paraId="72B5C8FA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42EC07F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6D6E724E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AE5D02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14:paraId="2E42635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123FEE4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CF641A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DA/</w:t>
            </w:r>
            <w:r w:rsidRPr="003F2783">
              <w:rPr>
                <w:rFonts w:eastAsia="Times New Roman" w:cs="Arial"/>
                <w:b/>
                <w:bCs/>
                <w:szCs w:val="20"/>
                <w:lang w:eastAsia="sl-SI"/>
              </w:rPr>
              <w:t>NE</w:t>
            </w:r>
          </w:p>
        </w:tc>
      </w:tr>
      <w:tr w:rsidR="00AE1F83" w:rsidRPr="00AE1F83" w14:paraId="547DB09B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3E8C94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(Če je odgovor NE, navedite, zakaj ni bilo objavljeno.)</w:t>
            </w:r>
          </w:p>
        </w:tc>
      </w:tr>
      <w:tr w:rsidR="00AE1F83" w:rsidRPr="00AE1F83" w14:paraId="79A8308E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4ED1D05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(Če je odgovor DA, navedite:</w:t>
            </w:r>
          </w:p>
          <w:p w14:paraId="477F4C8A" w14:textId="77777777" w:rsidR="00AE1F83" w:rsidRPr="00AE1F83" w:rsidRDefault="00AE1F83" w:rsidP="008D7B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0EE5D946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45BC36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F641E2A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DA/</w:t>
            </w:r>
            <w:r w:rsidRPr="003F2783">
              <w:rPr>
                <w:rFonts w:eastAsia="Times New Roman" w:cs="Arial"/>
                <w:b/>
                <w:bCs/>
                <w:szCs w:val="20"/>
                <w:lang w:eastAsia="sl-SI"/>
              </w:rPr>
              <w:t>NE</w:t>
            </w:r>
          </w:p>
        </w:tc>
      </w:tr>
      <w:tr w:rsidR="00AE1F83" w:rsidRPr="00AE1F83" w14:paraId="19B5A44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2CD05C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E62A73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DA/</w:t>
            </w:r>
            <w:r w:rsidRPr="003F2783">
              <w:rPr>
                <w:rFonts w:eastAsia="Times New Roman" w:cs="Arial"/>
                <w:b/>
                <w:bCs/>
                <w:szCs w:val="20"/>
                <w:lang w:eastAsia="sl-SI"/>
              </w:rPr>
              <w:t>NE</w:t>
            </w:r>
          </w:p>
        </w:tc>
      </w:tr>
      <w:tr w:rsidR="00AE1F83" w:rsidRPr="00AE1F83" w14:paraId="42E57E1F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8B9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</w:p>
          <w:p w14:paraId="6AD4CA5D" w14:textId="77777777" w:rsidR="00DA0383" w:rsidRPr="008D6085" w:rsidRDefault="00DA0383" w:rsidP="00DA0383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8D6085">
              <w:rPr>
                <w:b w:val="0"/>
                <w:sz w:val="20"/>
                <w:szCs w:val="20"/>
              </w:rPr>
              <w:t xml:space="preserve">Simon Maljevac  </w:t>
            </w:r>
          </w:p>
          <w:p w14:paraId="14460FB8" w14:textId="77777777" w:rsidR="00AE1F83" w:rsidRDefault="00DA0383" w:rsidP="00C52B6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8D6085">
              <w:rPr>
                <w:b w:val="0"/>
                <w:sz w:val="20"/>
                <w:szCs w:val="20"/>
              </w:rPr>
              <w:t>MINISTER</w:t>
            </w:r>
          </w:p>
          <w:p w14:paraId="7F74E797" w14:textId="0F8BDF6B" w:rsidR="00C52B6A" w:rsidRPr="00C52B6A" w:rsidRDefault="00C52B6A" w:rsidP="00C52B6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7924453F" w14:textId="77777777" w:rsidR="00522F38" w:rsidRPr="00494D8D" w:rsidRDefault="00522F38" w:rsidP="00522F38">
      <w:pPr>
        <w:keepLines/>
        <w:spacing w:line="276" w:lineRule="auto"/>
        <w:ind w:right="962"/>
        <w:jc w:val="right"/>
        <w:rPr>
          <w:rFonts w:cs="Arial"/>
          <w:b/>
          <w:szCs w:val="20"/>
        </w:rPr>
      </w:pPr>
      <w:r w:rsidRPr="00494D8D">
        <w:rPr>
          <w:rFonts w:cs="Arial"/>
          <w:b/>
          <w:szCs w:val="20"/>
        </w:rPr>
        <w:lastRenderedPageBreak/>
        <w:t>PREDLOG</w:t>
      </w:r>
      <w:r>
        <w:rPr>
          <w:rFonts w:cs="Arial"/>
          <w:b/>
          <w:szCs w:val="20"/>
        </w:rPr>
        <w:t xml:space="preserve"> SKLEPA</w:t>
      </w:r>
    </w:p>
    <w:p w14:paraId="7F8187DB" w14:textId="77777777" w:rsidR="00522F38" w:rsidRDefault="00522F38"/>
    <w:p w14:paraId="2745D412" w14:textId="34D8232D" w:rsidR="0010209E" w:rsidRDefault="0010209E" w:rsidP="0010209E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noProof/>
          <w:color w:val="000000"/>
          <w:szCs w:val="20"/>
          <w:lang w:eastAsia="sl-SI"/>
        </w:rPr>
      </w:pPr>
      <w:r w:rsidRPr="00414758">
        <w:rPr>
          <w:rFonts w:cs="Arial"/>
          <w:noProof/>
          <w:color w:val="000000"/>
          <w:szCs w:val="20"/>
          <w:lang w:eastAsia="sl-SI"/>
        </w:rPr>
        <w:t xml:space="preserve">Na podlagi </w:t>
      </w:r>
      <w:r w:rsidR="00C30648">
        <w:rPr>
          <w:rFonts w:cs="Arial"/>
          <w:noProof/>
          <w:color w:val="000000"/>
          <w:szCs w:val="20"/>
          <w:lang w:eastAsia="sl-SI"/>
        </w:rPr>
        <w:t xml:space="preserve">prve alineje prvega odstavka in </w:t>
      </w:r>
      <w:r w:rsidRPr="00414758">
        <w:rPr>
          <w:rFonts w:cs="Arial"/>
          <w:noProof/>
          <w:color w:val="000000"/>
          <w:szCs w:val="20"/>
          <w:lang w:eastAsia="sl-SI"/>
        </w:rPr>
        <w:t xml:space="preserve">drugega odstavka 10. člena </w:t>
      </w:r>
      <w:r w:rsidRPr="00AF4A40">
        <w:rPr>
          <w:rFonts w:cs="Arial"/>
          <w:noProof/>
          <w:color w:val="000000"/>
          <w:szCs w:val="20"/>
          <w:lang w:eastAsia="sl-SI"/>
        </w:rPr>
        <w:t>Zakon</w:t>
      </w:r>
      <w:r>
        <w:rPr>
          <w:rFonts w:cs="Arial"/>
          <w:noProof/>
          <w:color w:val="000000"/>
          <w:szCs w:val="20"/>
          <w:lang w:eastAsia="sl-SI"/>
        </w:rPr>
        <w:t>a</w:t>
      </w:r>
      <w:r w:rsidRPr="00AF4A40">
        <w:rPr>
          <w:rFonts w:cs="Arial"/>
          <w:noProof/>
          <w:color w:val="000000"/>
          <w:szCs w:val="20"/>
          <w:lang w:eastAsia="sl-SI"/>
        </w:rPr>
        <w:t xml:space="preserve"> o javnih skladih (Uradni list RS, št. 77/08, 8/10 – ZSKZ-B, 61/20 – ZDLGPE in 206/21 – ZDUPŠOP</w:t>
      </w:r>
      <w:r w:rsidR="003F2783">
        <w:rPr>
          <w:rFonts w:cs="Arial"/>
          <w:noProof/>
          <w:color w:val="000000"/>
          <w:szCs w:val="20"/>
          <w:lang w:eastAsia="sl-SI"/>
        </w:rPr>
        <w:t xml:space="preserve">) </w:t>
      </w:r>
      <w:r w:rsidRPr="00414758">
        <w:rPr>
          <w:rFonts w:cs="Arial"/>
          <w:noProof/>
          <w:color w:val="000000"/>
          <w:szCs w:val="20"/>
          <w:lang w:eastAsia="sl-SI"/>
        </w:rPr>
        <w:t xml:space="preserve">in </w:t>
      </w:r>
      <w:r w:rsidR="00C30648">
        <w:rPr>
          <w:rFonts w:cs="Arial"/>
          <w:noProof/>
          <w:color w:val="000000"/>
          <w:szCs w:val="20"/>
          <w:lang w:eastAsia="sl-SI"/>
        </w:rPr>
        <w:t xml:space="preserve">drugega odstavka </w:t>
      </w:r>
      <w:r w:rsidRPr="00414758">
        <w:rPr>
          <w:rFonts w:cs="Arial"/>
          <w:noProof/>
          <w:color w:val="000000"/>
          <w:szCs w:val="20"/>
          <w:lang w:eastAsia="sl-SI"/>
        </w:rPr>
        <w:t xml:space="preserve">4. člena </w:t>
      </w:r>
      <w:r w:rsidRPr="00AF4A40">
        <w:rPr>
          <w:rFonts w:cs="Arial"/>
          <w:noProof/>
          <w:color w:val="000000"/>
          <w:szCs w:val="20"/>
          <w:lang w:eastAsia="sl-SI"/>
        </w:rPr>
        <w:t>Akt</w:t>
      </w:r>
      <w:r>
        <w:rPr>
          <w:rFonts w:cs="Arial"/>
          <w:noProof/>
          <w:color w:val="000000"/>
          <w:szCs w:val="20"/>
          <w:lang w:eastAsia="sl-SI"/>
        </w:rPr>
        <w:t>a</w:t>
      </w:r>
      <w:r w:rsidRPr="00AF4A40">
        <w:rPr>
          <w:rFonts w:cs="Arial"/>
          <w:noProof/>
          <w:color w:val="000000"/>
          <w:szCs w:val="20"/>
          <w:lang w:eastAsia="sl-SI"/>
        </w:rPr>
        <w:t xml:space="preserve"> o ustanovitvi Stanovanjskega sklada Republike Slovenije kot javnega sklada (Uradni list RS, št. 6/11, 60/17, 17/18, 4/19</w:t>
      </w:r>
      <w:r w:rsidR="004044DB">
        <w:rPr>
          <w:rFonts w:cs="Arial"/>
          <w:noProof/>
          <w:color w:val="000000"/>
          <w:szCs w:val="20"/>
          <w:lang w:eastAsia="sl-SI"/>
        </w:rPr>
        <w:t>,</w:t>
      </w:r>
      <w:r w:rsidRPr="00AF4A40">
        <w:rPr>
          <w:rFonts w:cs="Arial"/>
          <w:noProof/>
          <w:color w:val="000000"/>
          <w:szCs w:val="20"/>
          <w:lang w:eastAsia="sl-SI"/>
        </w:rPr>
        <w:t xml:space="preserve"> 31/21</w:t>
      </w:r>
      <w:r w:rsidR="004044DB">
        <w:rPr>
          <w:rFonts w:cs="Arial"/>
          <w:noProof/>
          <w:color w:val="000000"/>
          <w:szCs w:val="20"/>
          <w:lang w:eastAsia="sl-SI"/>
        </w:rPr>
        <w:t xml:space="preserve"> in 132/23</w:t>
      </w:r>
      <w:r w:rsidRPr="00AF4A40">
        <w:rPr>
          <w:rFonts w:cs="Arial"/>
          <w:noProof/>
          <w:color w:val="000000"/>
          <w:szCs w:val="20"/>
          <w:lang w:eastAsia="sl-SI"/>
        </w:rPr>
        <w:t>)</w:t>
      </w:r>
      <w:r w:rsidRPr="00414758">
        <w:rPr>
          <w:rFonts w:cs="Arial"/>
          <w:noProof/>
          <w:color w:val="000000"/>
          <w:szCs w:val="20"/>
          <w:lang w:eastAsia="sl-SI"/>
        </w:rPr>
        <w:t xml:space="preserve"> je Vlada Republike Slovenije na … seji, dne … sprejela naslednji</w:t>
      </w:r>
    </w:p>
    <w:p w14:paraId="3CE58597" w14:textId="77777777" w:rsidR="008D7B27" w:rsidRDefault="008D7B27" w:rsidP="0010209E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noProof/>
          <w:color w:val="000000"/>
          <w:szCs w:val="20"/>
          <w:lang w:eastAsia="sl-SI"/>
        </w:rPr>
      </w:pPr>
    </w:p>
    <w:p w14:paraId="4C42BD88" w14:textId="77777777" w:rsidR="0010209E" w:rsidRDefault="0010209E" w:rsidP="0010209E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noProof/>
          <w:color w:val="000000"/>
          <w:szCs w:val="20"/>
          <w:lang w:val="en-US" w:eastAsia="sl-SI"/>
        </w:rPr>
      </w:pPr>
      <w:r w:rsidRPr="00F1479E">
        <w:rPr>
          <w:rFonts w:cs="Arial"/>
          <w:b/>
          <w:noProof/>
          <w:color w:val="000000"/>
          <w:szCs w:val="20"/>
          <w:lang w:val="en-US" w:eastAsia="sl-SI"/>
        </w:rPr>
        <w:t>SKLEP</w:t>
      </w:r>
      <w:r>
        <w:rPr>
          <w:rFonts w:cs="Arial"/>
          <w:b/>
          <w:noProof/>
          <w:color w:val="000000"/>
          <w:szCs w:val="20"/>
          <w:lang w:val="en-US" w:eastAsia="sl-SI"/>
        </w:rPr>
        <w:t>:</w:t>
      </w:r>
    </w:p>
    <w:p w14:paraId="376DF5C8" w14:textId="77777777" w:rsidR="0010209E" w:rsidRPr="00494D8D" w:rsidRDefault="0010209E" w:rsidP="0010209E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noProof/>
          <w:color w:val="000000"/>
          <w:szCs w:val="20"/>
          <w:lang w:val="en-US" w:eastAsia="sl-SI"/>
        </w:rPr>
      </w:pPr>
    </w:p>
    <w:p w14:paraId="107AB84D" w14:textId="79A911C1" w:rsidR="007969B8" w:rsidRDefault="007969B8" w:rsidP="007969B8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</w:rPr>
      </w:pPr>
      <w:r w:rsidRPr="00C65226">
        <w:rPr>
          <w:rFonts w:cs="Arial"/>
        </w:rPr>
        <w:t xml:space="preserve">Namensko premoženje in kapital Stanovanjskega sklada Republike Slovenije, javnega sklada, </w:t>
      </w:r>
      <w:r w:rsidRPr="00902CB0">
        <w:rPr>
          <w:rFonts w:cs="Arial"/>
        </w:rPr>
        <w:t>se</w:t>
      </w:r>
      <w:r w:rsidR="00464ECF" w:rsidRPr="00902CB0">
        <w:rPr>
          <w:rFonts w:cs="Arial"/>
        </w:rPr>
        <w:t xml:space="preserve"> v letu 2024</w:t>
      </w:r>
      <w:r w:rsidRPr="00902CB0">
        <w:rPr>
          <w:rFonts w:cs="Arial"/>
        </w:rPr>
        <w:t xml:space="preserve"> </w:t>
      </w:r>
      <w:r w:rsidRPr="00C65226">
        <w:rPr>
          <w:rFonts w:cs="Arial"/>
        </w:rPr>
        <w:t xml:space="preserve">povečata z </w:t>
      </w:r>
      <w:r>
        <w:rPr>
          <w:rFonts w:cs="Arial"/>
        </w:rPr>
        <w:t>izplačilom sredstev v višin</w:t>
      </w:r>
      <w:r w:rsidRPr="00C65226">
        <w:rPr>
          <w:rFonts w:cs="Arial"/>
        </w:rPr>
        <w:t xml:space="preserve">i </w:t>
      </w:r>
      <w:r>
        <w:rPr>
          <w:rFonts w:cs="Arial"/>
        </w:rPr>
        <w:t>25</w:t>
      </w:r>
      <w:r w:rsidRPr="003D7DBE">
        <w:rPr>
          <w:rFonts w:cs="Arial"/>
        </w:rPr>
        <w:t>.500.000</w:t>
      </w:r>
      <w:r>
        <w:rPr>
          <w:rFonts w:cs="Arial"/>
        </w:rPr>
        <w:t>,00</w:t>
      </w:r>
      <w:r w:rsidRPr="003D7DBE">
        <w:rPr>
          <w:rFonts w:cs="Arial"/>
        </w:rPr>
        <w:t xml:space="preserve"> evr</w:t>
      </w:r>
      <w:r w:rsidR="00C30648">
        <w:rPr>
          <w:rFonts w:cs="Arial"/>
        </w:rPr>
        <w:t>a</w:t>
      </w:r>
      <w:r w:rsidRPr="003D7DBE">
        <w:rPr>
          <w:rFonts w:cs="Arial"/>
        </w:rPr>
        <w:t xml:space="preserve"> s proračunske postavke </w:t>
      </w:r>
      <w:r w:rsidR="008D7B27">
        <w:rPr>
          <w:rFonts w:cs="Arial"/>
        </w:rPr>
        <w:t>–</w:t>
      </w:r>
      <w:r>
        <w:rPr>
          <w:rFonts w:cs="Arial"/>
        </w:rPr>
        <w:t xml:space="preserve"> </w:t>
      </w:r>
      <w:r w:rsidR="008D7B27">
        <w:t xml:space="preserve">231655 </w:t>
      </w:r>
      <w:r w:rsidRPr="003D7DBE">
        <w:rPr>
          <w:rFonts w:cs="Arial"/>
        </w:rPr>
        <w:t>Dokapitalizacija Stanovanjskega sklada RS.</w:t>
      </w:r>
    </w:p>
    <w:p w14:paraId="4EFD0FC1" w14:textId="77777777" w:rsidR="007969B8" w:rsidRDefault="007969B8" w:rsidP="007969B8">
      <w:pPr>
        <w:pStyle w:val="Odstavekseznama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</w:rPr>
      </w:pPr>
    </w:p>
    <w:p w14:paraId="5D523847" w14:textId="77777777" w:rsidR="0010209E" w:rsidRPr="003F2783" w:rsidRDefault="007969B8" w:rsidP="00AB0D1D">
      <w:pPr>
        <w:pStyle w:val="Odstavekseznama"/>
        <w:numPr>
          <w:ilvl w:val="0"/>
          <w:numId w:val="14"/>
        </w:numPr>
        <w:rPr>
          <w:noProof/>
          <w:color w:val="000000"/>
          <w:szCs w:val="20"/>
          <w:lang w:eastAsia="sl-SI"/>
        </w:rPr>
      </w:pPr>
      <w:r w:rsidRPr="00613ECD">
        <w:rPr>
          <w:rFonts w:cs="Arial"/>
          <w:color w:val="000000"/>
        </w:rPr>
        <w:t>Povečanje, vrednost ter vrsta namenskega premoženja in kapitala iz prejšnje točke se vpišejo v sodni register.</w:t>
      </w:r>
    </w:p>
    <w:p w14:paraId="3645DB7A" w14:textId="77777777" w:rsidR="0010209E" w:rsidRPr="003F2783" w:rsidRDefault="0010209E" w:rsidP="0010209E">
      <w:pPr>
        <w:overflowPunct w:val="0"/>
        <w:autoSpaceDE w:val="0"/>
        <w:autoSpaceDN w:val="0"/>
        <w:adjustRightInd w:val="0"/>
        <w:spacing w:line="260" w:lineRule="exact"/>
        <w:ind w:left="360"/>
        <w:jc w:val="both"/>
        <w:textAlignment w:val="baseline"/>
        <w:rPr>
          <w:rFonts w:cs="Arial"/>
          <w:noProof/>
          <w:color w:val="000000"/>
          <w:szCs w:val="20"/>
        </w:rPr>
      </w:pPr>
    </w:p>
    <w:p w14:paraId="3101AF70" w14:textId="77777777" w:rsidR="0010209E" w:rsidRDefault="0010209E" w:rsidP="0010209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Sklep prejmejo:</w:t>
      </w:r>
    </w:p>
    <w:p w14:paraId="28B4268B" w14:textId="77777777" w:rsidR="0010209E" w:rsidRPr="00795202" w:rsidRDefault="0010209E" w:rsidP="0010209E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795202">
        <w:rPr>
          <w:rFonts w:cs="Arial"/>
          <w:iCs/>
          <w:szCs w:val="20"/>
          <w:lang w:eastAsia="sl-SI"/>
        </w:rPr>
        <w:t>Ministrstvo za solidarno prihodnost</w:t>
      </w:r>
    </w:p>
    <w:p w14:paraId="22376795" w14:textId="77777777" w:rsidR="0010209E" w:rsidRDefault="0010209E" w:rsidP="0010209E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Stanovanjski sklad Republike Slovenije</w:t>
      </w:r>
      <w:r w:rsidR="007969B8">
        <w:rPr>
          <w:rFonts w:cs="Arial"/>
          <w:iCs/>
          <w:szCs w:val="20"/>
          <w:lang w:eastAsia="sl-SI"/>
        </w:rPr>
        <w:t>, javni sklad</w:t>
      </w:r>
    </w:p>
    <w:p w14:paraId="428D84BD" w14:textId="77777777" w:rsidR="0010209E" w:rsidRDefault="0010209E" w:rsidP="0010209E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Ministrstvo za finance</w:t>
      </w:r>
    </w:p>
    <w:p w14:paraId="4A2A16AF" w14:textId="77777777" w:rsidR="0010209E" w:rsidRDefault="0010209E" w:rsidP="0010209E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Služba vlade RS za zakonodajo</w:t>
      </w:r>
    </w:p>
    <w:p w14:paraId="4BB5111D" w14:textId="77777777" w:rsidR="0010209E" w:rsidRPr="00795202" w:rsidRDefault="0010209E" w:rsidP="0010209E">
      <w:pPr>
        <w:pStyle w:val="Odstavekseznam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Urad vlade RS za komuniciranje</w:t>
      </w:r>
    </w:p>
    <w:p w14:paraId="7C5E61B2" w14:textId="77777777" w:rsidR="00522F38" w:rsidRDefault="00522F38"/>
    <w:p w14:paraId="4BD6D38A" w14:textId="77777777" w:rsidR="00522F38" w:rsidRDefault="00522F38"/>
    <w:p w14:paraId="0B7E21F0" w14:textId="77777777" w:rsidR="00522F38" w:rsidRDefault="00522F38"/>
    <w:p w14:paraId="00E8AEA3" w14:textId="77777777" w:rsidR="00522F38" w:rsidRDefault="00522F38"/>
    <w:p w14:paraId="79804A66" w14:textId="77777777" w:rsidR="00522F38" w:rsidRDefault="00522F38"/>
    <w:p w14:paraId="49B32B2F" w14:textId="77777777" w:rsidR="0010209E" w:rsidRDefault="0010209E"/>
    <w:p w14:paraId="798C8050" w14:textId="77777777" w:rsidR="0010209E" w:rsidRDefault="0010209E"/>
    <w:p w14:paraId="1E237FE4" w14:textId="77777777" w:rsidR="0010209E" w:rsidRDefault="0010209E"/>
    <w:p w14:paraId="52EE06FF" w14:textId="77777777" w:rsidR="0010209E" w:rsidRDefault="0010209E"/>
    <w:p w14:paraId="108F552F" w14:textId="77777777" w:rsidR="00522F38" w:rsidRDefault="00522F38"/>
    <w:p w14:paraId="65C398CE" w14:textId="77777777" w:rsidR="008D7B27" w:rsidRDefault="008D7B27"/>
    <w:p w14:paraId="1BCA0189" w14:textId="77777777" w:rsidR="003F2783" w:rsidRDefault="003F2783"/>
    <w:p w14:paraId="2FA9B16C" w14:textId="77777777" w:rsidR="00522F38" w:rsidRDefault="00522F38"/>
    <w:p w14:paraId="1C084F1C" w14:textId="77777777" w:rsidR="00522F38" w:rsidRDefault="00522F38"/>
    <w:p w14:paraId="05CF949B" w14:textId="77777777" w:rsidR="007969B8" w:rsidRDefault="007969B8"/>
    <w:p w14:paraId="0784B0F7" w14:textId="77777777" w:rsidR="007969B8" w:rsidRDefault="007969B8"/>
    <w:p w14:paraId="08859F1E" w14:textId="77777777" w:rsidR="00522F38" w:rsidRDefault="00522F38" w:rsidP="00C16373">
      <w:pPr>
        <w:keepLines/>
        <w:spacing w:line="240" w:lineRule="auto"/>
        <w:jc w:val="center"/>
        <w:rPr>
          <w:b/>
        </w:rPr>
      </w:pPr>
      <w:r w:rsidRPr="00494D8D">
        <w:rPr>
          <w:b/>
        </w:rPr>
        <w:lastRenderedPageBreak/>
        <w:t>OBRAZLOŽITEV</w:t>
      </w:r>
    </w:p>
    <w:p w14:paraId="0935FBE6" w14:textId="77777777" w:rsidR="00C16373" w:rsidRPr="00494D8D" w:rsidRDefault="00C16373" w:rsidP="003F2783">
      <w:pPr>
        <w:keepLines/>
        <w:spacing w:line="240" w:lineRule="auto"/>
        <w:jc w:val="center"/>
        <w:rPr>
          <w:b/>
        </w:rPr>
      </w:pPr>
    </w:p>
    <w:p w14:paraId="770D4A4B" w14:textId="08B997DD" w:rsidR="00D0580B" w:rsidRDefault="00D0580B" w:rsidP="00D0580B">
      <w:pPr>
        <w:spacing w:line="288" w:lineRule="auto"/>
        <w:jc w:val="both"/>
        <w:rPr>
          <w:rFonts w:cs="Arial"/>
          <w:szCs w:val="20"/>
        </w:rPr>
      </w:pPr>
      <w:r w:rsidRPr="00494D8D">
        <w:rPr>
          <w:rFonts w:cs="Arial"/>
          <w:szCs w:val="20"/>
        </w:rPr>
        <w:t xml:space="preserve">Skladno z 10. členom </w:t>
      </w:r>
      <w:r w:rsidR="003F2783">
        <w:rPr>
          <w:rFonts w:cs="Arial"/>
          <w:szCs w:val="20"/>
        </w:rPr>
        <w:t xml:space="preserve">Zakona o javnih skladih </w:t>
      </w:r>
      <w:r w:rsidR="007969B8">
        <w:rPr>
          <w:rFonts w:cs="Arial"/>
          <w:szCs w:val="20"/>
        </w:rPr>
        <w:t>(</w:t>
      </w:r>
      <w:r w:rsidR="003F2783" w:rsidRPr="003F2783">
        <w:rPr>
          <w:rFonts w:cs="Arial"/>
          <w:szCs w:val="20"/>
        </w:rPr>
        <w:t>Uradni list RS, št. 77/08, 8/10 – ZSKZ-B, 61/20 – ZDLGPE in 206/21 – ZDUPŠOP</w:t>
      </w:r>
      <w:r w:rsidR="003F2783">
        <w:rPr>
          <w:rFonts w:cs="Arial"/>
          <w:szCs w:val="20"/>
        </w:rPr>
        <w:t>; v nadaljevanju</w:t>
      </w:r>
      <w:r w:rsidR="00802C4A">
        <w:rPr>
          <w:rFonts w:cs="Arial"/>
          <w:szCs w:val="20"/>
        </w:rPr>
        <w:t>:</w:t>
      </w:r>
      <w:r w:rsidR="003F2783">
        <w:rPr>
          <w:rFonts w:cs="Arial"/>
          <w:szCs w:val="20"/>
        </w:rPr>
        <w:t xml:space="preserve"> </w:t>
      </w:r>
      <w:r w:rsidRPr="00494D8D">
        <w:rPr>
          <w:rFonts w:cs="Arial"/>
          <w:szCs w:val="20"/>
        </w:rPr>
        <w:t>ZJS-1</w:t>
      </w:r>
      <w:r w:rsidR="003F2783">
        <w:rPr>
          <w:rFonts w:cs="Arial"/>
          <w:szCs w:val="20"/>
        </w:rPr>
        <w:t>)</w:t>
      </w:r>
      <w:r w:rsidRPr="00494D8D">
        <w:rPr>
          <w:rFonts w:cs="Arial"/>
          <w:szCs w:val="20"/>
        </w:rPr>
        <w:t xml:space="preserve"> se namensko premoženje in kapital javnega sklada lahko sočasno povečata z vplačilom dodatnega namenskega premoženja v kapital javnega sklada s strani ustanovitelja. Ustanovitelj v tem primeru zagotovi dodatno namensko premoženje s sklepom, iz katerega sta razvidni vrsta in vrednost dodatnega namenskega premoženja, ki ga kot kapital vplačuje v javni sklad. Povečanje kapitala javnega sklada z vplačilom dodatnega premoženja se vpiše v sodni register. Predlog za vpis povečanja kapitala javnega sklada v sodni register </w:t>
      </w:r>
      <w:r w:rsidR="00425EE2">
        <w:rPr>
          <w:rFonts w:cs="Arial"/>
          <w:szCs w:val="20"/>
        </w:rPr>
        <w:t xml:space="preserve">v </w:t>
      </w:r>
      <w:r w:rsidR="00802C4A">
        <w:rPr>
          <w:rFonts w:cs="Arial"/>
          <w:szCs w:val="20"/>
        </w:rPr>
        <w:t>sklad</w:t>
      </w:r>
      <w:r w:rsidR="00425EE2">
        <w:rPr>
          <w:rFonts w:cs="Arial"/>
          <w:szCs w:val="20"/>
        </w:rPr>
        <w:t>u</w:t>
      </w:r>
      <w:r w:rsidR="00802C4A">
        <w:rPr>
          <w:rFonts w:cs="Arial"/>
          <w:szCs w:val="20"/>
        </w:rPr>
        <w:t xml:space="preserve"> z določbo </w:t>
      </w:r>
      <w:r w:rsidR="00425EE2">
        <w:rPr>
          <w:rFonts w:cs="Arial"/>
          <w:szCs w:val="20"/>
        </w:rPr>
        <w:t>petega</w:t>
      </w:r>
      <w:r w:rsidR="00802C4A">
        <w:rPr>
          <w:rFonts w:cs="Arial"/>
          <w:szCs w:val="20"/>
        </w:rPr>
        <w:t xml:space="preserve"> odstavka 10. člena ZJS-</w:t>
      </w:r>
      <w:r w:rsidR="00425EE2">
        <w:rPr>
          <w:rFonts w:cs="Arial"/>
          <w:szCs w:val="20"/>
        </w:rPr>
        <w:t>1</w:t>
      </w:r>
      <w:r w:rsidR="00802C4A">
        <w:rPr>
          <w:rFonts w:cs="Arial"/>
          <w:szCs w:val="20"/>
        </w:rPr>
        <w:t xml:space="preserve"> </w:t>
      </w:r>
      <w:r w:rsidRPr="00494D8D">
        <w:rPr>
          <w:rFonts w:cs="Arial"/>
          <w:szCs w:val="20"/>
        </w:rPr>
        <w:t>predloži direktor javnega sklada. Za postopek izročanja premoženja in vpis povečanja kapitala se smiselno uporabljajo določbe o izročanju premoženja in vpisu kapitala javnega sklada ob ustanovitvi.</w:t>
      </w:r>
    </w:p>
    <w:p w14:paraId="38634C22" w14:textId="040D924B" w:rsidR="00F50B51" w:rsidRDefault="009F64A3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Prejeta s</w:t>
      </w:r>
      <w:r w:rsidR="00AD3071">
        <w:rPr>
          <w:rFonts w:cs="Arial"/>
          <w:szCs w:val="20"/>
        </w:rPr>
        <w:t>redstva</w:t>
      </w:r>
      <w:r w:rsidR="00874E6D">
        <w:rPr>
          <w:rFonts w:cs="Arial"/>
          <w:szCs w:val="20"/>
        </w:rPr>
        <w:t xml:space="preserve"> v višini 25.500.000,00 evrov</w:t>
      </w:r>
      <w:r w:rsidR="00AD3071">
        <w:rPr>
          <w:rFonts w:cs="Arial"/>
          <w:szCs w:val="20"/>
        </w:rPr>
        <w:t xml:space="preserve"> se</w:t>
      </w:r>
      <w:r w:rsidR="00B17CEF">
        <w:rPr>
          <w:rFonts w:cs="Arial"/>
          <w:szCs w:val="20"/>
        </w:rPr>
        <w:t xml:space="preserve"> v </w:t>
      </w:r>
      <w:r w:rsidR="00B17CEF" w:rsidRPr="006872F1">
        <w:rPr>
          <w:rFonts w:cs="Arial"/>
          <w:szCs w:val="20"/>
        </w:rPr>
        <w:t>skladu z 148. členom</w:t>
      </w:r>
      <w:r w:rsidR="006872F1" w:rsidRPr="006872F1">
        <w:rPr>
          <w:rFonts w:cs="Arial"/>
          <w:szCs w:val="20"/>
        </w:rPr>
        <w:t xml:space="preserve"> Stanovanjskega zakona (Uradni list RS, št. 69/03, 18/04 – ZVKSES, 47/06 – ZEN, 45/08 – ZVEtL, 57/08, 62/10 – ZUPJS, 56/11 – odl. US, 87/11, 40/12 – ZUJF, 14/17 – odl. US, 27/17, 59/19, 189/20 – ZFRO, 90/21, 18/23 – ZDU-1O in 77/23 – odl. US; v nadaljevanju:</w:t>
      </w:r>
      <w:r w:rsidR="00B17CEF" w:rsidRPr="006872F1">
        <w:rPr>
          <w:rFonts w:cs="Arial"/>
          <w:szCs w:val="20"/>
        </w:rPr>
        <w:t xml:space="preserve"> SZ-1</w:t>
      </w:r>
      <w:r w:rsidR="006872F1" w:rsidRPr="006872F1">
        <w:rPr>
          <w:rFonts w:cs="Arial"/>
          <w:szCs w:val="20"/>
        </w:rPr>
        <w:t>)</w:t>
      </w:r>
      <w:r w:rsidR="00B17CEF" w:rsidRPr="006872F1">
        <w:rPr>
          <w:rFonts w:cs="Arial"/>
          <w:szCs w:val="20"/>
        </w:rPr>
        <w:t>,</w:t>
      </w:r>
      <w:r w:rsidR="00EA56B1" w:rsidRPr="006872F1">
        <w:rPr>
          <w:rFonts w:cs="Arial"/>
          <w:szCs w:val="20"/>
        </w:rPr>
        <w:t xml:space="preserve"> </w:t>
      </w:r>
      <w:r w:rsidR="00AD3071" w:rsidRPr="006872F1">
        <w:rPr>
          <w:rFonts w:cs="Arial"/>
          <w:szCs w:val="20"/>
        </w:rPr>
        <w:t>zagot</w:t>
      </w:r>
      <w:r w:rsidR="00B17CEF" w:rsidRPr="006872F1">
        <w:rPr>
          <w:rFonts w:cs="Arial"/>
          <w:szCs w:val="20"/>
        </w:rPr>
        <w:t>ovijo</w:t>
      </w:r>
      <w:r w:rsidR="00AD3071" w:rsidRPr="006872F1">
        <w:rPr>
          <w:rFonts w:cs="Arial"/>
          <w:szCs w:val="20"/>
        </w:rPr>
        <w:t xml:space="preserve"> za </w:t>
      </w:r>
      <w:r w:rsidR="00F050D5" w:rsidRPr="006872F1">
        <w:rPr>
          <w:rFonts w:cs="Arial"/>
          <w:szCs w:val="20"/>
        </w:rPr>
        <w:t>dajanje dolgoročnih</w:t>
      </w:r>
      <w:r w:rsidR="00F050D5">
        <w:rPr>
          <w:rFonts w:cs="Arial"/>
          <w:szCs w:val="20"/>
        </w:rPr>
        <w:t xml:space="preserve"> posojil po ugodni obrestni meri pravnim osebam za pridobivanje neprofitnih najemnih stanovanj</w:t>
      </w:r>
      <w:r w:rsidR="00713049">
        <w:rPr>
          <w:rFonts w:cs="Arial"/>
          <w:szCs w:val="20"/>
        </w:rPr>
        <w:t xml:space="preserve"> oziroma</w:t>
      </w:r>
      <w:r w:rsidR="00376F08">
        <w:rPr>
          <w:rFonts w:cs="Arial"/>
          <w:szCs w:val="20"/>
        </w:rPr>
        <w:t xml:space="preserve"> se jih nameni za soinvestitorstvo in partnerstva, ki so v 150.a členu SZ-1 opredeljena kot sodelovanje z občinami in neprofitnimi stanovanjskimi organizacijami za pridobivanje neprofitnih najemnih stanovanj. </w:t>
      </w:r>
      <w:r w:rsidR="00FC17BC">
        <w:rPr>
          <w:rFonts w:cs="Arial"/>
          <w:szCs w:val="20"/>
        </w:rPr>
        <w:t>Pristojnost dajanja posojil SSRS izvaja prek</w:t>
      </w:r>
      <w:r w:rsidR="00305DF9">
        <w:rPr>
          <w:rFonts w:cs="Arial"/>
          <w:szCs w:val="20"/>
        </w:rPr>
        <w:t>o</w:t>
      </w:r>
      <w:r w:rsidR="00A2305B">
        <w:rPr>
          <w:rFonts w:cs="Arial"/>
          <w:szCs w:val="20"/>
        </w:rPr>
        <w:t xml:space="preserve"> vsakokratnega</w:t>
      </w:r>
      <w:r w:rsidR="00FC17BC">
        <w:rPr>
          <w:rFonts w:cs="Arial"/>
          <w:szCs w:val="20"/>
        </w:rPr>
        <w:t xml:space="preserve"> Programa sofinanciranja </w:t>
      </w:r>
      <w:r w:rsidR="00FC17BC">
        <w:rPr>
          <w:rFonts w:eastAsia="Times New Roman" w:cs="Arial"/>
          <w:iCs/>
          <w:szCs w:val="20"/>
          <w:lang w:eastAsia="sl-SI"/>
        </w:rPr>
        <w:t xml:space="preserve">zagotavljanja javnih najemnih </w:t>
      </w:r>
      <w:r w:rsidR="00305DF9">
        <w:rPr>
          <w:rFonts w:eastAsia="Times New Roman" w:cs="Arial"/>
          <w:iCs/>
          <w:szCs w:val="20"/>
          <w:lang w:eastAsia="sl-SI"/>
        </w:rPr>
        <w:t xml:space="preserve">stanovanjskih </w:t>
      </w:r>
      <w:r w:rsidR="00FC17BC">
        <w:rPr>
          <w:rFonts w:eastAsia="Times New Roman" w:cs="Arial"/>
          <w:iCs/>
          <w:szCs w:val="20"/>
          <w:lang w:eastAsia="sl-SI"/>
        </w:rPr>
        <w:t>enot in bivalnih enot (v nadaljevanju Program).</w:t>
      </w:r>
    </w:p>
    <w:p w14:paraId="643B9819" w14:textId="77777777" w:rsidR="00B63BF9" w:rsidRPr="00C228A1" w:rsidRDefault="00B63BF9" w:rsidP="00F50B51">
      <w:pPr>
        <w:spacing w:line="288" w:lineRule="auto"/>
        <w:jc w:val="both"/>
        <w:rPr>
          <w:rFonts w:cs="Arial"/>
          <w:b/>
          <w:bCs/>
          <w:szCs w:val="20"/>
        </w:rPr>
      </w:pPr>
      <w:r w:rsidRPr="00C228A1">
        <w:rPr>
          <w:rFonts w:cs="Arial"/>
          <w:b/>
          <w:bCs/>
          <w:szCs w:val="20"/>
        </w:rPr>
        <w:t>Program sofinanciranja</w:t>
      </w:r>
    </w:p>
    <w:p w14:paraId="5D46F21D" w14:textId="17F24DF5" w:rsidR="002334E1" w:rsidRDefault="0097197A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SSRS vsak</w:t>
      </w:r>
      <w:r w:rsidR="002334E1">
        <w:rPr>
          <w:rFonts w:cs="Arial"/>
          <w:szCs w:val="20"/>
        </w:rPr>
        <w:t>e dve</w:t>
      </w:r>
      <w:r>
        <w:rPr>
          <w:rFonts w:cs="Arial"/>
          <w:szCs w:val="20"/>
        </w:rPr>
        <w:t xml:space="preserve"> let</w:t>
      </w:r>
      <w:r w:rsidR="002334E1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izvaja anketno poizvedbo o potrebah lokalnih skupnosti po stanovanjih v javni lasti. Zadnje »Poročilo o zaključku Ankete SSRS 2023 o ugotavljanju potreb po vrstah stanovanjskega fonda v občinah« je bilo objavljeno dne </w:t>
      </w:r>
      <w:r w:rsidR="00232054">
        <w:rPr>
          <w:rFonts w:cs="Arial"/>
          <w:szCs w:val="20"/>
        </w:rPr>
        <w:t>31. 5. 2023</w:t>
      </w:r>
      <w:r>
        <w:rPr>
          <w:rFonts w:cs="Arial"/>
          <w:szCs w:val="20"/>
        </w:rPr>
        <w:t>. V njem so zbrani podatki, ki jih je posredovalo 159 občin oz. njihovih stanovanjskih skladov. Te poročajo o potrebi po 15.000 stanovanjskih enotah, od tega 703 bivalnih enotah in 14.298 najemnih stanovanjih v javni lasti.</w:t>
      </w:r>
      <w:r w:rsidR="002334E1">
        <w:rPr>
          <w:rFonts w:cs="Arial"/>
          <w:szCs w:val="20"/>
        </w:rPr>
        <w:t xml:space="preserve"> Ocenjene potrebe so se glede na leto 2021 povečale za več kot 1300 stanovanj. </w:t>
      </w:r>
    </w:p>
    <w:p w14:paraId="639238A6" w14:textId="31AA3186" w:rsidR="00283214" w:rsidRPr="007117D8" w:rsidRDefault="00283214" w:rsidP="007117D8">
      <w:pPr>
        <w:spacing w:line="288" w:lineRule="auto"/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Zaradi razdelitve vseh sredstev po Programu sofinanciranja zagotavljanja javnih najemnih</w:t>
      </w:r>
      <w:r>
        <w:rPr>
          <w:rFonts w:cs="Arial"/>
          <w:szCs w:val="20"/>
        </w:rPr>
        <w:br/>
      </w:r>
      <w:r>
        <w:rPr>
          <w:rFonts w:cs="Arial"/>
          <w:szCs w:val="20"/>
          <w:shd w:val="clear" w:color="auto" w:fill="FFFFFF"/>
        </w:rPr>
        <w:t>stanovanjskih enot v letih 2022 in 2023 je S</w:t>
      </w:r>
      <w:r w:rsidR="006A41F8">
        <w:rPr>
          <w:rFonts w:cs="Arial"/>
          <w:szCs w:val="20"/>
          <w:shd w:val="clear" w:color="auto" w:fill="FFFFFF"/>
        </w:rPr>
        <w:t>SRS</w:t>
      </w:r>
      <w:r>
        <w:rPr>
          <w:rFonts w:cs="Arial"/>
          <w:szCs w:val="20"/>
          <w:shd w:val="clear" w:color="auto" w:fill="FFFFFF"/>
        </w:rPr>
        <w:t xml:space="preserve"> razpis zaprl 15. 9. 2023. </w:t>
      </w:r>
      <w:r w:rsidR="006A41F8">
        <w:rPr>
          <w:rFonts w:cs="Arial"/>
          <w:szCs w:val="20"/>
          <w:shd w:val="clear" w:color="auto" w:fill="FFFFFF"/>
        </w:rPr>
        <w:t xml:space="preserve">SSRS </w:t>
      </w:r>
      <w:r>
        <w:rPr>
          <w:rFonts w:cs="Arial"/>
          <w:szCs w:val="20"/>
          <w:shd w:val="clear" w:color="auto" w:fill="FFFFFF"/>
        </w:rPr>
        <w:t>je še pred iztekom</w:t>
      </w:r>
      <w:r>
        <w:rPr>
          <w:rFonts w:cs="Arial"/>
          <w:szCs w:val="20"/>
        </w:rPr>
        <w:br/>
      </w:r>
      <w:r>
        <w:rPr>
          <w:rFonts w:cs="Arial"/>
          <w:szCs w:val="20"/>
          <w:shd w:val="clear" w:color="auto" w:fill="FFFFFF"/>
        </w:rPr>
        <w:t>programa prejel več vlog upravičencev, ki so bili obveščeni, da o njihovih vlogah ne bo odločal, saj</w:t>
      </w:r>
      <w:r>
        <w:rPr>
          <w:rFonts w:cs="Arial"/>
          <w:szCs w:val="20"/>
        </w:rPr>
        <w:br/>
      </w:r>
      <w:r>
        <w:rPr>
          <w:rFonts w:cs="Arial"/>
          <w:szCs w:val="20"/>
          <w:shd w:val="clear" w:color="auto" w:fill="FFFFFF"/>
        </w:rPr>
        <w:t>sredstva niso več na voljo</w:t>
      </w:r>
      <w:r w:rsidR="00550D86">
        <w:rPr>
          <w:rFonts w:cs="Arial"/>
          <w:szCs w:val="20"/>
          <w:shd w:val="clear" w:color="auto" w:fill="FFFFFF"/>
        </w:rPr>
        <w:t>.</w:t>
      </w:r>
      <w:r>
        <w:rPr>
          <w:rFonts w:cs="Arial"/>
          <w:szCs w:val="20"/>
          <w:shd w:val="clear" w:color="auto" w:fill="FFFFFF"/>
        </w:rPr>
        <w:t xml:space="preserve"> </w:t>
      </w:r>
      <w:r w:rsidR="007117D8">
        <w:rPr>
          <w:rFonts w:cs="Arial"/>
          <w:szCs w:val="20"/>
          <w:shd w:val="clear" w:color="auto" w:fill="FFFFFF"/>
        </w:rPr>
        <w:t>Za P</w:t>
      </w:r>
      <w:r w:rsidR="007117D8" w:rsidRPr="007117D8">
        <w:rPr>
          <w:rFonts w:cs="Arial"/>
          <w:szCs w:val="20"/>
          <w:shd w:val="clear" w:color="auto" w:fill="FFFFFF"/>
        </w:rPr>
        <w:t>rogram sofinanciranja zagotavljanja javnih najemnih</w:t>
      </w:r>
      <w:r w:rsidR="007117D8">
        <w:rPr>
          <w:rFonts w:cs="Arial"/>
          <w:szCs w:val="20"/>
          <w:shd w:val="clear" w:color="auto" w:fill="FFFFFF"/>
        </w:rPr>
        <w:t xml:space="preserve"> </w:t>
      </w:r>
      <w:r w:rsidR="007117D8" w:rsidRPr="007117D8">
        <w:rPr>
          <w:rFonts w:cs="Arial"/>
          <w:szCs w:val="20"/>
          <w:shd w:val="clear" w:color="auto" w:fill="FFFFFF"/>
        </w:rPr>
        <w:t>stanovanjskih enot v letih 2022 in 2023</w:t>
      </w:r>
      <w:r w:rsidR="007117D8">
        <w:rPr>
          <w:rFonts w:cs="Arial"/>
          <w:szCs w:val="20"/>
          <w:shd w:val="clear" w:color="auto" w:fill="FFFFFF"/>
        </w:rPr>
        <w:t xml:space="preserve"> je bilo predvidenih skupaj 10.000.000,00 evrov iz lastnih virov SSRS.</w:t>
      </w:r>
    </w:p>
    <w:p w14:paraId="7B9422B3" w14:textId="786FAE9D" w:rsidR="008D4DB9" w:rsidRDefault="0018481C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solidarno prihodnost je junij</w:t>
      </w:r>
      <w:r w:rsidR="00425EE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2023 </w:t>
      </w:r>
      <w:r w:rsidR="008D4DB9">
        <w:rPr>
          <w:rFonts w:cs="Arial"/>
          <w:szCs w:val="20"/>
        </w:rPr>
        <w:t>začel</w:t>
      </w:r>
      <w:r w:rsidR="00CE39C8">
        <w:rPr>
          <w:rFonts w:cs="Arial"/>
          <w:szCs w:val="20"/>
        </w:rPr>
        <w:t>o</w:t>
      </w:r>
      <w:r w:rsidR="008D4DB9">
        <w:rPr>
          <w:rFonts w:cs="Arial"/>
          <w:szCs w:val="20"/>
        </w:rPr>
        <w:t xml:space="preserve"> izvajati </w:t>
      </w:r>
      <w:r>
        <w:rPr>
          <w:rFonts w:cs="Arial"/>
          <w:szCs w:val="20"/>
        </w:rPr>
        <w:t xml:space="preserve">anketno poizvedovanje med stanovanjskimi skladi in občinami o načrtovanih stanovanjskih projektih. Ministrstvo </w:t>
      </w:r>
      <w:r w:rsidR="008D4DB9">
        <w:rPr>
          <w:rFonts w:cs="Arial"/>
          <w:szCs w:val="20"/>
        </w:rPr>
        <w:t>zbira</w:t>
      </w:r>
      <w:r>
        <w:rPr>
          <w:rFonts w:cs="Arial"/>
          <w:szCs w:val="20"/>
        </w:rPr>
        <w:t xml:space="preserve"> podatke o velikost projekta, ocenjeni vrednosti, začetku in </w:t>
      </w:r>
      <w:r w:rsidR="00232054">
        <w:rPr>
          <w:rFonts w:cs="Arial"/>
          <w:szCs w:val="20"/>
        </w:rPr>
        <w:t>predvidenemu</w:t>
      </w:r>
      <w:r>
        <w:rPr>
          <w:rFonts w:cs="Arial"/>
          <w:szCs w:val="20"/>
        </w:rPr>
        <w:t xml:space="preserve"> zaključku ter aktualni fazi projekta na dan izvajanja ankete. </w:t>
      </w:r>
      <w:r w:rsidRPr="00CE39C8">
        <w:rPr>
          <w:rFonts w:cs="Arial"/>
          <w:szCs w:val="20"/>
        </w:rPr>
        <w:t>Ministrstvo je</w:t>
      </w:r>
      <w:r w:rsidR="008D4DB9" w:rsidRPr="00CE39C8">
        <w:rPr>
          <w:rFonts w:cs="Arial"/>
          <w:szCs w:val="20"/>
        </w:rPr>
        <w:t xml:space="preserve"> do priprave</w:t>
      </w:r>
      <w:r w:rsidRPr="00CE39C8">
        <w:rPr>
          <w:rFonts w:cs="Arial"/>
          <w:szCs w:val="20"/>
        </w:rPr>
        <w:t xml:space="preserve"> </w:t>
      </w:r>
      <w:r w:rsidR="008D4DB9" w:rsidRPr="00CE39C8">
        <w:rPr>
          <w:rFonts w:cs="Arial"/>
          <w:szCs w:val="20"/>
        </w:rPr>
        <w:t xml:space="preserve">tega dokumenta </w:t>
      </w:r>
      <w:r w:rsidRPr="00CE39C8">
        <w:rPr>
          <w:rFonts w:cs="Arial"/>
          <w:szCs w:val="20"/>
        </w:rPr>
        <w:t xml:space="preserve">pridobilo podatke </w:t>
      </w:r>
      <w:r w:rsidR="008D4DB9" w:rsidRPr="00CE39C8">
        <w:rPr>
          <w:rFonts w:cs="Arial"/>
          <w:szCs w:val="20"/>
        </w:rPr>
        <w:t xml:space="preserve">32 občin in 9 stanovanjskih skladov, ki do leta 2027 načrtujejo izvedbo 118 projektov s 4825 stanovanji. Ti projekti so v različnih razvojnih fazah (od pridobivanja projektne dokumentacije do gradnje), za vsa pa so že pridobljena zemljišča. Če odštejemo projekte SSRS, občine in stanovanjski skladi </w:t>
      </w:r>
      <w:r w:rsidR="00440D4B" w:rsidRPr="00CE39C8">
        <w:rPr>
          <w:rFonts w:cs="Arial"/>
          <w:szCs w:val="20"/>
        </w:rPr>
        <w:t>načrtujejo gradnjo 3545 stanovanj.</w:t>
      </w:r>
    </w:p>
    <w:p w14:paraId="7D042A87" w14:textId="42B0B677" w:rsidR="000B0965" w:rsidRDefault="008D4DB9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letu 202</w:t>
      </w:r>
      <w:r w:rsidR="00DE318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0B0965">
        <w:rPr>
          <w:rFonts w:cs="Arial"/>
          <w:szCs w:val="20"/>
        </w:rPr>
        <w:t xml:space="preserve">poizvedba med občinami in skladi nakazuje </w:t>
      </w:r>
      <w:r w:rsidR="008816EF">
        <w:rPr>
          <w:rFonts w:cs="Arial"/>
          <w:szCs w:val="20"/>
        </w:rPr>
        <w:t>možnost sofinanciranja</w:t>
      </w:r>
      <w:r w:rsidR="00293E0B">
        <w:rPr>
          <w:rFonts w:cs="Arial"/>
          <w:szCs w:val="20"/>
        </w:rPr>
        <w:t xml:space="preserve"> 18 projektov, ki so že v gradnji, </w:t>
      </w:r>
      <w:r w:rsidR="00293E0B" w:rsidRPr="00550D86">
        <w:rPr>
          <w:rFonts w:cs="Arial"/>
          <w:b/>
          <w:bCs/>
          <w:szCs w:val="20"/>
        </w:rPr>
        <w:t>imajo pridobljeno gradbeno dovoljenje ali pa načrtujejo, da ga bodo</w:t>
      </w:r>
      <w:r w:rsidR="006A41F8" w:rsidRPr="00550D86">
        <w:rPr>
          <w:rFonts w:cs="Arial"/>
          <w:b/>
          <w:bCs/>
          <w:szCs w:val="20"/>
        </w:rPr>
        <w:t xml:space="preserve"> v</w:t>
      </w:r>
      <w:r w:rsidR="00293E0B" w:rsidRPr="00550D86">
        <w:rPr>
          <w:rFonts w:cs="Arial"/>
          <w:b/>
          <w:bCs/>
          <w:szCs w:val="20"/>
        </w:rPr>
        <w:t xml:space="preserve"> kratkem prejeli</w:t>
      </w:r>
      <w:r w:rsidR="00293E0B">
        <w:rPr>
          <w:rFonts w:cs="Arial"/>
          <w:szCs w:val="20"/>
        </w:rPr>
        <w:t>. Popis vključuje 10 projektov stanovanjski skladov (440 stanovanj) in 8 projektov občin (</w:t>
      </w:r>
      <w:r w:rsidR="00780E12">
        <w:rPr>
          <w:rFonts w:cs="Arial"/>
          <w:szCs w:val="20"/>
        </w:rPr>
        <w:t>149</w:t>
      </w:r>
      <w:r w:rsidR="00293E0B">
        <w:rPr>
          <w:rFonts w:cs="Arial"/>
          <w:szCs w:val="20"/>
        </w:rPr>
        <w:t xml:space="preserve"> stanovanj), v skupni vrednosti </w:t>
      </w:r>
      <w:r w:rsidR="00780E12">
        <w:rPr>
          <w:rFonts w:cs="Arial"/>
          <w:szCs w:val="20"/>
        </w:rPr>
        <w:t>94</w:t>
      </w:r>
      <w:r w:rsidR="00293E0B">
        <w:rPr>
          <w:rFonts w:cs="Arial"/>
          <w:szCs w:val="20"/>
        </w:rPr>
        <w:t>,</w:t>
      </w:r>
      <w:r w:rsidR="00780E12">
        <w:rPr>
          <w:rFonts w:cs="Arial"/>
          <w:szCs w:val="20"/>
        </w:rPr>
        <w:t>3</w:t>
      </w:r>
      <w:r w:rsidR="00293E0B">
        <w:rPr>
          <w:rFonts w:cs="Arial"/>
          <w:szCs w:val="20"/>
        </w:rPr>
        <w:t xml:space="preserve"> milijona EUR. Občine in skladi za izvedbo opisanih projektov potrebujejo </w:t>
      </w:r>
      <w:r w:rsidR="00293E0B">
        <w:rPr>
          <w:rFonts w:cs="Arial"/>
          <w:szCs w:val="20"/>
        </w:rPr>
        <w:lastRenderedPageBreak/>
        <w:t xml:space="preserve">sredstva vsaj v višini 45 milijonov EUR. </w:t>
      </w:r>
      <w:r w:rsidR="00B26269">
        <w:rPr>
          <w:rFonts w:cs="Arial"/>
          <w:szCs w:val="20"/>
        </w:rPr>
        <w:t xml:space="preserve">Pri tem </w:t>
      </w:r>
      <w:r w:rsidR="00425EE2">
        <w:rPr>
          <w:rFonts w:cs="Arial"/>
          <w:szCs w:val="20"/>
        </w:rPr>
        <w:t xml:space="preserve">se </w:t>
      </w:r>
      <w:r w:rsidR="00B26269">
        <w:rPr>
          <w:rFonts w:cs="Arial"/>
          <w:szCs w:val="20"/>
        </w:rPr>
        <w:t xml:space="preserve">poudarja, da popis ni celosten, saj se nanj niso odzvale vse občine. Izkazan popis je pokazatelj potenciala, katerega konkretna realizacija je seveda odvisna od različnih objektivnih okoliščin na terenu.  </w:t>
      </w:r>
    </w:p>
    <w:p w14:paraId="23E086D7" w14:textId="77777777" w:rsidR="00B26269" w:rsidRDefault="00B26269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Med popisanimi potencialnimi projekti so: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"/>
        <w:gridCol w:w="1528"/>
        <w:gridCol w:w="1826"/>
        <w:gridCol w:w="1150"/>
        <w:gridCol w:w="1237"/>
        <w:gridCol w:w="1235"/>
        <w:gridCol w:w="1597"/>
      </w:tblGrid>
      <w:tr w:rsidR="00B26269" w:rsidRPr="00B26269" w14:paraId="1E1CC9E8" w14:textId="77777777" w:rsidTr="00B26269">
        <w:trPr>
          <w:trHeight w:val="780"/>
        </w:trPr>
        <w:tc>
          <w:tcPr>
            <w:tcW w:w="903" w:type="dxa"/>
            <w:hideMark/>
          </w:tcPr>
          <w:p w14:paraId="77A19B1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342" w:type="dxa"/>
            <w:hideMark/>
          </w:tcPr>
          <w:p w14:paraId="0DC7383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Investitor</w:t>
            </w:r>
          </w:p>
        </w:tc>
        <w:tc>
          <w:tcPr>
            <w:tcW w:w="2625" w:type="dxa"/>
            <w:hideMark/>
          </w:tcPr>
          <w:p w14:paraId="2EC469D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 xml:space="preserve">Naziv projekta </w:t>
            </w:r>
          </w:p>
        </w:tc>
        <w:tc>
          <w:tcPr>
            <w:tcW w:w="1107" w:type="dxa"/>
            <w:hideMark/>
          </w:tcPr>
          <w:p w14:paraId="401CA74F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Število stanovanj</w:t>
            </w:r>
          </w:p>
        </w:tc>
        <w:tc>
          <w:tcPr>
            <w:tcW w:w="1680" w:type="dxa"/>
            <w:hideMark/>
          </w:tcPr>
          <w:p w14:paraId="264B4B8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Predviden datum priče</w:t>
            </w:r>
            <w:r w:rsidR="00780E12">
              <w:rPr>
                <w:rFonts w:cs="Arial"/>
                <w:b/>
                <w:bCs/>
                <w:szCs w:val="20"/>
              </w:rPr>
              <w:t>tk</w:t>
            </w:r>
            <w:r w:rsidRPr="00B26269">
              <w:rPr>
                <w:rFonts w:cs="Arial"/>
                <w:b/>
                <w:bCs/>
                <w:szCs w:val="20"/>
              </w:rPr>
              <w:t xml:space="preserve">a gradnje </w:t>
            </w:r>
          </w:p>
        </w:tc>
        <w:tc>
          <w:tcPr>
            <w:tcW w:w="1661" w:type="dxa"/>
            <w:hideMark/>
          </w:tcPr>
          <w:p w14:paraId="319C6A7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Predviden datum zaključka projekta</w:t>
            </w:r>
          </w:p>
        </w:tc>
        <w:tc>
          <w:tcPr>
            <w:tcW w:w="2422" w:type="dxa"/>
            <w:hideMark/>
          </w:tcPr>
          <w:p w14:paraId="58ADC99F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 xml:space="preserve">Skupna ocenjena vrednost investicije  </w:t>
            </w:r>
          </w:p>
        </w:tc>
      </w:tr>
      <w:tr w:rsidR="00B26269" w:rsidRPr="00B26269" w14:paraId="6B2E3279" w14:textId="77777777" w:rsidTr="00B26269">
        <w:trPr>
          <w:trHeight w:val="799"/>
        </w:trPr>
        <w:tc>
          <w:tcPr>
            <w:tcW w:w="903" w:type="dxa"/>
            <w:hideMark/>
          </w:tcPr>
          <w:p w14:paraId="517A876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342" w:type="dxa"/>
            <w:hideMark/>
          </w:tcPr>
          <w:p w14:paraId="64A91DC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SS MONG</w:t>
            </w:r>
          </w:p>
        </w:tc>
        <w:tc>
          <w:tcPr>
            <w:tcW w:w="2625" w:type="dxa"/>
            <w:hideMark/>
          </w:tcPr>
          <w:p w14:paraId="46E877A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»Hiša dobre volje« </w:t>
            </w:r>
            <w:r w:rsidRPr="00B26269">
              <w:rPr>
                <w:rFonts w:cs="Arial"/>
                <w:szCs w:val="20"/>
              </w:rPr>
              <w:br/>
            </w:r>
            <w:r w:rsidRPr="00B26269">
              <w:rPr>
                <w:rFonts w:cs="Arial"/>
                <w:szCs w:val="20"/>
              </w:rPr>
              <w:br/>
              <w:t xml:space="preserve">Bivalna skupnost za starejše </w:t>
            </w:r>
          </w:p>
        </w:tc>
        <w:tc>
          <w:tcPr>
            <w:tcW w:w="1107" w:type="dxa"/>
            <w:hideMark/>
          </w:tcPr>
          <w:p w14:paraId="5F43B82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6</w:t>
            </w:r>
          </w:p>
        </w:tc>
        <w:tc>
          <w:tcPr>
            <w:tcW w:w="1680" w:type="dxa"/>
            <w:hideMark/>
          </w:tcPr>
          <w:p w14:paraId="43FDAD7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75F5095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2024</w:t>
            </w:r>
          </w:p>
        </w:tc>
        <w:tc>
          <w:tcPr>
            <w:tcW w:w="2422" w:type="dxa"/>
            <w:hideMark/>
          </w:tcPr>
          <w:p w14:paraId="54736D1F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   599.448,24 € </w:t>
            </w:r>
          </w:p>
        </w:tc>
      </w:tr>
      <w:tr w:rsidR="00B26269" w:rsidRPr="00B26269" w14:paraId="375035CB" w14:textId="77777777" w:rsidTr="00B26269">
        <w:trPr>
          <w:trHeight w:val="799"/>
        </w:trPr>
        <w:tc>
          <w:tcPr>
            <w:tcW w:w="903" w:type="dxa"/>
            <w:hideMark/>
          </w:tcPr>
          <w:p w14:paraId="6653419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342" w:type="dxa"/>
            <w:hideMark/>
          </w:tcPr>
          <w:p w14:paraId="230844F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SS MONG</w:t>
            </w:r>
          </w:p>
        </w:tc>
        <w:tc>
          <w:tcPr>
            <w:tcW w:w="2625" w:type="dxa"/>
            <w:hideMark/>
          </w:tcPr>
          <w:p w14:paraId="0F4A0B3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Streliška 10</w:t>
            </w:r>
          </w:p>
        </w:tc>
        <w:tc>
          <w:tcPr>
            <w:tcW w:w="1107" w:type="dxa"/>
            <w:hideMark/>
          </w:tcPr>
          <w:p w14:paraId="269D679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11</w:t>
            </w:r>
          </w:p>
        </w:tc>
        <w:tc>
          <w:tcPr>
            <w:tcW w:w="1680" w:type="dxa"/>
            <w:hideMark/>
          </w:tcPr>
          <w:p w14:paraId="7F9BFC8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1E3467E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December 2024.</w:t>
            </w:r>
          </w:p>
        </w:tc>
        <w:tc>
          <w:tcPr>
            <w:tcW w:w="2422" w:type="dxa"/>
            <w:hideMark/>
          </w:tcPr>
          <w:p w14:paraId="5B82785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1.800.000,00 € </w:t>
            </w:r>
          </w:p>
        </w:tc>
      </w:tr>
      <w:tr w:rsidR="00B26269" w:rsidRPr="00B26269" w14:paraId="1C947436" w14:textId="77777777" w:rsidTr="00B26269">
        <w:trPr>
          <w:trHeight w:val="799"/>
        </w:trPr>
        <w:tc>
          <w:tcPr>
            <w:tcW w:w="903" w:type="dxa"/>
            <w:hideMark/>
          </w:tcPr>
          <w:p w14:paraId="1B2C747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342" w:type="dxa"/>
            <w:hideMark/>
          </w:tcPr>
          <w:p w14:paraId="137C597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MOMS</w:t>
            </w:r>
          </w:p>
        </w:tc>
        <w:tc>
          <w:tcPr>
            <w:tcW w:w="2625" w:type="dxa"/>
            <w:hideMark/>
          </w:tcPr>
          <w:p w14:paraId="2480DD1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Prenova prostorov bivše Ekonomske šole</w:t>
            </w:r>
          </w:p>
        </w:tc>
        <w:tc>
          <w:tcPr>
            <w:tcW w:w="1107" w:type="dxa"/>
            <w:hideMark/>
          </w:tcPr>
          <w:p w14:paraId="7EAF3B7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15</w:t>
            </w:r>
          </w:p>
        </w:tc>
        <w:tc>
          <w:tcPr>
            <w:tcW w:w="1680" w:type="dxa"/>
            <w:hideMark/>
          </w:tcPr>
          <w:p w14:paraId="2388F1D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september 2023</w:t>
            </w:r>
          </w:p>
        </w:tc>
        <w:tc>
          <w:tcPr>
            <w:tcW w:w="1661" w:type="dxa"/>
            <w:hideMark/>
          </w:tcPr>
          <w:p w14:paraId="57B3769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september 2025</w:t>
            </w:r>
          </w:p>
        </w:tc>
        <w:tc>
          <w:tcPr>
            <w:tcW w:w="2422" w:type="dxa"/>
            <w:hideMark/>
          </w:tcPr>
          <w:p w14:paraId="1AD9476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2.714.708,00 € </w:t>
            </w:r>
          </w:p>
        </w:tc>
      </w:tr>
      <w:tr w:rsidR="00B26269" w:rsidRPr="00B26269" w14:paraId="4F45A58D" w14:textId="77777777" w:rsidTr="00B26269">
        <w:trPr>
          <w:trHeight w:val="799"/>
        </w:trPr>
        <w:tc>
          <w:tcPr>
            <w:tcW w:w="903" w:type="dxa"/>
            <w:hideMark/>
          </w:tcPr>
          <w:p w14:paraId="063B0DE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342" w:type="dxa"/>
            <w:hideMark/>
          </w:tcPr>
          <w:p w14:paraId="2290A83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Občina AJDOVŠČINA</w:t>
            </w:r>
          </w:p>
        </w:tc>
        <w:tc>
          <w:tcPr>
            <w:tcW w:w="2625" w:type="dxa"/>
            <w:hideMark/>
          </w:tcPr>
          <w:p w14:paraId="2292FFC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Hiše za mlade Dobravlje</w:t>
            </w:r>
          </w:p>
        </w:tc>
        <w:tc>
          <w:tcPr>
            <w:tcW w:w="1107" w:type="dxa"/>
            <w:hideMark/>
          </w:tcPr>
          <w:p w14:paraId="7C6B6A6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4</w:t>
            </w:r>
          </w:p>
        </w:tc>
        <w:tc>
          <w:tcPr>
            <w:tcW w:w="1680" w:type="dxa"/>
            <w:hideMark/>
          </w:tcPr>
          <w:p w14:paraId="3FDDEDF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3FFE58E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2024</w:t>
            </w:r>
          </w:p>
        </w:tc>
        <w:tc>
          <w:tcPr>
            <w:tcW w:w="2422" w:type="dxa"/>
            <w:hideMark/>
          </w:tcPr>
          <w:p w14:paraId="1BA620D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   400.000,00 € </w:t>
            </w:r>
          </w:p>
        </w:tc>
      </w:tr>
      <w:tr w:rsidR="00B26269" w:rsidRPr="00B26269" w14:paraId="288237E4" w14:textId="77777777" w:rsidTr="00B26269">
        <w:trPr>
          <w:trHeight w:val="799"/>
        </w:trPr>
        <w:tc>
          <w:tcPr>
            <w:tcW w:w="903" w:type="dxa"/>
            <w:hideMark/>
          </w:tcPr>
          <w:p w14:paraId="3DECF1D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342" w:type="dxa"/>
            <w:hideMark/>
          </w:tcPr>
          <w:p w14:paraId="4606498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NSPIZ</w:t>
            </w:r>
          </w:p>
        </w:tc>
        <w:tc>
          <w:tcPr>
            <w:tcW w:w="2625" w:type="dxa"/>
            <w:hideMark/>
          </w:tcPr>
          <w:p w14:paraId="7A3F8F0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35E778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57</w:t>
            </w:r>
          </w:p>
        </w:tc>
        <w:tc>
          <w:tcPr>
            <w:tcW w:w="1680" w:type="dxa"/>
            <w:hideMark/>
          </w:tcPr>
          <w:p w14:paraId="0A1C3F4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78B33F8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0F9A2B7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10.568.000,00 € </w:t>
            </w:r>
          </w:p>
        </w:tc>
      </w:tr>
      <w:tr w:rsidR="00B26269" w:rsidRPr="00B26269" w14:paraId="5D450D3D" w14:textId="77777777" w:rsidTr="00B26269">
        <w:trPr>
          <w:trHeight w:val="799"/>
        </w:trPr>
        <w:tc>
          <w:tcPr>
            <w:tcW w:w="903" w:type="dxa"/>
            <w:hideMark/>
          </w:tcPr>
          <w:p w14:paraId="26A7007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342" w:type="dxa"/>
            <w:hideMark/>
          </w:tcPr>
          <w:p w14:paraId="6FCAB35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NSPIZ</w:t>
            </w:r>
          </w:p>
        </w:tc>
        <w:tc>
          <w:tcPr>
            <w:tcW w:w="2625" w:type="dxa"/>
            <w:hideMark/>
          </w:tcPr>
          <w:p w14:paraId="4E5015EF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166442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</w:t>
            </w:r>
          </w:p>
        </w:tc>
        <w:tc>
          <w:tcPr>
            <w:tcW w:w="1680" w:type="dxa"/>
            <w:hideMark/>
          </w:tcPr>
          <w:p w14:paraId="7B52175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17571A7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039DF17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4.460.000,00 € </w:t>
            </w:r>
          </w:p>
        </w:tc>
      </w:tr>
      <w:tr w:rsidR="00B26269" w:rsidRPr="00B26269" w14:paraId="16B9B41B" w14:textId="77777777" w:rsidTr="00B26269">
        <w:trPr>
          <w:trHeight w:val="799"/>
        </w:trPr>
        <w:tc>
          <w:tcPr>
            <w:tcW w:w="903" w:type="dxa"/>
            <w:hideMark/>
          </w:tcPr>
          <w:p w14:paraId="3D19C10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342" w:type="dxa"/>
            <w:hideMark/>
          </w:tcPr>
          <w:p w14:paraId="200F7B5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MOL</w:t>
            </w:r>
          </w:p>
        </w:tc>
        <w:tc>
          <w:tcPr>
            <w:tcW w:w="2625" w:type="dxa"/>
            <w:hideMark/>
          </w:tcPr>
          <w:p w14:paraId="0CFBA93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ZVEZNA ULICA</w:t>
            </w:r>
          </w:p>
        </w:tc>
        <w:tc>
          <w:tcPr>
            <w:tcW w:w="1107" w:type="dxa"/>
            <w:hideMark/>
          </w:tcPr>
          <w:p w14:paraId="2D97C9C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87</w:t>
            </w:r>
          </w:p>
        </w:tc>
        <w:tc>
          <w:tcPr>
            <w:tcW w:w="1680" w:type="dxa"/>
            <w:hideMark/>
          </w:tcPr>
          <w:p w14:paraId="3324712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zadnje trimesečje 2023</w:t>
            </w:r>
          </w:p>
        </w:tc>
        <w:tc>
          <w:tcPr>
            <w:tcW w:w="1661" w:type="dxa"/>
            <w:hideMark/>
          </w:tcPr>
          <w:p w14:paraId="1815657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zadnje trimesečje 2025</w:t>
            </w:r>
          </w:p>
        </w:tc>
        <w:tc>
          <w:tcPr>
            <w:tcW w:w="2422" w:type="dxa"/>
            <w:hideMark/>
          </w:tcPr>
          <w:p w14:paraId="07E27BF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9.350.000,00 € </w:t>
            </w:r>
          </w:p>
        </w:tc>
      </w:tr>
      <w:tr w:rsidR="00B26269" w:rsidRPr="00B26269" w14:paraId="7AD0EA9E" w14:textId="77777777" w:rsidTr="00B26269">
        <w:trPr>
          <w:trHeight w:val="799"/>
        </w:trPr>
        <w:tc>
          <w:tcPr>
            <w:tcW w:w="903" w:type="dxa"/>
            <w:hideMark/>
          </w:tcPr>
          <w:p w14:paraId="6D3F245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342" w:type="dxa"/>
            <w:hideMark/>
          </w:tcPr>
          <w:p w14:paraId="2A61B76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MOL</w:t>
            </w:r>
          </w:p>
        </w:tc>
        <w:tc>
          <w:tcPr>
            <w:tcW w:w="2625" w:type="dxa"/>
            <w:hideMark/>
          </w:tcPr>
          <w:p w14:paraId="01C4F0A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RAKOVA JELŠA I</w:t>
            </w:r>
          </w:p>
        </w:tc>
        <w:tc>
          <w:tcPr>
            <w:tcW w:w="1107" w:type="dxa"/>
            <w:hideMark/>
          </w:tcPr>
          <w:p w14:paraId="7B5156D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99</w:t>
            </w:r>
          </w:p>
        </w:tc>
        <w:tc>
          <w:tcPr>
            <w:tcW w:w="1680" w:type="dxa"/>
            <w:hideMark/>
          </w:tcPr>
          <w:p w14:paraId="7A7E437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druga polovica 2023</w:t>
            </w:r>
          </w:p>
        </w:tc>
        <w:tc>
          <w:tcPr>
            <w:tcW w:w="1661" w:type="dxa"/>
            <w:hideMark/>
          </w:tcPr>
          <w:p w14:paraId="58EEFB4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druga polovica 2025</w:t>
            </w:r>
          </w:p>
        </w:tc>
        <w:tc>
          <w:tcPr>
            <w:tcW w:w="2422" w:type="dxa"/>
            <w:hideMark/>
          </w:tcPr>
          <w:p w14:paraId="632AC4E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15.900.000,00 € </w:t>
            </w:r>
          </w:p>
        </w:tc>
      </w:tr>
      <w:tr w:rsidR="00B26269" w:rsidRPr="00B26269" w14:paraId="442E59F7" w14:textId="77777777" w:rsidTr="00B26269">
        <w:trPr>
          <w:trHeight w:val="799"/>
        </w:trPr>
        <w:tc>
          <w:tcPr>
            <w:tcW w:w="903" w:type="dxa"/>
            <w:hideMark/>
          </w:tcPr>
          <w:p w14:paraId="3BC5B6A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1342" w:type="dxa"/>
            <w:hideMark/>
          </w:tcPr>
          <w:p w14:paraId="2AFCAC8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MOL</w:t>
            </w:r>
          </w:p>
        </w:tc>
        <w:tc>
          <w:tcPr>
            <w:tcW w:w="2625" w:type="dxa"/>
            <w:hideMark/>
          </w:tcPr>
          <w:p w14:paraId="3A73E06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JESIHOV ŠTRADON</w:t>
            </w:r>
          </w:p>
        </w:tc>
        <w:tc>
          <w:tcPr>
            <w:tcW w:w="1107" w:type="dxa"/>
            <w:hideMark/>
          </w:tcPr>
          <w:p w14:paraId="0A73D69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44</w:t>
            </w:r>
          </w:p>
        </w:tc>
        <w:tc>
          <w:tcPr>
            <w:tcW w:w="1680" w:type="dxa"/>
            <w:hideMark/>
          </w:tcPr>
          <w:p w14:paraId="18FB065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zadnje trimesečje 2023</w:t>
            </w:r>
          </w:p>
        </w:tc>
        <w:tc>
          <w:tcPr>
            <w:tcW w:w="1661" w:type="dxa"/>
            <w:hideMark/>
          </w:tcPr>
          <w:p w14:paraId="712E072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zadnje trimesečje 2025</w:t>
            </w:r>
          </w:p>
        </w:tc>
        <w:tc>
          <w:tcPr>
            <w:tcW w:w="2422" w:type="dxa"/>
            <w:hideMark/>
          </w:tcPr>
          <w:p w14:paraId="0DD51FB7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5.800.000,00 € </w:t>
            </w:r>
          </w:p>
        </w:tc>
      </w:tr>
      <w:tr w:rsidR="00B26269" w:rsidRPr="00B26269" w14:paraId="195700C5" w14:textId="77777777" w:rsidTr="00B26269">
        <w:trPr>
          <w:trHeight w:val="799"/>
        </w:trPr>
        <w:tc>
          <w:tcPr>
            <w:tcW w:w="903" w:type="dxa"/>
            <w:hideMark/>
          </w:tcPr>
          <w:p w14:paraId="413E323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342" w:type="dxa"/>
            <w:hideMark/>
          </w:tcPr>
          <w:p w14:paraId="0A187D5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JSS MOL</w:t>
            </w:r>
          </w:p>
        </w:tc>
        <w:tc>
          <w:tcPr>
            <w:tcW w:w="2625" w:type="dxa"/>
            <w:hideMark/>
          </w:tcPr>
          <w:p w14:paraId="688DFA0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LITIJSKA - PESARSKA</w:t>
            </w:r>
          </w:p>
        </w:tc>
        <w:tc>
          <w:tcPr>
            <w:tcW w:w="1107" w:type="dxa"/>
            <w:hideMark/>
          </w:tcPr>
          <w:p w14:paraId="29BEB77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97</w:t>
            </w:r>
          </w:p>
        </w:tc>
        <w:tc>
          <w:tcPr>
            <w:tcW w:w="1680" w:type="dxa"/>
            <w:hideMark/>
          </w:tcPr>
          <w:p w14:paraId="1490210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konec 2023</w:t>
            </w:r>
          </w:p>
        </w:tc>
        <w:tc>
          <w:tcPr>
            <w:tcW w:w="1661" w:type="dxa"/>
            <w:hideMark/>
          </w:tcPr>
          <w:p w14:paraId="7850AFA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zadnje trimesečje 2025</w:t>
            </w:r>
          </w:p>
        </w:tc>
        <w:tc>
          <w:tcPr>
            <w:tcW w:w="2422" w:type="dxa"/>
            <w:hideMark/>
          </w:tcPr>
          <w:p w14:paraId="4A6ED7B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14.500.000,00 € </w:t>
            </w:r>
          </w:p>
        </w:tc>
      </w:tr>
      <w:tr w:rsidR="00B26269" w:rsidRPr="00B26269" w14:paraId="07335AC7" w14:textId="77777777" w:rsidTr="00B26269">
        <w:trPr>
          <w:trHeight w:val="799"/>
        </w:trPr>
        <w:tc>
          <w:tcPr>
            <w:tcW w:w="903" w:type="dxa"/>
            <w:hideMark/>
          </w:tcPr>
          <w:p w14:paraId="39C5454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1342" w:type="dxa"/>
            <w:hideMark/>
          </w:tcPr>
          <w:p w14:paraId="5FFEB79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Občina Piran</w:t>
            </w:r>
          </w:p>
        </w:tc>
        <w:tc>
          <w:tcPr>
            <w:tcW w:w="2625" w:type="dxa"/>
            <w:hideMark/>
          </w:tcPr>
          <w:p w14:paraId="49D5E1B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Izgradnja JNS Košta</w:t>
            </w:r>
          </w:p>
        </w:tc>
        <w:tc>
          <w:tcPr>
            <w:tcW w:w="1107" w:type="dxa"/>
            <w:hideMark/>
          </w:tcPr>
          <w:p w14:paraId="2D4001D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22</w:t>
            </w:r>
          </w:p>
        </w:tc>
        <w:tc>
          <w:tcPr>
            <w:tcW w:w="1680" w:type="dxa"/>
            <w:hideMark/>
          </w:tcPr>
          <w:p w14:paraId="0B946ED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586C71F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2026</w:t>
            </w:r>
          </w:p>
        </w:tc>
        <w:tc>
          <w:tcPr>
            <w:tcW w:w="2422" w:type="dxa"/>
            <w:hideMark/>
          </w:tcPr>
          <w:p w14:paraId="535BE37F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5.900.000,00 € </w:t>
            </w:r>
          </w:p>
        </w:tc>
      </w:tr>
      <w:tr w:rsidR="00B26269" w:rsidRPr="00B26269" w14:paraId="453CC43A" w14:textId="77777777" w:rsidTr="00B26269">
        <w:trPr>
          <w:trHeight w:val="799"/>
        </w:trPr>
        <w:tc>
          <w:tcPr>
            <w:tcW w:w="903" w:type="dxa"/>
            <w:hideMark/>
          </w:tcPr>
          <w:p w14:paraId="582E3D6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1342" w:type="dxa"/>
            <w:hideMark/>
          </w:tcPr>
          <w:p w14:paraId="00F5E88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OBČINA KOČEVJE</w:t>
            </w:r>
          </w:p>
        </w:tc>
        <w:tc>
          <w:tcPr>
            <w:tcW w:w="2625" w:type="dxa"/>
            <w:hideMark/>
          </w:tcPr>
          <w:p w14:paraId="74E6CD5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Nakup stanovanj</w:t>
            </w:r>
          </w:p>
        </w:tc>
        <w:tc>
          <w:tcPr>
            <w:tcW w:w="1107" w:type="dxa"/>
            <w:hideMark/>
          </w:tcPr>
          <w:p w14:paraId="5560B9A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3</w:t>
            </w:r>
          </w:p>
        </w:tc>
        <w:tc>
          <w:tcPr>
            <w:tcW w:w="1680" w:type="dxa"/>
            <w:hideMark/>
          </w:tcPr>
          <w:p w14:paraId="7ABF3DD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15B3685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2024</w:t>
            </w:r>
          </w:p>
        </w:tc>
        <w:tc>
          <w:tcPr>
            <w:tcW w:w="2422" w:type="dxa"/>
            <w:hideMark/>
          </w:tcPr>
          <w:p w14:paraId="1EB5F32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   451.620,00 € </w:t>
            </w:r>
          </w:p>
        </w:tc>
      </w:tr>
      <w:tr w:rsidR="00B26269" w:rsidRPr="00B26269" w14:paraId="6460D9E7" w14:textId="77777777" w:rsidTr="00B26269">
        <w:trPr>
          <w:trHeight w:val="799"/>
        </w:trPr>
        <w:tc>
          <w:tcPr>
            <w:tcW w:w="903" w:type="dxa"/>
            <w:hideMark/>
          </w:tcPr>
          <w:p w14:paraId="4740C85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lastRenderedPageBreak/>
              <w:t>13</w:t>
            </w:r>
          </w:p>
        </w:tc>
        <w:tc>
          <w:tcPr>
            <w:tcW w:w="1342" w:type="dxa"/>
            <w:hideMark/>
          </w:tcPr>
          <w:p w14:paraId="1B52F20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OBČINA KOČEVJE</w:t>
            </w:r>
          </w:p>
        </w:tc>
        <w:tc>
          <w:tcPr>
            <w:tcW w:w="2625" w:type="dxa"/>
            <w:hideMark/>
          </w:tcPr>
          <w:p w14:paraId="581B950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Nakup stanovanj</w:t>
            </w:r>
          </w:p>
        </w:tc>
        <w:tc>
          <w:tcPr>
            <w:tcW w:w="1107" w:type="dxa"/>
            <w:hideMark/>
          </w:tcPr>
          <w:p w14:paraId="353177B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5</w:t>
            </w:r>
          </w:p>
        </w:tc>
        <w:tc>
          <w:tcPr>
            <w:tcW w:w="1680" w:type="dxa"/>
            <w:hideMark/>
          </w:tcPr>
          <w:p w14:paraId="45C9EA6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6E32BCEC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2B869076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   539.550,00 € </w:t>
            </w:r>
          </w:p>
        </w:tc>
      </w:tr>
      <w:tr w:rsidR="00B26269" w:rsidRPr="00B26269" w14:paraId="55ED65ED" w14:textId="77777777" w:rsidTr="00B26269">
        <w:trPr>
          <w:trHeight w:val="799"/>
        </w:trPr>
        <w:tc>
          <w:tcPr>
            <w:tcW w:w="903" w:type="dxa"/>
            <w:hideMark/>
          </w:tcPr>
          <w:p w14:paraId="7294675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342" w:type="dxa"/>
            <w:hideMark/>
          </w:tcPr>
          <w:p w14:paraId="424DF23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Občina Žetale</w:t>
            </w:r>
          </w:p>
        </w:tc>
        <w:tc>
          <w:tcPr>
            <w:tcW w:w="2625" w:type="dxa"/>
            <w:hideMark/>
          </w:tcPr>
          <w:p w14:paraId="4352E27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Večstanovanjska stavba v Žetalah</w:t>
            </w:r>
          </w:p>
        </w:tc>
        <w:tc>
          <w:tcPr>
            <w:tcW w:w="1107" w:type="dxa"/>
            <w:hideMark/>
          </w:tcPr>
          <w:p w14:paraId="5DC6633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18</w:t>
            </w:r>
          </w:p>
        </w:tc>
        <w:tc>
          <w:tcPr>
            <w:tcW w:w="1680" w:type="dxa"/>
            <w:hideMark/>
          </w:tcPr>
          <w:p w14:paraId="1EDA18F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2FFC949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07DD756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1.700.000,00 € </w:t>
            </w:r>
          </w:p>
        </w:tc>
      </w:tr>
      <w:tr w:rsidR="00B26269" w:rsidRPr="00B26269" w14:paraId="7C4AB4A3" w14:textId="77777777" w:rsidTr="00B26269">
        <w:trPr>
          <w:trHeight w:val="799"/>
        </w:trPr>
        <w:tc>
          <w:tcPr>
            <w:tcW w:w="903" w:type="dxa"/>
            <w:hideMark/>
          </w:tcPr>
          <w:p w14:paraId="0F6C24D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1342" w:type="dxa"/>
            <w:hideMark/>
          </w:tcPr>
          <w:p w14:paraId="42CD391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Občina Izola</w:t>
            </w:r>
          </w:p>
        </w:tc>
        <w:tc>
          <w:tcPr>
            <w:tcW w:w="2625" w:type="dxa"/>
            <w:hideMark/>
          </w:tcPr>
          <w:p w14:paraId="56143F6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Krpanova ulica 5</w:t>
            </w:r>
          </w:p>
        </w:tc>
        <w:tc>
          <w:tcPr>
            <w:tcW w:w="1107" w:type="dxa"/>
            <w:hideMark/>
          </w:tcPr>
          <w:p w14:paraId="61D0817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4</w:t>
            </w:r>
          </w:p>
        </w:tc>
        <w:tc>
          <w:tcPr>
            <w:tcW w:w="1680" w:type="dxa"/>
            <w:hideMark/>
          </w:tcPr>
          <w:p w14:paraId="1704B86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2B2259E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2422" w:type="dxa"/>
            <w:hideMark/>
          </w:tcPr>
          <w:p w14:paraId="5FDEAAC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   366.699,26 € </w:t>
            </w:r>
          </w:p>
        </w:tc>
      </w:tr>
      <w:tr w:rsidR="00B26269" w:rsidRPr="00B26269" w14:paraId="562627B8" w14:textId="77777777" w:rsidTr="00B26269">
        <w:trPr>
          <w:trHeight w:val="799"/>
        </w:trPr>
        <w:tc>
          <w:tcPr>
            <w:tcW w:w="903" w:type="dxa"/>
            <w:hideMark/>
          </w:tcPr>
          <w:p w14:paraId="5900C654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1342" w:type="dxa"/>
            <w:hideMark/>
          </w:tcPr>
          <w:p w14:paraId="0DC55AC3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MOSG</w:t>
            </w:r>
          </w:p>
        </w:tc>
        <w:tc>
          <w:tcPr>
            <w:tcW w:w="2625" w:type="dxa"/>
            <w:hideMark/>
          </w:tcPr>
          <w:p w14:paraId="6737A0F0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Neprofitna stanovanja Podgorje</w:t>
            </w:r>
          </w:p>
        </w:tc>
        <w:tc>
          <w:tcPr>
            <w:tcW w:w="1107" w:type="dxa"/>
            <w:hideMark/>
          </w:tcPr>
          <w:p w14:paraId="5C25F69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7</w:t>
            </w:r>
          </w:p>
        </w:tc>
        <w:tc>
          <w:tcPr>
            <w:tcW w:w="1680" w:type="dxa"/>
            <w:hideMark/>
          </w:tcPr>
          <w:p w14:paraId="377121A5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0A249248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380C97B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1.185.111,05 € </w:t>
            </w:r>
          </w:p>
        </w:tc>
      </w:tr>
      <w:tr w:rsidR="00B26269" w:rsidRPr="00B26269" w14:paraId="3D1FC932" w14:textId="77777777" w:rsidTr="00B26269">
        <w:trPr>
          <w:trHeight w:val="799"/>
        </w:trPr>
        <w:tc>
          <w:tcPr>
            <w:tcW w:w="903" w:type="dxa"/>
            <w:hideMark/>
          </w:tcPr>
          <w:p w14:paraId="10CE9391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1342" w:type="dxa"/>
            <w:hideMark/>
          </w:tcPr>
          <w:p w14:paraId="5FFFCD5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MOSG</w:t>
            </w:r>
          </w:p>
        </w:tc>
        <w:tc>
          <w:tcPr>
            <w:tcW w:w="2625" w:type="dxa"/>
            <w:hideMark/>
          </w:tcPr>
          <w:p w14:paraId="7376184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Neprofitna stanovanja Partizanska pot</w:t>
            </w:r>
          </w:p>
        </w:tc>
        <w:tc>
          <w:tcPr>
            <w:tcW w:w="1107" w:type="dxa"/>
            <w:hideMark/>
          </w:tcPr>
          <w:p w14:paraId="148EAEDE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18</w:t>
            </w:r>
          </w:p>
        </w:tc>
        <w:tc>
          <w:tcPr>
            <w:tcW w:w="1680" w:type="dxa"/>
            <w:hideMark/>
          </w:tcPr>
          <w:p w14:paraId="40D7485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1DFF660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2025</w:t>
            </w:r>
          </w:p>
        </w:tc>
        <w:tc>
          <w:tcPr>
            <w:tcW w:w="2422" w:type="dxa"/>
            <w:hideMark/>
          </w:tcPr>
          <w:p w14:paraId="69FA29BB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4.065.767,63 € </w:t>
            </w:r>
          </w:p>
        </w:tc>
      </w:tr>
      <w:tr w:rsidR="00B26269" w:rsidRPr="00B26269" w14:paraId="2D4B8B05" w14:textId="77777777" w:rsidTr="00B26269">
        <w:trPr>
          <w:trHeight w:val="600"/>
        </w:trPr>
        <w:tc>
          <w:tcPr>
            <w:tcW w:w="903" w:type="dxa"/>
            <w:hideMark/>
          </w:tcPr>
          <w:p w14:paraId="077649FA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 w:rsidRPr="00B26269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1342" w:type="dxa"/>
            <w:hideMark/>
          </w:tcPr>
          <w:p w14:paraId="6000A1E2" w14:textId="77777777" w:rsidR="00B26269" w:rsidRPr="00B26269" w:rsidRDefault="00780E12" w:rsidP="00B26269">
            <w:pPr>
              <w:spacing w:line="288" w:lineRule="auto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Občina Hrastnik</w:t>
            </w:r>
          </w:p>
        </w:tc>
        <w:tc>
          <w:tcPr>
            <w:tcW w:w="2625" w:type="dxa"/>
            <w:hideMark/>
          </w:tcPr>
          <w:p w14:paraId="134F3F6F" w14:textId="77777777" w:rsidR="00B26269" w:rsidRPr="00B26269" w:rsidRDefault="00780E12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 Resnica</w:t>
            </w:r>
          </w:p>
        </w:tc>
        <w:tc>
          <w:tcPr>
            <w:tcW w:w="1107" w:type="dxa"/>
            <w:hideMark/>
          </w:tcPr>
          <w:p w14:paraId="6241411D" w14:textId="77777777" w:rsidR="00B26269" w:rsidRPr="00B26269" w:rsidRDefault="00780E12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680" w:type="dxa"/>
            <w:hideMark/>
          </w:tcPr>
          <w:p w14:paraId="7C6BF3C9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2023</w:t>
            </w:r>
          </w:p>
        </w:tc>
        <w:tc>
          <w:tcPr>
            <w:tcW w:w="1661" w:type="dxa"/>
            <w:hideMark/>
          </w:tcPr>
          <w:p w14:paraId="547468B2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>2024</w:t>
            </w:r>
          </w:p>
        </w:tc>
        <w:tc>
          <w:tcPr>
            <w:tcW w:w="2422" w:type="dxa"/>
            <w:hideMark/>
          </w:tcPr>
          <w:p w14:paraId="10E1461D" w14:textId="77777777" w:rsidR="00B26269" w:rsidRPr="00B26269" w:rsidRDefault="00B26269" w:rsidP="00B2626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B26269">
              <w:rPr>
                <w:rFonts w:cs="Arial"/>
                <w:szCs w:val="20"/>
              </w:rPr>
              <w:t xml:space="preserve">                  </w:t>
            </w:r>
            <w:r w:rsidR="00780E12">
              <w:rPr>
                <w:rFonts w:cs="Arial"/>
                <w:szCs w:val="20"/>
              </w:rPr>
              <w:t>1</w:t>
            </w:r>
            <w:r w:rsidRPr="00B26269">
              <w:rPr>
                <w:rFonts w:cs="Arial"/>
                <w:szCs w:val="20"/>
              </w:rPr>
              <w:t xml:space="preserve">4.00.000,00 € </w:t>
            </w:r>
          </w:p>
        </w:tc>
      </w:tr>
    </w:tbl>
    <w:p w14:paraId="46211968" w14:textId="77777777" w:rsidR="008816EF" w:rsidRDefault="008816EF" w:rsidP="00F50B51">
      <w:pPr>
        <w:spacing w:line="288" w:lineRule="auto"/>
        <w:jc w:val="both"/>
        <w:rPr>
          <w:rFonts w:cs="Arial"/>
          <w:szCs w:val="20"/>
        </w:rPr>
      </w:pPr>
    </w:p>
    <w:p w14:paraId="511D13B0" w14:textId="74D2BD51" w:rsidR="00DE3185" w:rsidRDefault="008816EF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SSRS bo na podlagi </w:t>
      </w:r>
      <w:r w:rsidR="00293E0B">
        <w:rPr>
          <w:rFonts w:cs="Arial"/>
          <w:szCs w:val="20"/>
        </w:rPr>
        <w:t xml:space="preserve">s povečanjem namenskega premoženja prejetih sredstev </w:t>
      </w:r>
      <w:r>
        <w:rPr>
          <w:rFonts w:cs="Arial"/>
          <w:szCs w:val="20"/>
        </w:rPr>
        <w:t xml:space="preserve">in ocenjenih potreb oblikoval </w:t>
      </w:r>
      <w:r w:rsidR="00293E0B" w:rsidRPr="00293E0B">
        <w:rPr>
          <w:rFonts w:cs="Arial"/>
          <w:szCs w:val="20"/>
        </w:rPr>
        <w:t>Program sofinanciranja zagotavljanja javnih najemnih stanovanjskih enot in bivalnih enot v letih 202</w:t>
      </w:r>
      <w:r w:rsidR="00DE3185">
        <w:rPr>
          <w:rFonts w:cs="Arial"/>
          <w:szCs w:val="20"/>
        </w:rPr>
        <w:t>4</w:t>
      </w:r>
      <w:r w:rsidR="00293E0B" w:rsidRPr="00293E0B">
        <w:rPr>
          <w:rFonts w:cs="Arial"/>
          <w:szCs w:val="20"/>
        </w:rPr>
        <w:t xml:space="preserve"> in 202</w:t>
      </w:r>
      <w:r w:rsidR="00293E0B">
        <w:rPr>
          <w:rFonts w:cs="Arial"/>
          <w:szCs w:val="20"/>
        </w:rPr>
        <w:t>5</w:t>
      </w:r>
      <w:r w:rsidR="00376F08">
        <w:rPr>
          <w:rFonts w:cs="Arial"/>
          <w:szCs w:val="20"/>
        </w:rPr>
        <w:t>.</w:t>
      </w:r>
      <w:r w:rsidR="00B26269">
        <w:rPr>
          <w:rFonts w:cs="Arial"/>
          <w:szCs w:val="20"/>
        </w:rPr>
        <w:t xml:space="preserve"> Načrtuje se, da bo program objavljen</w:t>
      </w:r>
      <w:r w:rsidR="00DE3185">
        <w:rPr>
          <w:rFonts w:cs="Arial"/>
          <w:szCs w:val="20"/>
        </w:rPr>
        <w:t xml:space="preserve"> </w:t>
      </w:r>
      <w:r w:rsidR="004E0399">
        <w:rPr>
          <w:rFonts w:cs="Arial"/>
          <w:szCs w:val="20"/>
        </w:rPr>
        <w:t xml:space="preserve">do poletja </w:t>
      </w:r>
      <w:r w:rsidR="00DE3185">
        <w:rPr>
          <w:rFonts w:cs="Arial"/>
          <w:szCs w:val="20"/>
        </w:rPr>
        <w:t>leta</w:t>
      </w:r>
      <w:r w:rsidR="0068769C">
        <w:rPr>
          <w:rFonts w:cs="Arial"/>
          <w:szCs w:val="20"/>
        </w:rPr>
        <w:t xml:space="preserve"> 2024</w:t>
      </w:r>
      <w:r w:rsidR="00B26269">
        <w:rPr>
          <w:rFonts w:cs="Arial"/>
          <w:szCs w:val="20"/>
        </w:rPr>
        <w:t>. Ta program bo predstavljal temelj povratnega financiranja javne stanovanjske gradnje neprofitnih</w:t>
      </w:r>
      <w:r w:rsidR="0031070E">
        <w:rPr>
          <w:rFonts w:cs="Arial"/>
          <w:szCs w:val="20"/>
        </w:rPr>
        <w:t xml:space="preserve"> najemnih</w:t>
      </w:r>
      <w:r w:rsidR="00B26269">
        <w:rPr>
          <w:rFonts w:cs="Arial"/>
          <w:szCs w:val="20"/>
        </w:rPr>
        <w:t xml:space="preserve"> stanovanj</w:t>
      </w:r>
      <w:r w:rsidR="00713049">
        <w:rPr>
          <w:rFonts w:cs="Arial"/>
          <w:szCs w:val="20"/>
        </w:rPr>
        <w:t xml:space="preserve"> in bo oblikovan v skladu z določili ZJS-1.</w:t>
      </w:r>
      <w:r w:rsidR="00AB7253">
        <w:rPr>
          <w:rFonts w:cs="Arial"/>
          <w:szCs w:val="20"/>
        </w:rPr>
        <w:t xml:space="preserve"> </w:t>
      </w:r>
    </w:p>
    <w:p w14:paraId="1D90516B" w14:textId="77777777" w:rsidR="00C228A1" w:rsidRDefault="00C228A1" w:rsidP="00F50B51">
      <w:pPr>
        <w:spacing w:line="288" w:lineRule="auto"/>
        <w:jc w:val="both"/>
        <w:rPr>
          <w:rFonts w:cs="Arial"/>
          <w:szCs w:val="20"/>
        </w:rPr>
      </w:pPr>
    </w:p>
    <w:p w14:paraId="0280A3CB" w14:textId="00130321" w:rsidR="00474D9C" w:rsidRDefault="00A429BD" w:rsidP="00F50B5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D7C68D6" w14:textId="77777777" w:rsidR="00760EB8" w:rsidRDefault="00760EB8" w:rsidP="00760EB8">
      <w:pPr>
        <w:pStyle w:val="datumtevilka"/>
        <w:jc w:val="both"/>
        <w:rPr>
          <w:rFonts w:cs="Arial"/>
          <w:color w:val="FF0000"/>
        </w:rPr>
      </w:pPr>
    </w:p>
    <w:p w14:paraId="18CEA712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4AEC2266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5FF07A1F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2789D3A6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6D895FB8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4A29FC92" w14:textId="77777777" w:rsidR="00EC6CA4" w:rsidRDefault="00EC6CA4" w:rsidP="00760EB8">
      <w:pPr>
        <w:pStyle w:val="datumtevilka"/>
        <w:jc w:val="both"/>
        <w:rPr>
          <w:rFonts w:cs="Arial"/>
          <w:color w:val="FF0000"/>
        </w:rPr>
      </w:pPr>
    </w:p>
    <w:p w14:paraId="22EF65F8" w14:textId="77777777" w:rsidR="00760EB8" w:rsidRPr="002E34DE" w:rsidRDefault="00760EB8" w:rsidP="00702681">
      <w:pPr>
        <w:spacing w:line="288" w:lineRule="auto"/>
        <w:jc w:val="both"/>
        <w:rPr>
          <w:rFonts w:cs="Arial"/>
          <w:sz w:val="18"/>
          <w:szCs w:val="18"/>
        </w:rPr>
      </w:pPr>
    </w:p>
    <w:sectPr w:rsidR="00760EB8" w:rsidRPr="002E34DE" w:rsidSect="006F7F7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CDD9" w14:textId="77777777" w:rsidR="00DB4D93" w:rsidRDefault="00DB4D93" w:rsidP="00BD6A1D">
      <w:pPr>
        <w:spacing w:after="0" w:line="240" w:lineRule="auto"/>
      </w:pPr>
      <w:r>
        <w:separator/>
      </w:r>
    </w:p>
  </w:endnote>
  <w:endnote w:type="continuationSeparator" w:id="0">
    <w:p w14:paraId="3773DDA2" w14:textId="77777777" w:rsidR="00DB4D93" w:rsidRDefault="00DB4D93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08C4" w14:textId="77777777" w:rsidR="00DB4D93" w:rsidRDefault="00DB4D93" w:rsidP="00BD6A1D">
      <w:pPr>
        <w:spacing w:after="0" w:line="240" w:lineRule="auto"/>
      </w:pPr>
      <w:r>
        <w:separator/>
      </w:r>
    </w:p>
  </w:footnote>
  <w:footnote w:type="continuationSeparator" w:id="0">
    <w:p w14:paraId="0A1E25DF" w14:textId="77777777" w:rsidR="00DB4D93" w:rsidRDefault="00DB4D93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AA5B" w14:textId="77777777" w:rsidR="009F5FFF" w:rsidRPr="00BD6A1D" w:rsidRDefault="00683232" w:rsidP="00BD6A1D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0" locked="0" layoutInCell="1" allowOverlap="1" wp14:anchorId="2A245578" wp14:editId="4EEFB336">
          <wp:simplePos x="0" y="0"/>
          <wp:positionH relativeFrom="page">
            <wp:posOffset>-182880</wp:posOffset>
          </wp:positionH>
          <wp:positionV relativeFrom="page">
            <wp:posOffset>-91440</wp:posOffset>
          </wp:positionV>
          <wp:extent cx="3535200" cy="1083600"/>
          <wp:effectExtent l="0" t="0" r="0" b="0"/>
          <wp:wrapSquare wrapText="bothSides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C4F03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E72A6"/>
    <w:multiLevelType w:val="hybridMultilevel"/>
    <w:tmpl w:val="7062E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35AE"/>
    <w:multiLevelType w:val="hybridMultilevel"/>
    <w:tmpl w:val="7062E6EE"/>
    <w:lvl w:ilvl="0" w:tplc="6346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2167"/>
    <w:multiLevelType w:val="hybridMultilevel"/>
    <w:tmpl w:val="C660E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661E"/>
    <w:multiLevelType w:val="hybridMultilevel"/>
    <w:tmpl w:val="B0EE19D4"/>
    <w:lvl w:ilvl="0" w:tplc="2A88F3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2E5"/>
    <w:multiLevelType w:val="singleLevel"/>
    <w:tmpl w:val="81B0CA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 w15:restartNumberingAfterBreak="0">
    <w:nsid w:val="7A5136D2"/>
    <w:multiLevelType w:val="hybridMultilevel"/>
    <w:tmpl w:val="EFBA5236"/>
    <w:lvl w:ilvl="0" w:tplc="AEC06A64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932">
    <w:abstractNumId w:val="0"/>
  </w:num>
  <w:num w:numId="2" w16cid:durableId="1452936816">
    <w:abstractNumId w:val="8"/>
  </w:num>
  <w:num w:numId="3" w16cid:durableId="1897350614">
    <w:abstractNumId w:val="7"/>
  </w:num>
  <w:num w:numId="4" w16cid:durableId="30158130">
    <w:abstractNumId w:val="10"/>
  </w:num>
  <w:num w:numId="5" w16cid:durableId="818963976">
    <w:abstractNumId w:val="13"/>
  </w:num>
  <w:num w:numId="6" w16cid:durableId="774055195">
    <w:abstractNumId w:val="3"/>
  </w:num>
  <w:num w:numId="7" w16cid:durableId="534080285">
    <w:abstractNumId w:val="1"/>
  </w:num>
  <w:num w:numId="8" w16cid:durableId="631712960">
    <w:abstractNumId w:val="4"/>
  </w:num>
  <w:num w:numId="9" w16cid:durableId="824859023">
    <w:abstractNumId w:val="5"/>
  </w:num>
  <w:num w:numId="10" w16cid:durableId="1403989770">
    <w:abstractNumId w:val="11"/>
  </w:num>
  <w:num w:numId="11" w16cid:durableId="63768164">
    <w:abstractNumId w:val="9"/>
  </w:num>
  <w:num w:numId="12" w16cid:durableId="1450851363">
    <w:abstractNumId w:val="12"/>
  </w:num>
  <w:num w:numId="13" w16cid:durableId="1810433752">
    <w:abstractNumId w:val="6"/>
  </w:num>
  <w:num w:numId="14" w16cid:durableId="131664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40"/>
    <w:rsid w:val="00005D4B"/>
    <w:rsid w:val="00006A51"/>
    <w:rsid w:val="00016653"/>
    <w:rsid w:val="00023EFD"/>
    <w:rsid w:val="000260D8"/>
    <w:rsid w:val="00031D62"/>
    <w:rsid w:val="00032AD4"/>
    <w:rsid w:val="00033B69"/>
    <w:rsid w:val="000370A4"/>
    <w:rsid w:val="00037137"/>
    <w:rsid w:val="00037530"/>
    <w:rsid w:val="000412CF"/>
    <w:rsid w:val="00041646"/>
    <w:rsid w:val="00043EE2"/>
    <w:rsid w:val="000469EA"/>
    <w:rsid w:val="00047F8B"/>
    <w:rsid w:val="00053AD0"/>
    <w:rsid w:val="00063047"/>
    <w:rsid w:val="00064C6A"/>
    <w:rsid w:val="00070EF5"/>
    <w:rsid w:val="00072E58"/>
    <w:rsid w:val="00080890"/>
    <w:rsid w:val="0008543D"/>
    <w:rsid w:val="00086470"/>
    <w:rsid w:val="00092441"/>
    <w:rsid w:val="00094804"/>
    <w:rsid w:val="000A200B"/>
    <w:rsid w:val="000A355D"/>
    <w:rsid w:val="000A6D92"/>
    <w:rsid w:val="000B0226"/>
    <w:rsid w:val="000B0965"/>
    <w:rsid w:val="000B1D20"/>
    <w:rsid w:val="000B4182"/>
    <w:rsid w:val="000B7566"/>
    <w:rsid w:val="000C327A"/>
    <w:rsid w:val="000C35AB"/>
    <w:rsid w:val="000D0A51"/>
    <w:rsid w:val="000D0F4D"/>
    <w:rsid w:val="000D4B53"/>
    <w:rsid w:val="000D5D7F"/>
    <w:rsid w:val="000D6646"/>
    <w:rsid w:val="000D7761"/>
    <w:rsid w:val="000E0AB5"/>
    <w:rsid w:val="000E1DE5"/>
    <w:rsid w:val="000F2CE1"/>
    <w:rsid w:val="0010209E"/>
    <w:rsid w:val="00103C03"/>
    <w:rsid w:val="00105499"/>
    <w:rsid w:val="001106BB"/>
    <w:rsid w:val="00111994"/>
    <w:rsid w:val="00113D22"/>
    <w:rsid w:val="00123A17"/>
    <w:rsid w:val="00133E4A"/>
    <w:rsid w:val="00134190"/>
    <w:rsid w:val="001362D8"/>
    <w:rsid w:val="00144C7E"/>
    <w:rsid w:val="00152D3A"/>
    <w:rsid w:val="001536A5"/>
    <w:rsid w:val="00171198"/>
    <w:rsid w:val="00171378"/>
    <w:rsid w:val="00173A3F"/>
    <w:rsid w:val="00177722"/>
    <w:rsid w:val="0018481C"/>
    <w:rsid w:val="001872B1"/>
    <w:rsid w:val="00191468"/>
    <w:rsid w:val="001930E5"/>
    <w:rsid w:val="00195F0E"/>
    <w:rsid w:val="001973E4"/>
    <w:rsid w:val="001A161B"/>
    <w:rsid w:val="001A18FF"/>
    <w:rsid w:val="001A1F7D"/>
    <w:rsid w:val="001A736C"/>
    <w:rsid w:val="001B52C8"/>
    <w:rsid w:val="001B5D01"/>
    <w:rsid w:val="001C6E7D"/>
    <w:rsid w:val="001C7F58"/>
    <w:rsid w:val="001D3B84"/>
    <w:rsid w:val="001D4243"/>
    <w:rsid w:val="001E5463"/>
    <w:rsid w:val="001E63EF"/>
    <w:rsid w:val="001E772B"/>
    <w:rsid w:val="001F3A9B"/>
    <w:rsid w:val="001F3E1E"/>
    <w:rsid w:val="001F5801"/>
    <w:rsid w:val="00201360"/>
    <w:rsid w:val="00203834"/>
    <w:rsid w:val="00205037"/>
    <w:rsid w:val="002050C4"/>
    <w:rsid w:val="0021132C"/>
    <w:rsid w:val="002139CD"/>
    <w:rsid w:val="00231AE9"/>
    <w:rsid w:val="00232054"/>
    <w:rsid w:val="0023299A"/>
    <w:rsid w:val="002334E1"/>
    <w:rsid w:val="00243BA1"/>
    <w:rsid w:val="00247A34"/>
    <w:rsid w:val="00252CBD"/>
    <w:rsid w:val="00257158"/>
    <w:rsid w:val="00263A02"/>
    <w:rsid w:val="002741EC"/>
    <w:rsid w:val="002808C0"/>
    <w:rsid w:val="00280D65"/>
    <w:rsid w:val="00281FD3"/>
    <w:rsid w:val="00282EDF"/>
    <w:rsid w:val="00283214"/>
    <w:rsid w:val="00283E8B"/>
    <w:rsid w:val="00285701"/>
    <w:rsid w:val="00293E0B"/>
    <w:rsid w:val="00295634"/>
    <w:rsid w:val="00296A2A"/>
    <w:rsid w:val="002975CC"/>
    <w:rsid w:val="00297B7C"/>
    <w:rsid w:val="002A0D94"/>
    <w:rsid w:val="002B0452"/>
    <w:rsid w:val="002B4B7D"/>
    <w:rsid w:val="002B7793"/>
    <w:rsid w:val="002C0ECF"/>
    <w:rsid w:val="002C32B9"/>
    <w:rsid w:val="002C4185"/>
    <w:rsid w:val="002C4311"/>
    <w:rsid w:val="002C4776"/>
    <w:rsid w:val="002D0E49"/>
    <w:rsid w:val="002E32ED"/>
    <w:rsid w:val="002E34DE"/>
    <w:rsid w:val="002E3A7B"/>
    <w:rsid w:val="002E579F"/>
    <w:rsid w:val="002F4BDE"/>
    <w:rsid w:val="002F7626"/>
    <w:rsid w:val="003000D7"/>
    <w:rsid w:val="003006B7"/>
    <w:rsid w:val="00301AE3"/>
    <w:rsid w:val="0030223A"/>
    <w:rsid w:val="003045F4"/>
    <w:rsid w:val="0030553A"/>
    <w:rsid w:val="00305DF9"/>
    <w:rsid w:val="00306464"/>
    <w:rsid w:val="00306956"/>
    <w:rsid w:val="0031070E"/>
    <w:rsid w:val="003113EF"/>
    <w:rsid w:val="00313172"/>
    <w:rsid w:val="00313CD2"/>
    <w:rsid w:val="00313DD0"/>
    <w:rsid w:val="00317B62"/>
    <w:rsid w:val="00321A64"/>
    <w:rsid w:val="0032406F"/>
    <w:rsid w:val="00334783"/>
    <w:rsid w:val="00335B51"/>
    <w:rsid w:val="00341ED5"/>
    <w:rsid w:val="0034328E"/>
    <w:rsid w:val="00343E82"/>
    <w:rsid w:val="00344D41"/>
    <w:rsid w:val="00352B66"/>
    <w:rsid w:val="00353A01"/>
    <w:rsid w:val="003553D3"/>
    <w:rsid w:val="00363341"/>
    <w:rsid w:val="0036376C"/>
    <w:rsid w:val="003666A5"/>
    <w:rsid w:val="00374331"/>
    <w:rsid w:val="00376F08"/>
    <w:rsid w:val="003779C8"/>
    <w:rsid w:val="00377E70"/>
    <w:rsid w:val="003812A7"/>
    <w:rsid w:val="0038183F"/>
    <w:rsid w:val="00387CA1"/>
    <w:rsid w:val="00392A56"/>
    <w:rsid w:val="00392F8A"/>
    <w:rsid w:val="00394038"/>
    <w:rsid w:val="003A75A7"/>
    <w:rsid w:val="003B2DA8"/>
    <w:rsid w:val="003B47ED"/>
    <w:rsid w:val="003C03A2"/>
    <w:rsid w:val="003C0EB9"/>
    <w:rsid w:val="003C474A"/>
    <w:rsid w:val="003C5297"/>
    <w:rsid w:val="003C55F1"/>
    <w:rsid w:val="003D14F8"/>
    <w:rsid w:val="003D69DD"/>
    <w:rsid w:val="003D7DBE"/>
    <w:rsid w:val="003E108B"/>
    <w:rsid w:val="003E39CB"/>
    <w:rsid w:val="003E7D86"/>
    <w:rsid w:val="003F2783"/>
    <w:rsid w:val="004001ED"/>
    <w:rsid w:val="00400A84"/>
    <w:rsid w:val="004010F5"/>
    <w:rsid w:val="004039AD"/>
    <w:rsid w:val="00404136"/>
    <w:rsid w:val="004044DB"/>
    <w:rsid w:val="00405D58"/>
    <w:rsid w:val="004106B9"/>
    <w:rsid w:val="00424243"/>
    <w:rsid w:val="00425EE2"/>
    <w:rsid w:val="00430892"/>
    <w:rsid w:val="0043352E"/>
    <w:rsid w:val="00436151"/>
    <w:rsid w:val="00437B22"/>
    <w:rsid w:val="00440D4B"/>
    <w:rsid w:val="00441CE5"/>
    <w:rsid w:val="00441E82"/>
    <w:rsid w:val="00441F9F"/>
    <w:rsid w:val="00442482"/>
    <w:rsid w:val="00443FAC"/>
    <w:rsid w:val="00450BA6"/>
    <w:rsid w:val="004526CF"/>
    <w:rsid w:val="00455560"/>
    <w:rsid w:val="00457F52"/>
    <w:rsid w:val="00464ECF"/>
    <w:rsid w:val="00464FD0"/>
    <w:rsid w:val="00465007"/>
    <w:rsid w:val="00465339"/>
    <w:rsid w:val="0046655C"/>
    <w:rsid w:val="00471985"/>
    <w:rsid w:val="00474D9C"/>
    <w:rsid w:val="004818F7"/>
    <w:rsid w:val="00487446"/>
    <w:rsid w:val="004875BD"/>
    <w:rsid w:val="0049580C"/>
    <w:rsid w:val="00495E33"/>
    <w:rsid w:val="004A508F"/>
    <w:rsid w:val="004A642E"/>
    <w:rsid w:val="004A6AE1"/>
    <w:rsid w:val="004B34EA"/>
    <w:rsid w:val="004B4898"/>
    <w:rsid w:val="004D2EE1"/>
    <w:rsid w:val="004D5B5F"/>
    <w:rsid w:val="004D681D"/>
    <w:rsid w:val="004E0399"/>
    <w:rsid w:val="004E1309"/>
    <w:rsid w:val="004E1F41"/>
    <w:rsid w:val="004E419B"/>
    <w:rsid w:val="004E5809"/>
    <w:rsid w:val="004F1894"/>
    <w:rsid w:val="004F3EAF"/>
    <w:rsid w:val="00501B78"/>
    <w:rsid w:val="00502070"/>
    <w:rsid w:val="00503E36"/>
    <w:rsid w:val="005047DD"/>
    <w:rsid w:val="0050606B"/>
    <w:rsid w:val="00510206"/>
    <w:rsid w:val="005103E9"/>
    <w:rsid w:val="005113DC"/>
    <w:rsid w:val="00516080"/>
    <w:rsid w:val="005169EB"/>
    <w:rsid w:val="00517027"/>
    <w:rsid w:val="00517F7D"/>
    <w:rsid w:val="00522F38"/>
    <w:rsid w:val="005304D1"/>
    <w:rsid w:val="00530740"/>
    <w:rsid w:val="00530D9D"/>
    <w:rsid w:val="0053551E"/>
    <w:rsid w:val="005404B4"/>
    <w:rsid w:val="00541200"/>
    <w:rsid w:val="00542A26"/>
    <w:rsid w:val="00542F8F"/>
    <w:rsid w:val="00546279"/>
    <w:rsid w:val="00550775"/>
    <w:rsid w:val="00550D86"/>
    <w:rsid w:val="005543A1"/>
    <w:rsid w:val="00554E6F"/>
    <w:rsid w:val="0055795E"/>
    <w:rsid w:val="0056065B"/>
    <w:rsid w:val="0056092E"/>
    <w:rsid w:val="00561BCF"/>
    <w:rsid w:val="005626B4"/>
    <w:rsid w:val="005628CE"/>
    <w:rsid w:val="005631BF"/>
    <w:rsid w:val="00566CBA"/>
    <w:rsid w:val="00566E0B"/>
    <w:rsid w:val="00577616"/>
    <w:rsid w:val="005806CA"/>
    <w:rsid w:val="00594BAB"/>
    <w:rsid w:val="005950D8"/>
    <w:rsid w:val="0059582E"/>
    <w:rsid w:val="00596C43"/>
    <w:rsid w:val="00597972"/>
    <w:rsid w:val="00597BDE"/>
    <w:rsid w:val="005A0491"/>
    <w:rsid w:val="005B0728"/>
    <w:rsid w:val="005C0301"/>
    <w:rsid w:val="005C3D84"/>
    <w:rsid w:val="005C5929"/>
    <w:rsid w:val="005D0B8D"/>
    <w:rsid w:val="005D6299"/>
    <w:rsid w:val="005E050F"/>
    <w:rsid w:val="005E481A"/>
    <w:rsid w:val="005F0AB5"/>
    <w:rsid w:val="005F1706"/>
    <w:rsid w:val="005F2D29"/>
    <w:rsid w:val="005F6B31"/>
    <w:rsid w:val="006006CD"/>
    <w:rsid w:val="00611C9F"/>
    <w:rsid w:val="00613ECD"/>
    <w:rsid w:val="00630363"/>
    <w:rsid w:val="006472A3"/>
    <w:rsid w:val="00650B1D"/>
    <w:rsid w:val="00652C9D"/>
    <w:rsid w:val="00657592"/>
    <w:rsid w:val="006576EB"/>
    <w:rsid w:val="00660293"/>
    <w:rsid w:val="006644BE"/>
    <w:rsid w:val="00666542"/>
    <w:rsid w:val="00672DE9"/>
    <w:rsid w:val="00680A10"/>
    <w:rsid w:val="00681489"/>
    <w:rsid w:val="00683232"/>
    <w:rsid w:val="00683295"/>
    <w:rsid w:val="006834B0"/>
    <w:rsid w:val="00685757"/>
    <w:rsid w:val="006869E1"/>
    <w:rsid w:val="00686ECB"/>
    <w:rsid w:val="006872F1"/>
    <w:rsid w:val="0068769C"/>
    <w:rsid w:val="006901A0"/>
    <w:rsid w:val="00692BA6"/>
    <w:rsid w:val="00694D20"/>
    <w:rsid w:val="00695EC3"/>
    <w:rsid w:val="00697AC1"/>
    <w:rsid w:val="006A0B81"/>
    <w:rsid w:val="006A369E"/>
    <w:rsid w:val="006A3A96"/>
    <w:rsid w:val="006A41F8"/>
    <w:rsid w:val="006A7EA4"/>
    <w:rsid w:val="006B026B"/>
    <w:rsid w:val="006B6101"/>
    <w:rsid w:val="006C04F0"/>
    <w:rsid w:val="006C2E8B"/>
    <w:rsid w:val="006C4DDD"/>
    <w:rsid w:val="006D2817"/>
    <w:rsid w:val="006E0BD3"/>
    <w:rsid w:val="006E1AAF"/>
    <w:rsid w:val="006F1DE8"/>
    <w:rsid w:val="006F3366"/>
    <w:rsid w:val="006F4B5D"/>
    <w:rsid w:val="006F6E40"/>
    <w:rsid w:val="006F7F7D"/>
    <w:rsid w:val="00700B6E"/>
    <w:rsid w:val="00702681"/>
    <w:rsid w:val="0070516C"/>
    <w:rsid w:val="007102F1"/>
    <w:rsid w:val="00710FD5"/>
    <w:rsid w:val="007117D8"/>
    <w:rsid w:val="00712EE1"/>
    <w:rsid w:val="00713049"/>
    <w:rsid w:val="007208EE"/>
    <w:rsid w:val="00722283"/>
    <w:rsid w:val="0072392C"/>
    <w:rsid w:val="00724171"/>
    <w:rsid w:val="00736FA9"/>
    <w:rsid w:val="007472FB"/>
    <w:rsid w:val="00747D51"/>
    <w:rsid w:val="007517FA"/>
    <w:rsid w:val="00751C13"/>
    <w:rsid w:val="00752A4E"/>
    <w:rsid w:val="00753C89"/>
    <w:rsid w:val="00760471"/>
    <w:rsid w:val="00760EB8"/>
    <w:rsid w:val="007648F7"/>
    <w:rsid w:val="00765F81"/>
    <w:rsid w:val="00766FC4"/>
    <w:rsid w:val="00772B96"/>
    <w:rsid w:val="00780E12"/>
    <w:rsid w:val="007825EA"/>
    <w:rsid w:val="00791772"/>
    <w:rsid w:val="007917F7"/>
    <w:rsid w:val="0079182D"/>
    <w:rsid w:val="00791E76"/>
    <w:rsid w:val="00792F9D"/>
    <w:rsid w:val="00794550"/>
    <w:rsid w:val="00794F45"/>
    <w:rsid w:val="00794FF6"/>
    <w:rsid w:val="00795202"/>
    <w:rsid w:val="007969B8"/>
    <w:rsid w:val="00796FA8"/>
    <w:rsid w:val="007A1D86"/>
    <w:rsid w:val="007A3E6F"/>
    <w:rsid w:val="007A745A"/>
    <w:rsid w:val="007B3CE7"/>
    <w:rsid w:val="007B5944"/>
    <w:rsid w:val="007C275C"/>
    <w:rsid w:val="007C2FFC"/>
    <w:rsid w:val="007C6FDF"/>
    <w:rsid w:val="007C7E12"/>
    <w:rsid w:val="007D1FFC"/>
    <w:rsid w:val="007D2FDE"/>
    <w:rsid w:val="007D329E"/>
    <w:rsid w:val="007D4C46"/>
    <w:rsid w:val="007D628C"/>
    <w:rsid w:val="007D6E2D"/>
    <w:rsid w:val="007E7A89"/>
    <w:rsid w:val="007F1424"/>
    <w:rsid w:val="007F2270"/>
    <w:rsid w:val="007F359B"/>
    <w:rsid w:val="007F3D31"/>
    <w:rsid w:val="007F50D0"/>
    <w:rsid w:val="007F5210"/>
    <w:rsid w:val="00802C4A"/>
    <w:rsid w:val="00804B91"/>
    <w:rsid w:val="008059E5"/>
    <w:rsid w:val="00813E4F"/>
    <w:rsid w:val="00815794"/>
    <w:rsid w:val="0082208C"/>
    <w:rsid w:val="00823A09"/>
    <w:rsid w:val="008257EB"/>
    <w:rsid w:val="008320E6"/>
    <w:rsid w:val="00832100"/>
    <w:rsid w:val="008359B5"/>
    <w:rsid w:val="008404F5"/>
    <w:rsid w:val="00840F12"/>
    <w:rsid w:val="00850D20"/>
    <w:rsid w:val="00853F6F"/>
    <w:rsid w:val="00855965"/>
    <w:rsid w:val="00857188"/>
    <w:rsid w:val="00871A9E"/>
    <w:rsid w:val="00872EE3"/>
    <w:rsid w:val="00873DEB"/>
    <w:rsid w:val="00874372"/>
    <w:rsid w:val="00874E6D"/>
    <w:rsid w:val="008758B5"/>
    <w:rsid w:val="008771F3"/>
    <w:rsid w:val="008816EF"/>
    <w:rsid w:val="00881F5D"/>
    <w:rsid w:val="0088253B"/>
    <w:rsid w:val="00882C3C"/>
    <w:rsid w:val="00890396"/>
    <w:rsid w:val="0089600B"/>
    <w:rsid w:val="008A01D8"/>
    <w:rsid w:val="008A0A69"/>
    <w:rsid w:val="008A25A5"/>
    <w:rsid w:val="008A73B1"/>
    <w:rsid w:val="008B0472"/>
    <w:rsid w:val="008B0C91"/>
    <w:rsid w:val="008B1171"/>
    <w:rsid w:val="008C78D1"/>
    <w:rsid w:val="008D2923"/>
    <w:rsid w:val="008D4DB9"/>
    <w:rsid w:val="008D7B27"/>
    <w:rsid w:val="008E13F6"/>
    <w:rsid w:val="008E2F44"/>
    <w:rsid w:val="008E3607"/>
    <w:rsid w:val="008E3F2C"/>
    <w:rsid w:val="008E66DE"/>
    <w:rsid w:val="008E74A7"/>
    <w:rsid w:val="008E7D5F"/>
    <w:rsid w:val="008F210F"/>
    <w:rsid w:val="008F7206"/>
    <w:rsid w:val="009002EC"/>
    <w:rsid w:val="00900E14"/>
    <w:rsid w:val="0090196F"/>
    <w:rsid w:val="00902CB0"/>
    <w:rsid w:val="009152F5"/>
    <w:rsid w:val="009208B4"/>
    <w:rsid w:val="0092732F"/>
    <w:rsid w:val="00927A46"/>
    <w:rsid w:val="00930048"/>
    <w:rsid w:val="00932ECD"/>
    <w:rsid w:val="009334EF"/>
    <w:rsid w:val="00933C2B"/>
    <w:rsid w:val="00935C84"/>
    <w:rsid w:val="009434D9"/>
    <w:rsid w:val="009466E1"/>
    <w:rsid w:val="00950CEF"/>
    <w:rsid w:val="00955EF1"/>
    <w:rsid w:val="00957BF2"/>
    <w:rsid w:val="00960D7B"/>
    <w:rsid w:val="00962ED5"/>
    <w:rsid w:val="00963186"/>
    <w:rsid w:val="009679D0"/>
    <w:rsid w:val="0097108F"/>
    <w:rsid w:val="0097197A"/>
    <w:rsid w:val="009750C9"/>
    <w:rsid w:val="0098067D"/>
    <w:rsid w:val="009806BD"/>
    <w:rsid w:val="0098604B"/>
    <w:rsid w:val="00990888"/>
    <w:rsid w:val="00994792"/>
    <w:rsid w:val="00996CD5"/>
    <w:rsid w:val="009A0932"/>
    <w:rsid w:val="009A1574"/>
    <w:rsid w:val="009A2836"/>
    <w:rsid w:val="009A307B"/>
    <w:rsid w:val="009B2063"/>
    <w:rsid w:val="009B36F6"/>
    <w:rsid w:val="009C0E87"/>
    <w:rsid w:val="009C7D22"/>
    <w:rsid w:val="009D1CD9"/>
    <w:rsid w:val="009D63BF"/>
    <w:rsid w:val="009E2E85"/>
    <w:rsid w:val="009E35E9"/>
    <w:rsid w:val="009E3CA8"/>
    <w:rsid w:val="009E5A53"/>
    <w:rsid w:val="009F4030"/>
    <w:rsid w:val="009F4B7A"/>
    <w:rsid w:val="009F5FFF"/>
    <w:rsid w:val="009F64A3"/>
    <w:rsid w:val="00A053FA"/>
    <w:rsid w:val="00A06F18"/>
    <w:rsid w:val="00A11D54"/>
    <w:rsid w:val="00A13746"/>
    <w:rsid w:val="00A1687A"/>
    <w:rsid w:val="00A17AD1"/>
    <w:rsid w:val="00A17F54"/>
    <w:rsid w:val="00A2305B"/>
    <w:rsid w:val="00A26FE2"/>
    <w:rsid w:val="00A27F1A"/>
    <w:rsid w:val="00A330BC"/>
    <w:rsid w:val="00A36BD5"/>
    <w:rsid w:val="00A429BD"/>
    <w:rsid w:val="00A5059B"/>
    <w:rsid w:val="00A51134"/>
    <w:rsid w:val="00A5215A"/>
    <w:rsid w:val="00A640B8"/>
    <w:rsid w:val="00A65A46"/>
    <w:rsid w:val="00A711FA"/>
    <w:rsid w:val="00A75EB1"/>
    <w:rsid w:val="00A76C72"/>
    <w:rsid w:val="00A83104"/>
    <w:rsid w:val="00A9050A"/>
    <w:rsid w:val="00A97302"/>
    <w:rsid w:val="00AA4B42"/>
    <w:rsid w:val="00AA4C77"/>
    <w:rsid w:val="00AA7734"/>
    <w:rsid w:val="00AA7CFE"/>
    <w:rsid w:val="00AB0D1D"/>
    <w:rsid w:val="00AB23BA"/>
    <w:rsid w:val="00AB2A4F"/>
    <w:rsid w:val="00AB7253"/>
    <w:rsid w:val="00AC3338"/>
    <w:rsid w:val="00AC3FF4"/>
    <w:rsid w:val="00AC4A1F"/>
    <w:rsid w:val="00AC4C8A"/>
    <w:rsid w:val="00AC594C"/>
    <w:rsid w:val="00AD0810"/>
    <w:rsid w:val="00AD2F63"/>
    <w:rsid w:val="00AD3071"/>
    <w:rsid w:val="00AD4BAA"/>
    <w:rsid w:val="00AD7FC0"/>
    <w:rsid w:val="00AE0F38"/>
    <w:rsid w:val="00AE1656"/>
    <w:rsid w:val="00AE16F8"/>
    <w:rsid w:val="00AE1F83"/>
    <w:rsid w:val="00AF4A40"/>
    <w:rsid w:val="00B012E0"/>
    <w:rsid w:val="00B05775"/>
    <w:rsid w:val="00B06397"/>
    <w:rsid w:val="00B0740C"/>
    <w:rsid w:val="00B1099B"/>
    <w:rsid w:val="00B133E5"/>
    <w:rsid w:val="00B17CEF"/>
    <w:rsid w:val="00B17F52"/>
    <w:rsid w:val="00B24F3B"/>
    <w:rsid w:val="00B26269"/>
    <w:rsid w:val="00B30846"/>
    <w:rsid w:val="00B33D20"/>
    <w:rsid w:val="00B35482"/>
    <w:rsid w:val="00B379A0"/>
    <w:rsid w:val="00B40128"/>
    <w:rsid w:val="00B45E38"/>
    <w:rsid w:val="00B47848"/>
    <w:rsid w:val="00B47C21"/>
    <w:rsid w:val="00B506DE"/>
    <w:rsid w:val="00B51A08"/>
    <w:rsid w:val="00B63BF9"/>
    <w:rsid w:val="00B74247"/>
    <w:rsid w:val="00B745B4"/>
    <w:rsid w:val="00B75324"/>
    <w:rsid w:val="00B80348"/>
    <w:rsid w:val="00B80402"/>
    <w:rsid w:val="00B835A6"/>
    <w:rsid w:val="00B83CDA"/>
    <w:rsid w:val="00B84B5A"/>
    <w:rsid w:val="00B84E65"/>
    <w:rsid w:val="00B93CC2"/>
    <w:rsid w:val="00B97869"/>
    <w:rsid w:val="00BA22EC"/>
    <w:rsid w:val="00BA2BF5"/>
    <w:rsid w:val="00BA4D38"/>
    <w:rsid w:val="00BB4254"/>
    <w:rsid w:val="00BC1355"/>
    <w:rsid w:val="00BD0AE7"/>
    <w:rsid w:val="00BD5D3B"/>
    <w:rsid w:val="00BD6A1D"/>
    <w:rsid w:val="00C06CE2"/>
    <w:rsid w:val="00C12103"/>
    <w:rsid w:val="00C12AA2"/>
    <w:rsid w:val="00C16373"/>
    <w:rsid w:val="00C17D1A"/>
    <w:rsid w:val="00C228A1"/>
    <w:rsid w:val="00C24825"/>
    <w:rsid w:val="00C24B2C"/>
    <w:rsid w:val="00C25AEE"/>
    <w:rsid w:val="00C30648"/>
    <w:rsid w:val="00C34006"/>
    <w:rsid w:val="00C34CA0"/>
    <w:rsid w:val="00C35846"/>
    <w:rsid w:val="00C35CED"/>
    <w:rsid w:val="00C37180"/>
    <w:rsid w:val="00C44C5F"/>
    <w:rsid w:val="00C463C7"/>
    <w:rsid w:val="00C4759F"/>
    <w:rsid w:val="00C52B6A"/>
    <w:rsid w:val="00C56723"/>
    <w:rsid w:val="00C56E00"/>
    <w:rsid w:val="00C63D49"/>
    <w:rsid w:val="00C65144"/>
    <w:rsid w:val="00C65226"/>
    <w:rsid w:val="00C67AD0"/>
    <w:rsid w:val="00C70C2C"/>
    <w:rsid w:val="00C81CA6"/>
    <w:rsid w:val="00C90ABB"/>
    <w:rsid w:val="00C9741B"/>
    <w:rsid w:val="00CB1F91"/>
    <w:rsid w:val="00CB49B6"/>
    <w:rsid w:val="00CC1DF2"/>
    <w:rsid w:val="00CC3A00"/>
    <w:rsid w:val="00CC5598"/>
    <w:rsid w:val="00CD02DE"/>
    <w:rsid w:val="00CD13A9"/>
    <w:rsid w:val="00CD612F"/>
    <w:rsid w:val="00CE39C8"/>
    <w:rsid w:val="00CE675B"/>
    <w:rsid w:val="00CF6512"/>
    <w:rsid w:val="00D04881"/>
    <w:rsid w:val="00D0580B"/>
    <w:rsid w:val="00D05E13"/>
    <w:rsid w:val="00D05F7C"/>
    <w:rsid w:val="00D06888"/>
    <w:rsid w:val="00D124E7"/>
    <w:rsid w:val="00D1358D"/>
    <w:rsid w:val="00D22823"/>
    <w:rsid w:val="00D25CE5"/>
    <w:rsid w:val="00D25FC9"/>
    <w:rsid w:val="00D26142"/>
    <w:rsid w:val="00D3221C"/>
    <w:rsid w:val="00D343DA"/>
    <w:rsid w:val="00D41D6F"/>
    <w:rsid w:val="00D42B9C"/>
    <w:rsid w:val="00D508D8"/>
    <w:rsid w:val="00D51502"/>
    <w:rsid w:val="00D5445A"/>
    <w:rsid w:val="00D575A9"/>
    <w:rsid w:val="00D7180C"/>
    <w:rsid w:val="00D73D11"/>
    <w:rsid w:val="00D74241"/>
    <w:rsid w:val="00D74917"/>
    <w:rsid w:val="00D77320"/>
    <w:rsid w:val="00D91990"/>
    <w:rsid w:val="00DA0383"/>
    <w:rsid w:val="00DA244F"/>
    <w:rsid w:val="00DA2CE0"/>
    <w:rsid w:val="00DA3DFA"/>
    <w:rsid w:val="00DA7DF3"/>
    <w:rsid w:val="00DB092C"/>
    <w:rsid w:val="00DB1DD4"/>
    <w:rsid w:val="00DB2A2B"/>
    <w:rsid w:val="00DB4D93"/>
    <w:rsid w:val="00DB5094"/>
    <w:rsid w:val="00DC1FEB"/>
    <w:rsid w:val="00DC36AB"/>
    <w:rsid w:val="00DC6D4A"/>
    <w:rsid w:val="00DD71C5"/>
    <w:rsid w:val="00DE3185"/>
    <w:rsid w:val="00DE392A"/>
    <w:rsid w:val="00DE3DBC"/>
    <w:rsid w:val="00DE4687"/>
    <w:rsid w:val="00DE6225"/>
    <w:rsid w:val="00DF162E"/>
    <w:rsid w:val="00DF4290"/>
    <w:rsid w:val="00E00063"/>
    <w:rsid w:val="00E04DF6"/>
    <w:rsid w:val="00E06B44"/>
    <w:rsid w:val="00E1620A"/>
    <w:rsid w:val="00E20A3F"/>
    <w:rsid w:val="00E23726"/>
    <w:rsid w:val="00E24658"/>
    <w:rsid w:val="00E261E6"/>
    <w:rsid w:val="00E31D86"/>
    <w:rsid w:val="00E34570"/>
    <w:rsid w:val="00E35143"/>
    <w:rsid w:val="00E3754A"/>
    <w:rsid w:val="00E4047B"/>
    <w:rsid w:val="00E412E8"/>
    <w:rsid w:val="00E51D56"/>
    <w:rsid w:val="00E54664"/>
    <w:rsid w:val="00E55816"/>
    <w:rsid w:val="00E646BD"/>
    <w:rsid w:val="00E67320"/>
    <w:rsid w:val="00E73D20"/>
    <w:rsid w:val="00E8007B"/>
    <w:rsid w:val="00E80999"/>
    <w:rsid w:val="00E917FD"/>
    <w:rsid w:val="00E9240F"/>
    <w:rsid w:val="00E95A2A"/>
    <w:rsid w:val="00E97665"/>
    <w:rsid w:val="00EA12FD"/>
    <w:rsid w:val="00EA3F17"/>
    <w:rsid w:val="00EA3FC2"/>
    <w:rsid w:val="00EA56B1"/>
    <w:rsid w:val="00EC0ADC"/>
    <w:rsid w:val="00EC1D01"/>
    <w:rsid w:val="00EC4BBD"/>
    <w:rsid w:val="00EC6CA4"/>
    <w:rsid w:val="00ED001F"/>
    <w:rsid w:val="00ED0CCD"/>
    <w:rsid w:val="00ED1A2A"/>
    <w:rsid w:val="00ED371F"/>
    <w:rsid w:val="00ED6299"/>
    <w:rsid w:val="00ED7841"/>
    <w:rsid w:val="00EE3928"/>
    <w:rsid w:val="00EE49A6"/>
    <w:rsid w:val="00EE6F0D"/>
    <w:rsid w:val="00EE70CA"/>
    <w:rsid w:val="00EF168C"/>
    <w:rsid w:val="00EF37D9"/>
    <w:rsid w:val="00EF4A9E"/>
    <w:rsid w:val="00EF4E1D"/>
    <w:rsid w:val="00EF6986"/>
    <w:rsid w:val="00F02EA5"/>
    <w:rsid w:val="00F050D5"/>
    <w:rsid w:val="00F11DAC"/>
    <w:rsid w:val="00F1555E"/>
    <w:rsid w:val="00F16961"/>
    <w:rsid w:val="00F20E8C"/>
    <w:rsid w:val="00F21295"/>
    <w:rsid w:val="00F270F8"/>
    <w:rsid w:val="00F42075"/>
    <w:rsid w:val="00F420EF"/>
    <w:rsid w:val="00F50B51"/>
    <w:rsid w:val="00F51CC2"/>
    <w:rsid w:val="00F569A3"/>
    <w:rsid w:val="00F62328"/>
    <w:rsid w:val="00F62994"/>
    <w:rsid w:val="00F82DE5"/>
    <w:rsid w:val="00F97901"/>
    <w:rsid w:val="00FA325C"/>
    <w:rsid w:val="00FA46CA"/>
    <w:rsid w:val="00FB397B"/>
    <w:rsid w:val="00FB3E3E"/>
    <w:rsid w:val="00FB439C"/>
    <w:rsid w:val="00FB43B0"/>
    <w:rsid w:val="00FB4D1B"/>
    <w:rsid w:val="00FB6FF0"/>
    <w:rsid w:val="00FC17BC"/>
    <w:rsid w:val="00FC7849"/>
    <w:rsid w:val="00FD38CF"/>
    <w:rsid w:val="00FD63B4"/>
    <w:rsid w:val="00FE3A3A"/>
    <w:rsid w:val="00FE5B06"/>
    <w:rsid w:val="00FF0233"/>
    <w:rsid w:val="00FF054C"/>
    <w:rsid w:val="00FF1D3C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E0B0D"/>
  <w15:docId w15:val="{D2097952-40DD-4725-8022-06E8E9F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580B"/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8323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65226"/>
    <w:pPr>
      <w:ind w:left="720"/>
      <w:contextualSpacing/>
    </w:pPr>
  </w:style>
  <w:style w:type="paragraph" w:customStyle="1" w:styleId="Style3">
    <w:name w:val="Style3"/>
    <w:basedOn w:val="Navaden"/>
    <w:uiPriority w:val="99"/>
    <w:rsid w:val="00D0580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sl-SI"/>
    </w:rPr>
  </w:style>
  <w:style w:type="character" w:customStyle="1" w:styleId="FontStyle12">
    <w:name w:val="Font Style12"/>
    <w:uiPriority w:val="99"/>
    <w:rsid w:val="00D0580B"/>
    <w:rPr>
      <w:rFonts w:ascii="Tahoma" w:hAnsi="Tahoma" w:cs="Tahoma"/>
      <w:sz w:val="20"/>
      <w:szCs w:val="20"/>
    </w:rPr>
  </w:style>
  <w:style w:type="paragraph" w:styleId="Revizija">
    <w:name w:val="Revision"/>
    <w:hidden/>
    <w:uiPriority w:val="99"/>
    <w:semiHidden/>
    <w:rsid w:val="001E63E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Poglavje">
    <w:name w:val="Poglavje"/>
    <w:basedOn w:val="Navaden"/>
    <w:qFormat/>
    <w:rsid w:val="00DA03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eastAsia="Times New Roman" w:cs="Arial"/>
      <w:b/>
      <w:sz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63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63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16373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63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6373"/>
    <w:rPr>
      <w:rFonts w:ascii="Arial" w:eastAsia="Calibri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BD3"/>
    <w:rPr>
      <w:rFonts w:ascii="Segoe UI" w:eastAsia="Calibr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3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760EB8"/>
    <w:pPr>
      <w:tabs>
        <w:tab w:val="left" w:pos="1701"/>
      </w:tabs>
      <w:spacing w:after="0" w:line="260" w:lineRule="atLeast"/>
    </w:pPr>
    <w:rPr>
      <w:rFonts w:eastAsia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84566A-AC34-459B-B6AA-944561C5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Ploštajner</dc:creator>
  <cp:lastModifiedBy>Andrej Grdiša</cp:lastModifiedBy>
  <cp:revision>4</cp:revision>
  <cp:lastPrinted>2024-04-09T07:33:00Z</cp:lastPrinted>
  <dcterms:created xsi:type="dcterms:W3CDTF">2024-05-23T06:56:00Z</dcterms:created>
  <dcterms:modified xsi:type="dcterms:W3CDTF">2024-05-23T07:19:00Z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