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E10A8" w:rsidRPr="004C6DA1" w:rsidP="00CB7264" w14:paraId="13AF0792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2"/>
        <w:gridCol w:w="373"/>
        <w:gridCol w:w="842"/>
        <w:gridCol w:w="1375"/>
        <w:gridCol w:w="497"/>
        <w:gridCol w:w="956"/>
        <w:gridCol w:w="492"/>
        <w:gridCol w:w="236"/>
        <w:gridCol w:w="409"/>
        <w:gridCol w:w="264"/>
        <w:gridCol w:w="61"/>
        <w:gridCol w:w="2097"/>
        <w:gridCol w:w="51"/>
      </w:tblGrid>
      <w:tr w14:paraId="7E84D985" w14:textId="77777777" w:rsidTr="00534141">
        <w:tblPrEx>
          <w:tblW w:w="9185" w:type="dxa"/>
          <w:tblInd w:w="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6"/>
          <w:wAfter w:w="3118" w:type="dxa"/>
        </w:trPr>
        <w:tc>
          <w:tcPr>
            <w:tcW w:w="6067" w:type="dxa"/>
            <w:gridSpan w:val="7"/>
          </w:tcPr>
          <w:p w:rsidR="009F1E59" w:rsidRPr="004C6DA1" w:rsidP="00AB65D9" w14:paraId="3CC22150" w14:textId="77777777">
            <w:pPr>
              <w:pStyle w:val="datumtevilka"/>
            </w:pPr>
            <w:r w:rsidRPr="004C6DA1">
              <w:t xml:space="preserve">Številka: </w:t>
            </w:r>
            <w:bookmarkStart w:id="0" w:name="Klasifikacija"/>
            <w:r w:rsidRPr="004C6DA1">
              <w:t>843-8/2025-26</w:t>
            </w:r>
            <w:bookmarkEnd w:id="0"/>
          </w:p>
        </w:tc>
      </w:tr>
      <w:tr w14:paraId="278A7E1F" w14:textId="77777777" w:rsidTr="00534141">
        <w:tblPrEx>
          <w:tblW w:w="9185" w:type="dxa"/>
          <w:tblInd w:w="137" w:type="dxa"/>
          <w:tblLook w:val="04A0"/>
        </w:tblPrEx>
        <w:trPr>
          <w:gridAfter w:val="6"/>
          <w:wAfter w:w="3118" w:type="dxa"/>
        </w:trPr>
        <w:tc>
          <w:tcPr>
            <w:tcW w:w="6067" w:type="dxa"/>
            <w:gridSpan w:val="7"/>
          </w:tcPr>
          <w:p w:rsidR="009F1E59" w:rsidRPr="004C6DA1" w:rsidP="00AB65D9" w14:paraId="4999ACE4" w14:textId="77777777">
            <w:pPr>
              <w:pStyle w:val="datumtevilka"/>
            </w:pPr>
            <w:r w:rsidRPr="004C6DA1">
              <w:t xml:space="preserve">Ljubljana, dne </w:t>
            </w:r>
            <w:bookmarkStart w:id="1" w:name="DatumDokumenta"/>
            <w:r w:rsidRPr="004C6DA1">
              <w:t>11. 12. 2025</w:t>
            </w:r>
            <w:bookmarkEnd w:id="1"/>
          </w:p>
        </w:tc>
      </w:tr>
      <w:tr w14:paraId="53CCC1DA" w14:textId="77777777" w:rsidTr="00534141">
        <w:tblPrEx>
          <w:tblW w:w="9185" w:type="dxa"/>
          <w:tblInd w:w="137" w:type="dxa"/>
          <w:tblLook w:val="04A0"/>
        </w:tblPrEx>
        <w:trPr>
          <w:gridAfter w:val="6"/>
          <w:wAfter w:w="3118" w:type="dxa"/>
        </w:trPr>
        <w:tc>
          <w:tcPr>
            <w:tcW w:w="6067" w:type="dxa"/>
            <w:gridSpan w:val="7"/>
          </w:tcPr>
          <w:p w:rsidR="00FB3C81" w:rsidRPr="004C6DA1" w:rsidP="002C278B" w14:paraId="07153632" w14:textId="7777777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C6DA1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04B2F2F1" w14:textId="77777777" w:rsidTr="00534141">
        <w:tblPrEx>
          <w:tblW w:w="9185" w:type="dxa"/>
          <w:tblInd w:w="137" w:type="dxa"/>
          <w:tblLook w:val="04A0"/>
        </w:tblPrEx>
        <w:trPr>
          <w:gridAfter w:val="6"/>
          <w:wAfter w:w="3118" w:type="dxa"/>
        </w:trPr>
        <w:tc>
          <w:tcPr>
            <w:tcW w:w="6067" w:type="dxa"/>
            <w:gridSpan w:val="7"/>
          </w:tcPr>
          <w:p w:rsidR="00FB3C81" w:rsidRPr="004C6DA1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4C6DA1" w:rsidP="002C278B" w14:paraId="33AF8CC2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C6DA1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FB3C81" w:rsidRPr="004C6DA1" w:rsidP="002C278B" w14:paraId="70B7C491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4C6DA1" w:rsidR="00EC1D6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FB3C81" w:rsidRPr="004C6DA1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</w:tcPr>
          <w:p w:rsidR="00FB3C81" w:rsidRPr="004C6DA1" w:rsidP="009B0131" w14:paraId="601EC30B" w14:textId="49D11C28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4C6DA1">
              <w:rPr>
                <w:sz w:val="20"/>
                <w:szCs w:val="20"/>
              </w:rPr>
              <w:t xml:space="preserve">ZADEVA: </w:t>
            </w:r>
            <w:r w:rsidR="00C356C4">
              <w:rPr>
                <w:sz w:val="20"/>
                <w:szCs w:val="20"/>
              </w:rPr>
              <w:t>Sklep o s</w:t>
            </w:r>
            <w:r w:rsidRPr="004C6DA1" w:rsidR="0086420F">
              <w:rPr>
                <w:sz w:val="20"/>
                <w:szCs w:val="20"/>
              </w:rPr>
              <w:t>prememba</w:t>
            </w:r>
            <w:r w:rsidR="00C356C4">
              <w:rPr>
                <w:sz w:val="20"/>
                <w:szCs w:val="20"/>
              </w:rPr>
              <w:t>h</w:t>
            </w:r>
            <w:r w:rsidRPr="004C6DA1" w:rsidR="0086420F">
              <w:rPr>
                <w:sz w:val="20"/>
                <w:szCs w:val="20"/>
              </w:rPr>
              <w:t xml:space="preserve"> </w:t>
            </w:r>
            <w:r w:rsidR="009B0131">
              <w:rPr>
                <w:sz w:val="20"/>
                <w:szCs w:val="20"/>
              </w:rPr>
              <w:t>sklepa vlade</w:t>
            </w:r>
            <w:r w:rsidRPr="004C6DA1" w:rsidR="0086420F">
              <w:rPr>
                <w:sz w:val="20"/>
                <w:szCs w:val="20"/>
              </w:rPr>
              <w:t xml:space="preserve"> </w:t>
            </w:r>
            <w:r w:rsidR="009B0131">
              <w:rPr>
                <w:sz w:val="20"/>
                <w:szCs w:val="20"/>
              </w:rPr>
              <w:t>o pomoči</w:t>
            </w:r>
            <w:r w:rsidRPr="004C6DA1" w:rsidR="0086420F">
              <w:rPr>
                <w:sz w:val="20"/>
                <w:szCs w:val="20"/>
              </w:rPr>
              <w:t xml:space="preserve"> Republiki Severni Makedoniji ob požaru v nočnem klubu </w:t>
            </w:r>
            <w:r w:rsidRPr="004C6DA1" w:rsidR="009B0131">
              <w:rPr>
                <w:sz w:val="20"/>
                <w:szCs w:val="20"/>
              </w:rPr>
              <w:t>št. 51105-2/20</w:t>
            </w:r>
            <w:r w:rsidR="009B0131">
              <w:rPr>
                <w:sz w:val="20"/>
                <w:szCs w:val="20"/>
              </w:rPr>
              <w:t xml:space="preserve">25/3 z dne 17. 3. 2025 </w:t>
            </w:r>
            <w:r w:rsidRPr="004C6DA1" w:rsidR="0086420F">
              <w:rPr>
                <w:sz w:val="20"/>
                <w:szCs w:val="20"/>
              </w:rPr>
              <w:t>- predlog za obravnavo</w:t>
            </w:r>
          </w:p>
        </w:tc>
      </w:tr>
      <w:tr w14:paraId="148EE070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</w:tcPr>
          <w:p w:rsidR="00FB3C81" w:rsidRPr="004C6DA1" w:rsidP="002C278B" w14:paraId="42B0D2AC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C6DA1">
              <w:rPr>
                <w:sz w:val="20"/>
                <w:szCs w:val="20"/>
              </w:rPr>
              <w:t>1. Predlog sklepov vlade:</w:t>
            </w:r>
          </w:p>
        </w:tc>
      </w:tr>
      <w:tr w14:paraId="3E8D7804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EB" w:rsidRPr="004C6DA1" w14:paraId="32A243BF" w14:textId="0E72470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C6D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Na podlagi šestega odstavka 21. člena Zakona o Vladi Republike Slovenije (Uradni list RS, št. 24/05 – uradno prečiščeno besedilo, 109/08, 38/10 – ZUKN, 8/12, 21/13,</w:t>
            </w:r>
            <w:r w:rsidR="009B01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47/13 – ZDU-1G, 65/14, 55/17,</w:t>
            </w:r>
            <w:r w:rsidRPr="004C6D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163/22</w:t>
            </w:r>
            <w:r w:rsidR="009B01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57/25 - ZF</w:t>
            </w:r>
            <w:r w:rsidRPr="004C6D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), tretjega odstavka 14. člena in 86.a člena Zakona o varstvu pred naravnimi in drugimi nesrečami (Uradni list RS, št. 51/06 – uradno prečiščeno bes</w:t>
            </w:r>
            <w:r w:rsidR="009B01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edilo, 97/10 in 21/18 – ZNOrg</w:t>
            </w:r>
            <w:r w:rsidRPr="004C6D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117/22</w:t>
            </w:r>
            <w:r w:rsidR="00BF5D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57/25</w:t>
            </w:r>
            <w:r w:rsidRPr="004C6D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 in tretjega odstavka 37. člena Zakona o obrambi (Uradni list RS, št. 103/04 – uradno prečiščeno besedilo, 95/15 in 139/20) je Vlada Republike Slovenije </w:t>
            </w:r>
            <w:r w:rsidRPr="004C6DA1">
              <w:rPr>
                <w:rFonts w:ascii="Arial" w:hAnsi="Arial" w:cs="Arial"/>
                <w:sz w:val="20"/>
                <w:szCs w:val="20"/>
              </w:rPr>
              <w:t>na ___ seji dne ________ pod ___ točko dnevnega reda sprejela naslednji</w:t>
            </w:r>
          </w:p>
          <w:p w:rsidR="002969EB" w:rsidRPr="004C6DA1" w14:paraId="160DB27B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2969EB" w:rsidRPr="004C6DA1" w14:paraId="2684E616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ind w:left="72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P:</w:t>
            </w:r>
          </w:p>
          <w:p w:rsidR="002969EB" w:rsidRPr="004C6DA1" w14:paraId="537BA5D2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C356C4" w14:paraId="12091FAF" w14:textId="296D38EE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</w:t>
            </w:r>
            <w:r w:rsidRPr="004C6DA1" w:rsidR="002969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sklepu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Vlade Republike Slovenije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št. 51105-2/2025/3 </w:t>
            </w:r>
            <w:r w:rsidR="00F825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 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dne 17. 3. 2025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</w:t>
            </w:r>
            <w:r w:rsidR="00F825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:</w:t>
            </w:r>
          </w:p>
          <w:p w:rsidR="00C356C4" w:rsidP="00C356C4" w14:paraId="2244C9AE" w14:textId="416C843B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1. </w:t>
            </w:r>
            <w:r w:rsidR="00F8254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točki znesek »500.000 evrov</w:t>
            </w:r>
            <w:r w:rsidRPr="00C356C4" w:rsidR="002969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« nadome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sti z zneskom »551.465,02 evra«,</w:t>
            </w:r>
          </w:p>
          <w:p w:rsidR="002969EB" w:rsidRPr="00C356C4" w:rsidP="00C356C4" w14:paraId="67E690D7" w14:textId="55A1263D">
            <w:pPr>
              <w:pStyle w:val="ListParagraph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356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4. točki se znesek »550.00</w:t>
            </w:r>
            <w:r w:rsidRPr="00C356C4" w:rsidR="009B013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 evrov« nadomesti z zneskom »60</w:t>
            </w:r>
            <w:r w:rsidRPr="00C356C4" w:rsidR="00BF5D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1.465,02 evra«.</w:t>
            </w:r>
          </w:p>
          <w:p w:rsidR="002969EB" w:rsidRPr="004C6DA1" w14:paraId="134F80AB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461" w:hanging="461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2969EB" w:rsidRPr="004C6DA1" w14:paraId="6C07DD8F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2969EB" w:rsidRPr="004C6DA1" w14:paraId="04CBB50F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Barbara Kolenko Helbl</w:t>
            </w:r>
          </w:p>
          <w:p w:rsidR="002969EB" w:rsidRPr="004C6DA1" w14:paraId="15EDA88A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GENERALNA SEKRETARKA</w:t>
            </w:r>
          </w:p>
          <w:p w:rsidR="002969EB" w:rsidRPr="004C6DA1" w14:paraId="5967706D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2969EB" w:rsidRPr="004C6DA1" w14:paraId="7050EB93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Prejmejo:</w:t>
            </w:r>
          </w:p>
          <w:p w:rsidR="002969EB" w:rsidRPr="004C6DA1" w:rsidP="002969EB" w14:paraId="6B6A4868" w14:textId="7777777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obrambo,</w:t>
            </w:r>
          </w:p>
          <w:p w:rsidR="002969EB" w:rsidRPr="004C6DA1" w:rsidP="002969EB" w14:paraId="35EBD9B6" w14:textId="7777777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zdravje,</w:t>
            </w:r>
          </w:p>
          <w:p w:rsidR="002969EB" w:rsidRPr="004C6DA1" w:rsidP="002969EB" w14:paraId="496DD06D" w14:textId="7777777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finance,</w:t>
            </w:r>
          </w:p>
          <w:p w:rsidR="002969EB" w:rsidRPr="004C6DA1" w:rsidP="002969EB" w14:paraId="14E1C369" w14:textId="7777777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319" w:hanging="319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Urad Vlade RS za komuniciranje.</w:t>
            </w:r>
          </w:p>
          <w:p w:rsidR="002969EB" w:rsidRPr="004C6DA1" w14:paraId="34125682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14:paraId="05F43FB2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54421389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14:paraId="51E5825E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EB" w:rsidRPr="004C6DA1" w14:paraId="063C49BD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14:paraId="32B63D26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6CC73E84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14:paraId="1F18E45B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:rsidP="002969EB" w14:paraId="1454A390" w14:textId="77777777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Leon Behin, generalni direktor Uprave Republike Slovenije za zaščito in reševanje,</w:t>
            </w:r>
          </w:p>
          <w:p w:rsidR="002969EB" w:rsidRPr="004C6DA1" w:rsidP="002969EB" w14:paraId="0E138D1A" w14:textId="6D01E27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Srečko Šestan, poveljnik Civilne zaščite R</w:t>
            </w:r>
            <w:r w:rsidR="00C356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C356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</w:tc>
      </w:tr>
      <w:tr w14:paraId="460A5C46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18FD3C98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14:paraId="321C9925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1682C718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14:paraId="455BEE4A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0E2BE77A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Pri obravnavi gradiva bodo sodelovali:</w:t>
            </w:r>
          </w:p>
        </w:tc>
      </w:tr>
      <w:tr w14:paraId="6616BC1C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EB" w:rsidRPr="004C6DA1" w14:paraId="72D164D9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14:paraId="308ED004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113B71F0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14:paraId="664899C3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71CEFC6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 xml:space="preserve">Republika Severna Makedonija je zaradi tragičnega požara, ki se je zgodil v nočnem klubu v mestu Kočani v noči s 15. na 16. marec 2025, zaprosila za pomoč prek mehanizma Unije na področju civilne zaščite za zdravljenje pacientov s hudimi opeklinami. </w:t>
            </w:r>
          </w:p>
          <w:p w:rsidR="002969EB" w:rsidRPr="004C6DA1" w14:paraId="2CB5B1D1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Republika Slovenija je na podlagi sklepa vlade št. 51105-2/2025/3 z dne 17. 3. 2025 za pomoč Severni Makedoniji zagotovila prevoz in zdravljenje štirih pacientov z opeklinami, pri čemer je prevoz pacientov opravila Slovenska vojska, z</w:t>
            </w:r>
            <w:r w:rsidRPr="004C6D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dravstveno ekipo za spremstvo pri prevozu je zagotovilo Ministrstvo za zdravje. Poleg tega bi lahko Republika Slovenija na podlagi zaprosila Republike Severne Makedonije zagotovila dodatno pomoč v obliki materialnih sredstev oz. reševalnih enot v skupni vrednosti do 50.000 evrov.</w:t>
            </w:r>
          </w:p>
          <w:p w:rsidR="002969EB" w:rsidRPr="004C6DA1" w14:paraId="517373F8" w14:textId="08C937A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dejanskih stroško</w:t>
            </w:r>
            <w:r w:rsidR="00A02F5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dodatne pomoči je Generalštab</w:t>
            </w:r>
            <w:r w:rsidR="00C356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A02F5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lovenske vojske zaprosil za povišanje dovoljenega zneska, saj stroški presegajo stroške določene v sklepu vlade za </w:t>
            </w:r>
            <w:r w:rsidR="00F402E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1.465,02 evra.</w:t>
            </w:r>
          </w:p>
          <w:p w:rsidR="002969EB" w:rsidRPr="004C6DA1" w14:paraId="5534D127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Republika Severna Makedonija za dodatno pomoč ni zaprosila.</w:t>
            </w:r>
          </w:p>
        </w:tc>
      </w:tr>
      <w:tr w14:paraId="477AEB19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9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0A3FAA74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14:paraId="3679A4A1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5199F872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1ADD0981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2CC25668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14:paraId="5E83F219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73AD8DF3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642B9ED5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78793F72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5530A896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06EB8253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13F36A72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7C47450B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22B5762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46C06A6B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5EBF623C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6F28900E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6EAB7137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53C40C76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231EFE1D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77075096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262D8A8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42234C62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5F3619C0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3986C5E6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445940D7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9EB" w:rsidRPr="004C6DA1" w14:paraId="251E5F2D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9EB" w:rsidRPr="004C6DA1" w14:paraId="19361965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2969EB" w:rsidRPr="004C6DA1" w:rsidP="002969EB" w14:paraId="4B78EC37" w14:textId="77777777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2969EB" w:rsidRPr="004C6DA1" w:rsidP="002969EB" w14:paraId="790AE07B" w14:textId="77777777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2969EB" w:rsidRPr="004C6DA1" w:rsidP="002969EB" w14:paraId="3152BB1B" w14:textId="77777777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9EB" w:rsidRPr="004C6DA1" w14:paraId="4DE0CE5A" w14:textId="7777777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756A0939" w14:textId="77777777" w:rsidTr="00534141">
        <w:tblPrEx>
          <w:tblW w:w="9185" w:type="dxa"/>
          <w:tblInd w:w="137" w:type="dxa"/>
          <w:tblLook w:val="04A0"/>
        </w:tblPrEx>
        <w:trPr>
          <w:gridAfter w:val="1"/>
          <w:wAfter w:w="51" w:type="dxa"/>
          <w:trHeight w:val="881"/>
        </w:trPr>
        <w:tc>
          <w:tcPr>
            <w:tcW w:w="91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69EB" w:rsidRPr="004C6DA1" w14:paraId="2F195265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:rsidR="002969EB" w:rsidRPr="004C6DA1" w14:paraId="797AC1CF" w14:textId="5A351E1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Skupna vrednost prevoza in zdravljenja štirih državljan</w:t>
            </w:r>
            <w:r w:rsidR="00A02F5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ov Republike Severne Makedonije</w:t>
            </w: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UKC Ljubljana in UKC Maribor </w:t>
            </w:r>
            <w:r w:rsidRPr="004C6DA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znaša 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551.465,02 evra.</w:t>
            </w: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14:paraId="53007F6D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35"/>
        </w:trPr>
        <w:tc>
          <w:tcPr>
            <w:tcW w:w="9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969EB" w:rsidRPr="004C6DA1" w14:paraId="7FF0C69D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14:paraId="563D631D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276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55256551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16ACC3C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7CDF334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19BE4AE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344BAD2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19D2197E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423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0C103C1C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C6DA1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6DA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6DA1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65DEB937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2C7451EB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05775D2C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4F3E0852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236CD78B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423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C28B93D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C6DA1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6DA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6DA1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157110F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74363341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5E593767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1FAF4EC0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48F975CC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423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195C76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C6DA1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6DA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6DA1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0A0EFD4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7C175E3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2787350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090968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4ED461F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623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528E16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C6DA1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6DA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6DA1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2C5C4BD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6BD74B8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D78751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5131F76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4F7DA76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423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1DA7D7F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C6DA1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4C6DA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C6DA1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4B153496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078F4320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1E0ED3EE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9E518DE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229D2A3A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257"/>
        </w:trPr>
        <w:tc>
          <w:tcPr>
            <w:tcW w:w="9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969EB" w:rsidRPr="004C6DA1" w14:paraId="5384A43A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14:paraId="2B634C4F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257"/>
        </w:trPr>
        <w:tc>
          <w:tcPr>
            <w:tcW w:w="9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969EB" w:rsidRPr="004C6DA1" w14:paraId="0269AECB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14:paraId="0C9E9EB7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10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1B732CC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C8969A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EA69DE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4903B0C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DA0CB2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389C6F88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32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C3B9C83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55F012BF" w14:textId="77777777">
            <w:pPr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760C1C53" w14:textId="77777777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49A78E6B" w14:textId="77777777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C0F78DC" w14:textId="77777777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</w:tr>
      <w:tr w14:paraId="2494982F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646F858D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25636790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7188C405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26D4E350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50213254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08688A4B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5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739F0A7A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761EE7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4307417F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3FAD46A7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294"/>
        </w:trPr>
        <w:tc>
          <w:tcPr>
            <w:tcW w:w="9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969EB" w:rsidRPr="004C6DA1" w14:paraId="2D8E1AF7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14:paraId="3333BB88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10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757C551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3DD9978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5F96917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2E57A5BA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737D911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05A33F17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62AE0F45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1611- Ministrstvo za finance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4A8CB31E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1611-11-0032 Tekoča proračunska rezerva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12C052B4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 xml:space="preserve"> 7608 Tekoča proračunska rezerva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77317DD5" w14:textId="47F61174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60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1.465,02 evra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40B5484B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2A742866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62B800AA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47FE5326" w14:textId="77777777">
            <w:pPr>
              <w:keepNext/>
              <w:spacing w:after="6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02C8A709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66BCA9A8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6EC5845F" w14:textId="77777777">
            <w:pPr>
              <w:keepNext/>
              <w:spacing w:before="240" w:after="6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436C5324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5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453E9C82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0E06FDB2" w14:textId="6AF877E0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60</w:t>
            </w: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1.465,02 evra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D3F60AB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7DD428F8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207"/>
        </w:trPr>
        <w:tc>
          <w:tcPr>
            <w:tcW w:w="9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969EB" w:rsidRPr="004C6DA1" w14:paraId="2DBE6FCF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14:paraId="3D33CD1B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100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4F34AAF4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328F2C08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3998FD22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DA1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2D5CCF55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075050CA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2F380FE7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14C6E571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6B69343F" w14:textId="77777777" w:rsidTr="00534141">
        <w:tblPrEx>
          <w:tblW w:w="9185" w:type="dxa"/>
          <w:tblInd w:w="137" w:type="dxa"/>
          <w:tblLook w:val="04A0"/>
        </w:tblPrEx>
        <w:trPr>
          <w:cantSplit/>
          <w:trHeight w:val="95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EB" w:rsidRPr="004C6DA1" w14:paraId="5C8ABAF5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513322FE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B" w:rsidRPr="004C6DA1" w14:paraId="31D249E2" w14:textId="77777777">
            <w:pPr>
              <w:keepNext/>
              <w:spacing w:before="240" w:after="6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125A57EF" w14:textId="77777777" w:rsidTr="00534141">
        <w:tblPrEx>
          <w:tblW w:w="9185" w:type="dxa"/>
          <w:tblInd w:w="137" w:type="dxa"/>
          <w:tblLook w:val="04A0"/>
        </w:tblPrEx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3E064A3A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7.b Predstavitev ocene finančnih posledic pod 40.000 EUR:</w:t>
            </w:r>
          </w:p>
        </w:tc>
      </w:tr>
      <w:tr w14:paraId="330F436E" w14:textId="77777777" w:rsidTr="00534141">
        <w:tblPrEx>
          <w:tblW w:w="9185" w:type="dxa"/>
          <w:tblInd w:w="137" w:type="dxa"/>
          <w:tblLook w:val="04A0"/>
        </w:tblPrEx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2EEC1C8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367FD3C5" w14:textId="77777777" w:rsidTr="00534141">
        <w:tblPrEx>
          <w:tblW w:w="9185" w:type="dxa"/>
          <w:tblInd w:w="137" w:type="dxa"/>
          <w:tblLook w:val="04A0"/>
        </w:tblPrEx>
        <w:tc>
          <w:tcPr>
            <w:tcW w:w="6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6B9AAB6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:rsidR="002969EB" w:rsidRPr="004C6DA1" w:rsidP="002969EB" w14:paraId="27AD689A" w14:textId="77777777">
            <w:pPr>
              <w:widowControl w:val="0"/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2969EB" w:rsidRPr="004C6DA1" w:rsidP="002969EB" w14:paraId="4292B6FC" w14:textId="77777777">
            <w:pPr>
              <w:widowControl w:val="0"/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2969EB" w:rsidRPr="004C6DA1" w:rsidP="002969EB" w14:paraId="1182AFA0" w14:textId="77777777">
            <w:pPr>
              <w:widowControl w:val="0"/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5D984AF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1BB2921B" w14:textId="77777777" w:rsidTr="00534141">
        <w:tblPrEx>
          <w:tblW w:w="9185" w:type="dxa"/>
          <w:tblInd w:w="137" w:type="dxa"/>
          <w:tblLook w:val="04A0"/>
        </w:tblPrEx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EB" w:rsidRPr="004C6DA1" w14:paraId="60EC0CB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:rsidR="002969EB" w:rsidRPr="004C6DA1" w:rsidP="002969EB" w14:paraId="5AB00A97" w14:textId="77777777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:rsidR="002969EB" w:rsidRPr="004C6DA1" w:rsidP="002969EB" w14:paraId="2E931B59" w14:textId="77777777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:rsidR="002969EB" w:rsidRPr="004C6DA1" w:rsidP="002969EB" w14:paraId="5C8CECAA" w14:textId="77777777">
            <w:pPr>
              <w:widowControl w:val="0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:rsidR="002969EB" w:rsidRPr="004C6DA1" w14:paraId="25600C9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:rsidR="002969EB" w:rsidRPr="004C6DA1" w:rsidP="002969EB" w14:paraId="70D0376D" w14:textId="77777777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:rsidR="002969EB" w:rsidRPr="004C6DA1" w:rsidP="002969EB" w14:paraId="7EEB355F" w14:textId="77777777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:rsidR="002969EB" w:rsidRPr="004C6DA1" w:rsidP="002969EB" w14:paraId="206B898E" w14:textId="77777777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:rsidR="002969EB" w:rsidRPr="004C6DA1" w:rsidP="002969EB" w14:paraId="5888D2CB" w14:textId="77777777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:rsidR="002969EB" w:rsidRPr="004C6DA1" w14:paraId="140B972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14:paraId="7051DE02" w14:textId="77777777" w:rsidTr="00534141">
        <w:tblPrEx>
          <w:tblW w:w="9185" w:type="dxa"/>
          <w:tblInd w:w="137" w:type="dxa"/>
          <w:tblLook w:val="04A0"/>
        </w:tblPrEx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2C9BCE9B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14:paraId="35BBBD7F" w14:textId="77777777" w:rsidTr="00534141">
        <w:tblPrEx>
          <w:tblW w:w="9185" w:type="dxa"/>
          <w:tblInd w:w="137" w:type="dxa"/>
          <w:tblLook w:val="04A0"/>
        </w:tblPrEx>
        <w:tc>
          <w:tcPr>
            <w:tcW w:w="6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0FBEDA6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27CE706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7C434B56" w14:textId="77777777" w:rsidTr="00534141">
        <w:tblPrEx>
          <w:tblW w:w="9185" w:type="dxa"/>
          <w:tblInd w:w="137" w:type="dxa"/>
          <w:tblLook w:val="04A0"/>
        </w:tblPrEx>
        <w:trPr>
          <w:trHeight w:val="274"/>
        </w:trPr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9EB" w:rsidRPr="004C6DA1" w14:paraId="7E6177F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skladu s sedmim odstavkom 9. člena Poslovnika Vlade RS (Uradni list RS, št. 43/01, 23/02 – popr., 54/03, 103/03, 114/04, 26/06, 21/07, 32/10, 73/10, 95/11, 64/12, 80/13 , 10/14, 164/20, 35/21 in 114/21)) se javnosti ni povabilo k sodelovanju, ker gre za predlog sklepa vlade.</w:t>
            </w:r>
          </w:p>
        </w:tc>
      </w:tr>
      <w:tr w14:paraId="458E8AF2" w14:textId="77777777" w:rsidTr="00534141">
        <w:tblPrEx>
          <w:tblW w:w="9185" w:type="dxa"/>
          <w:tblInd w:w="137" w:type="dxa"/>
          <w:tblLook w:val="04A0"/>
        </w:tblPrEx>
        <w:tc>
          <w:tcPr>
            <w:tcW w:w="6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3CAE2CE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00FEAF0F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679ECB07" w14:textId="77777777" w:rsidTr="00534141">
        <w:tblPrEx>
          <w:tblW w:w="9185" w:type="dxa"/>
          <w:tblInd w:w="137" w:type="dxa"/>
          <w:tblLook w:val="04A0"/>
        </w:tblPrEx>
        <w:tc>
          <w:tcPr>
            <w:tcW w:w="6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08753E1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9EB" w:rsidRPr="004C6DA1" w14:paraId="14DC6F1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1FC8F290" w14:textId="77777777" w:rsidTr="00534141">
        <w:tblPrEx>
          <w:tblW w:w="9185" w:type="dxa"/>
          <w:tblInd w:w="137" w:type="dxa"/>
          <w:tblLook w:val="04A0"/>
        </w:tblPrEx>
        <w:tc>
          <w:tcPr>
            <w:tcW w:w="91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EB" w:rsidRPr="004C6DA1" w14:paraId="51DFA72E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</w:t>
            </w:r>
          </w:p>
          <w:p w:rsidR="002969EB" w:rsidRPr="004C6DA1" w14:paraId="0C1D6F2C" w14:textId="28F0F60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</w:t>
            </w:r>
            <w:r w:rsidR="00B16C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Mag. Marko Lovše</w:t>
            </w:r>
          </w:p>
          <w:p w:rsidR="002969EB" w14:paraId="603EAE32" w14:textId="47561C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C6D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</w:t>
            </w:r>
            <w:r w:rsidR="00B16CC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Državni sekretar</w:t>
            </w:r>
          </w:p>
          <w:p w:rsidR="00F82541" w:rsidRPr="004C6DA1" w14:paraId="4D917DE0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2969EB" w:rsidRPr="004C6DA1" w14:paraId="5FAD8B61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F82541" w:rsidP="002969EB" w14:paraId="08AC562B" w14:textId="77777777">
      <w:p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</w:p>
    <w:p w:rsidR="00F82541" w:rsidP="002969EB" w14:paraId="40EB1A9F" w14:textId="47E8C22F">
      <w:p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Poslano:</w:t>
      </w:r>
    </w:p>
    <w:p w:rsidR="00F82541" w:rsidP="00F82541" w14:paraId="476E5A7E" w14:textId="4B505FE9">
      <w:pPr>
        <w:pStyle w:val="ListParagraph"/>
        <w:numPr>
          <w:ilvl w:val="1"/>
          <w:numId w:val="35"/>
        </w:num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naslovniku</w:t>
      </w:r>
    </w:p>
    <w:p w:rsidR="00F82541" w:rsidP="00F82541" w14:paraId="657C3E31" w14:textId="4151DA31">
      <w:pPr>
        <w:pStyle w:val="ListParagraph"/>
        <w:numPr>
          <w:ilvl w:val="1"/>
          <w:numId w:val="35"/>
        </w:num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URSZR</w:t>
      </w:r>
    </w:p>
    <w:p w:rsidR="00F82541" w:rsidRPr="00F82541" w:rsidP="00F82541" w14:paraId="7C2C58FF" w14:textId="03EF914D">
      <w:pPr>
        <w:pStyle w:val="ListParagraph"/>
        <w:numPr>
          <w:ilvl w:val="1"/>
          <w:numId w:val="35"/>
        </w:num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SGS.</w:t>
      </w:r>
    </w:p>
    <w:p w:rsidR="00F82541" w:rsidP="002969EB" w14:paraId="2E253F1A" w14:textId="77777777">
      <w:p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</w:p>
    <w:p w:rsidR="00F82541" w:rsidP="002969EB" w14:paraId="14C6A276" w14:textId="77777777">
      <w:p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</w:p>
    <w:p w:rsidR="00F82541" w:rsidP="002969EB" w14:paraId="39DA5D2E" w14:textId="77777777">
      <w:p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</w:p>
    <w:p w:rsidR="002969EB" w:rsidRPr="004C6DA1" w:rsidP="002969EB" w14:paraId="7B0E4E7C" w14:textId="500A653B">
      <w:p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4C6DA1">
        <w:rPr>
          <w:rFonts w:ascii="Arial" w:eastAsia="Times New Roman" w:hAnsi="Arial" w:cs="Arial"/>
          <w:sz w:val="20"/>
          <w:szCs w:val="20"/>
        </w:rPr>
        <w:br w:type="page"/>
      </w:r>
    </w:p>
    <w:p w:rsidR="002969EB" w:rsidRPr="004C6DA1" w:rsidP="002969EB" w14:paraId="6EE5D285" w14:textId="77777777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2969EB" w:rsidRPr="004C6DA1" w:rsidP="002969EB" w14:paraId="01CA32AE" w14:textId="77777777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4C6DA1">
        <w:rPr>
          <w:rFonts w:ascii="Arial" w:eastAsia="Times New Roman" w:hAnsi="Arial" w:cs="Arial"/>
          <w:sz w:val="20"/>
          <w:szCs w:val="20"/>
          <w:lang w:eastAsia="sl-SI"/>
        </w:rPr>
        <w:t>OBRAZLOŽITEV</w:t>
      </w:r>
    </w:p>
    <w:p w:rsidR="002969EB" w:rsidRPr="004C6DA1" w:rsidP="002969EB" w14:paraId="4506E227" w14:textId="77777777">
      <w:p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2969EB" w:rsidRPr="004C6DA1" w:rsidP="002969EB" w14:paraId="341EBAB4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6DA1">
        <w:rPr>
          <w:rFonts w:ascii="Arial" w:hAnsi="Arial" w:cs="Arial"/>
          <w:sz w:val="20"/>
          <w:szCs w:val="20"/>
        </w:rPr>
        <w:t>V mestu Kočani v Republiki Severni Makedoniji se je v noči s 15. na 16. marec 2025 v nočnem klubu zgodil tragičen požar. Republika Severna Makedonija je zaradi tragičnega požara zaprosila za pomoč prek mehanizma Unije na področju civilne zaščite. za zdravljenje in prevoz na zdravljenje pacientov s hudimi opeklinami.</w:t>
      </w:r>
    </w:p>
    <w:p w:rsidR="002969EB" w:rsidRPr="004C6DA1" w:rsidP="002969EB" w14:paraId="19ED4F47" w14:textId="77777777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402E3" w:rsidP="002969EB" w14:paraId="13FD8F60" w14:textId="77777777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C6DA1">
        <w:rPr>
          <w:rFonts w:ascii="Arial" w:eastAsia="Times New Roman" w:hAnsi="Arial" w:cs="Arial"/>
          <w:sz w:val="20"/>
          <w:szCs w:val="20"/>
          <w:lang w:eastAsia="sl-SI"/>
        </w:rPr>
        <w:t>Republika Slovenija je na podlagi sklepa vlade št. 51105-2/2025/3 z dne 17. 3. 2025 za pomoč Severni Makedoniji zagotovila prevoz in zdravljenje štirih pacientov z opeklinami, pri čemer je prevoz pacientov opravila Slovenska vojska, z</w:t>
      </w:r>
      <w:r w:rsidRPr="004C6DA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dravstveno ekipo za spremstvo pri prevozu je zagotovilo Ministrstvo za zdravje. Z</w:t>
      </w:r>
      <w:r w:rsidRPr="004C6DA1">
        <w:rPr>
          <w:rFonts w:ascii="Arial" w:eastAsia="Times New Roman" w:hAnsi="Arial" w:cs="Arial"/>
          <w:sz w:val="20"/>
          <w:szCs w:val="20"/>
          <w:lang w:eastAsia="sl-SI"/>
        </w:rPr>
        <w:t xml:space="preserve">dravstveno oskrbo v Sloveniji je koordiniralo Ministrstvo za zdravje v okviru javnih zdravstvenih zavodov, ki lahko nudijo potrebne zdravstvene storitve. </w:t>
      </w:r>
      <w:r w:rsidRPr="004C6DA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Vrednost pomoči je bila s sklepom vlade za ta namen ocenjena na 500.000 evrov. </w:t>
      </w:r>
    </w:p>
    <w:p w:rsidR="002969EB" w:rsidRPr="00F402E3" w:rsidP="002969EB" w14:paraId="3C2F8258" w14:textId="6D9A7488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>Za nudenje morebitne dodatne pomoči</w:t>
      </w:r>
      <w:bookmarkStart w:id="2" w:name="_GoBack"/>
      <w:bookmarkEnd w:id="2"/>
      <w:r w:rsidR="00F402E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preko mehanizma EU za Civilno zaščito(3. točka sklepa)</w:t>
      </w: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je vlada </w:t>
      </w:r>
      <w:r w:rsidR="00F402E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namenila do največ 50.000 evrov, za katero pa </w:t>
      </w: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>Republika Sev</w:t>
      </w:r>
      <w:r w:rsidR="00F402E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erna Makedonija </w:t>
      </w: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>ni zaprosila.</w:t>
      </w:r>
    </w:p>
    <w:p w:rsidR="002969EB" w:rsidRPr="004C6DA1" w:rsidP="002969EB" w14:paraId="05A831D4" w14:textId="77777777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969EB" w:rsidRPr="004C6DA1" w:rsidP="002969EB" w14:paraId="208C4CE9" w14:textId="449A1D80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 podlagi dejanskih stroškov prevoza </w:t>
      </w:r>
      <w:r w:rsidR="00A02F56">
        <w:rPr>
          <w:rFonts w:ascii="Arial" w:eastAsia="Times New Roman" w:hAnsi="Arial" w:cs="Arial"/>
          <w:iCs/>
          <w:sz w:val="20"/>
          <w:szCs w:val="20"/>
          <w:lang w:eastAsia="sl-SI"/>
        </w:rPr>
        <w:t>pacientov je Generalštab S</w:t>
      </w: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lovenske vojske zaprosil za povišanje dovoljenega zneska, saj stroški presegajo skupne stroške določene v sklepu vlade za </w:t>
      </w:r>
      <w:r w:rsidR="00F402E3">
        <w:rPr>
          <w:rFonts w:ascii="Arial" w:eastAsia="Times New Roman" w:hAnsi="Arial" w:cs="Arial"/>
          <w:iCs/>
          <w:sz w:val="20"/>
          <w:szCs w:val="20"/>
          <w:lang w:eastAsia="sl-SI"/>
        </w:rPr>
        <w:t>5</w:t>
      </w: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>1.465,02 evra.</w:t>
      </w:r>
    </w:p>
    <w:p w:rsidR="002969EB" w:rsidRPr="004C6DA1" w:rsidP="002969EB" w14:paraId="416F57A4" w14:textId="77777777">
      <w:pPr>
        <w:spacing w:after="0"/>
        <w:jc w:val="both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:rsidR="002969EB" w:rsidRPr="004C6DA1" w:rsidP="002969EB" w14:paraId="678215FA" w14:textId="77777777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>Celotna v</w:t>
      </w:r>
      <w:r w:rsidRPr="004C6DA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rednost pomoči znaša </w:t>
      </w:r>
      <w:r w:rsidRPr="004C6DA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551.465,02 evra </w:t>
      </w:r>
      <w:r w:rsidRPr="004C6DA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presega sredstva določena s sklepom Vlade RS, zato se predlaga, da se sklep vlade ustrezno spremeni. </w:t>
      </w:r>
    </w:p>
    <w:p w:rsidR="002969EB" w:rsidRPr="004C6DA1" w:rsidP="002969EB" w14:paraId="04920B24" w14:textId="77777777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2969EB" w:rsidRPr="004C6DA1" w:rsidP="002969EB" w14:paraId="71C20618" w14:textId="7777777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969EB" w:rsidRPr="004C6DA1" w:rsidP="002969EB" w14:paraId="3B70B264" w14:textId="7777777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4C6DA1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   MINISTRSTVO ZA OBRAMBO</w:t>
      </w:r>
    </w:p>
    <w:p w:rsidR="00723116" w:rsidRPr="004C6DA1" w14:paraId="196DF000" w14:textId="77777777">
      <w:pPr>
        <w:rPr>
          <w:rFonts w:ascii="Arial" w:hAnsi="Arial" w:cs="Arial"/>
          <w:sz w:val="20"/>
          <w:szCs w:val="20"/>
        </w:rPr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65DB0272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82541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82541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394C499B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8254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82541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0A8" w:rsidRPr="00821419" w:rsidP="009E10A8" w14:paraId="546ECFC4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9E10A8" w:rsidRPr="00821419" w:rsidP="009E10A8" w14:paraId="3A2570FE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9E10A8" w:rsidRPr="00821419" w:rsidP="009E10A8" w14:paraId="496C8223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9E10A8" w:rsidP="009E10A8" w14:paraId="62C9459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9E10A8" w:rsidRPr="00821419" w:rsidP="009E10A8" w14:paraId="5E7F99A1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9E10A8" w:rsidRPr="00821419" w:rsidP="009E10A8" w14:paraId="6035A54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9E10A8" w:rsidRPr="00821419" w:rsidP="009E10A8" w14:paraId="0512954D" w14:textId="3344E9F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:rsidR="003A3B1D" w14:paraId="34F64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63B189C"/>
    <w:multiLevelType w:val="hybridMultilevel"/>
    <w:tmpl w:val="9516190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D70FF"/>
    <w:multiLevelType w:val="hybridMultilevel"/>
    <w:tmpl w:val="8452DC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925AFB"/>
    <w:multiLevelType w:val="hybridMultilevel"/>
    <w:tmpl w:val="3B162BA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5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3594A"/>
    <w:multiLevelType w:val="hybridMultilevel"/>
    <w:tmpl w:val="3156F61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80624C"/>
    <w:multiLevelType w:val="hybridMultilevel"/>
    <w:tmpl w:val="0E66D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4"/>
  </w:num>
  <w:num w:numId="4">
    <w:abstractNumId w:val="25"/>
  </w:num>
  <w:num w:numId="5">
    <w:abstractNumId w:val="1"/>
  </w:num>
  <w:num w:numId="6">
    <w:abstractNumId w:val="9"/>
  </w:num>
  <w:num w:numId="7">
    <w:abstractNumId w:val="0"/>
  </w:num>
  <w:num w:numId="8">
    <w:abstractNumId w:val="22"/>
  </w:num>
  <w:num w:numId="9">
    <w:abstractNumId w:val="27"/>
  </w:num>
  <w:num w:numId="10">
    <w:abstractNumId w:val="15"/>
    <w:lvlOverride w:ilvl="0">
      <w:startOverride w:val="1"/>
    </w:lvlOverride>
  </w:num>
  <w:num w:numId="11">
    <w:abstractNumId w:val="16"/>
  </w:num>
  <w:num w:numId="12">
    <w:abstractNumId w:val="10"/>
  </w:num>
  <w:num w:numId="13">
    <w:abstractNumId w:val="23"/>
  </w:num>
  <w:num w:numId="14">
    <w:abstractNumId w:val="4"/>
  </w:num>
  <w:num w:numId="15">
    <w:abstractNumId w:val="19"/>
  </w:num>
  <w:num w:numId="16">
    <w:abstractNumId w:val="29"/>
  </w:num>
  <w:num w:numId="17">
    <w:abstractNumId w:val="26"/>
  </w:num>
  <w:num w:numId="18">
    <w:abstractNumId w:val="30"/>
  </w:num>
  <w:num w:numId="19">
    <w:abstractNumId w:val="33"/>
  </w:num>
  <w:num w:numId="20">
    <w:abstractNumId w:val="18"/>
  </w:num>
  <w:num w:numId="21">
    <w:abstractNumId w:val="11"/>
  </w:num>
  <w:num w:numId="22">
    <w:abstractNumId w:val="21"/>
  </w:num>
  <w:num w:numId="23">
    <w:abstractNumId w:val="7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31"/>
  </w:num>
  <w:num w:numId="33">
    <w:abstractNumId w:val="17"/>
  </w:num>
  <w:num w:numId="34">
    <w:abstractNumId w:val="26"/>
  </w:num>
  <w:num w:numId="35">
    <w:abstractNumId w:val="30"/>
  </w:num>
  <w:num w:numId="36">
    <w:abstractNumId w:val="18"/>
  </w:num>
  <w:num w:numId="37">
    <w:abstractNumId w:val="11"/>
  </w:num>
  <w:num w:numId="38">
    <w:abstractNumId w:val="1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2D50"/>
    <w:rsid w:val="000A4BA7"/>
    <w:rsid w:val="000C0B87"/>
    <w:rsid w:val="000F18DE"/>
    <w:rsid w:val="00131B28"/>
    <w:rsid w:val="001D4854"/>
    <w:rsid w:val="00220B63"/>
    <w:rsid w:val="002969EB"/>
    <w:rsid w:val="002C278B"/>
    <w:rsid w:val="002E081E"/>
    <w:rsid w:val="002F78E3"/>
    <w:rsid w:val="00305C84"/>
    <w:rsid w:val="003A3B1D"/>
    <w:rsid w:val="003D556F"/>
    <w:rsid w:val="003E035F"/>
    <w:rsid w:val="00464982"/>
    <w:rsid w:val="004B08C2"/>
    <w:rsid w:val="004C6DA1"/>
    <w:rsid w:val="004E293C"/>
    <w:rsid w:val="004F6962"/>
    <w:rsid w:val="00534141"/>
    <w:rsid w:val="00580548"/>
    <w:rsid w:val="00597C12"/>
    <w:rsid w:val="005E6A88"/>
    <w:rsid w:val="00623F16"/>
    <w:rsid w:val="00695AEF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6420F"/>
    <w:rsid w:val="008941CD"/>
    <w:rsid w:val="008B4243"/>
    <w:rsid w:val="008B734D"/>
    <w:rsid w:val="00913E94"/>
    <w:rsid w:val="00950971"/>
    <w:rsid w:val="009B0131"/>
    <w:rsid w:val="009E10A8"/>
    <w:rsid w:val="009F1E59"/>
    <w:rsid w:val="009F77C7"/>
    <w:rsid w:val="00A02F56"/>
    <w:rsid w:val="00A452FF"/>
    <w:rsid w:val="00A701F9"/>
    <w:rsid w:val="00AB65D9"/>
    <w:rsid w:val="00AE3A35"/>
    <w:rsid w:val="00AF1F21"/>
    <w:rsid w:val="00B16CCD"/>
    <w:rsid w:val="00B27A2C"/>
    <w:rsid w:val="00B35734"/>
    <w:rsid w:val="00BF5DC4"/>
    <w:rsid w:val="00C10360"/>
    <w:rsid w:val="00C14725"/>
    <w:rsid w:val="00C356C4"/>
    <w:rsid w:val="00C57CFB"/>
    <w:rsid w:val="00CB7264"/>
    <w:rsid w:val="00D61DC2"/>
    <w:rsid w:val="00D86976"/>
    <w:rsid w:val="00DA618D"/>
    <w:rsid w:val="00DF18E9"/>
    <w:rsid w:val="00E32D36"/>
    <w:rsid w:val="00E50831"/>
    <w:rsid w:val="00EA539F"/>
    <w:rsid w:val="00EC1D65"/>
    <w:rsid w:val="00F402E3"/>
    <w:rsid w:val="00F82541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14CB-EB12-4297-A358-03A68A8E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15</cp:revision>
  <dcterms:created xsi:type="dcterms:W3CDTF">2024-11-29T10:46:00Z</dcterms:created>
  <dcterms:modified xsi:type="dcterms:W3CDTF">2025-12-11T13:59:00Z</dcterms:modified>
</cp:coreProperties>
</file>