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0571" w14:textId="77777777" w:rsidR="00BD6A1D" w:rsidRPr="00BD6A1D" w:rsidRDefault="001E63EF" w:rsidP="00683232">
      <w:pPr>
        <w:pStyle w:val="Glava"/>
        <w:tabs>
          <w:tab w:val="left" w:pos="5103"/>
        </w:tabs>
        <w:spacing w:line="240" w:lineRule="exact"/>
        <w:rPr>
          <w:rFonts w:cs="Arial"/>
          <w:sz w:val="16"/>
          <w:szCs w:val="16"/>
        </w:rPr>
      </w:pPr>
      <w:r>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41A5B2C4"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w:t>
      </w:r>
      <w:r w:rsidR="00683232">
        <w:rPr>
          <w:rFonts w:cs="Arial"/>
          <w:sz w:val="16"/>
          <w:szCs w:val="16"/>
        </w:rPr>
        <w:t>msp</w:t>
      </w:r>
      <w:r w:rsidRPr="00BD6A1D">
        <w:rPr>
          <w:rFonts w:cs="Arial"/>
          <w:sz w:val="16"/>
          <w:szCs w:val="16"/>
        </w:rPr>
        <w:t>@gov.si</w:t>
      </w:r>
      <w:proofErr w:type="spellEnd"/>
      <w:r w:rsidRPr="00BD6A1D">
        <w:rPr>
          <w:rFonts w:cs="Arial"/>
          <w:sz w:val="16"/>
          <w:szCs w:val="16"/>
        </w:rPr>
        <w:t xml:space="preserve"> </w:t>
      </w:r>
      <w:hyperlink r:id="rId8" w:history="1">
        <w:r w:rsidR="00683232" w:rsidRPr="00B45898">
          <w:rPr>
            <w:rStyle w:val="Hiperpovezava"/>
            <w:rFonts w:cs="Arial"/>
            <w:sz w:val="16"/>
            <w:szCs w:val="16"/>
          </w:rPr>
          <w:t>www.gov.si</w:t>
        </w:r>
      </w:hyperlink>
    </w:p>
    <w:p w14:paraId="0CC7E691"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C87605F" w14:textId="77777777" w:rsidTr="00BD6A1D">
        <w:trPr>
          <w:gridAfter w:val="2"/>
          <w:wAfter w:w="3067" w:type="dxa"/>
        </w:trPr>
        <w:tc>
          <w:tcPr>
            <w:tcW w:w="6096" w:type="dxa"/>
            <w:gridSpan w:val="2"/>
          </w:tcPr>
          <w:p w14:paraId="6BE50896" w14:textId="3F1E5A9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Številka:</w:t>
            </w:r>
            <w:r w:rsidR="00E80999">
              <w:rPr>
                <w:rFonts w:eastAsia="Times New Roman" w:cs="Arial"/>
                <w:szCs w:val="20"/>
                <w:lang w:eastAsia="sl-SI"/>
              </w:rPr>
              <w:t xml:space="preserve"> </w:t>
            </w:r>
            <w:r w:rsidR="00A4066B">
              <w:rPr>
                <w:rFonts w:eastAsia="Times New Roman" w:cs="Arial"/>
                <w:szCs w:val="20"/>
                <w:lang w:eastAsia="sl-SI"/>
              </w:rPr>
              <w:t>3523-3/2025-2720-3</w:t>
            </w:r>
          </w:p>
        </w:tc>
      </w:tr>
      <w:tr w:rsidR="00AE1F83" w:rsidRPr="00AE1F83" w14:paraId="2245A206" w14:textId="77777777" w:rsidTr="00BD6A1D">
        <w:trPr>
          <w:gridAfter w:val="2"/>
          <w:wAfter w:w="3067" w:type="dxa"/>
        </w:trPr>
        <w:tc>
          <w:tcPr>
            <w:tcW w:w="6096" w:type="dxa"/>
            <w:gridSpan w:val="2"/>
          </w:tcPr>
          <w:p w14:paraId="0088FC59" w14:textId="63081C3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5D662A">
              <w:rPr>
                <w:rFonts w:eastAsia="Times New Roman" w:cs="Arial"/>
                <w:szCs w:val="20"/>
                <w:lang w:eastAsia="sl-SI"/>
              </w:rPr>
              <w:t>,</w:t>
            </w:r>
            <w:r w:rsidR="00A4066B">
              <w:rPr>
                <w:rFonts w:eastAsia="Times New Roman" w:cs="Arial"/>
                <w:szCs w:val="20"/>
                <w:lang w:eastAsia="sl-SI"/>
              </w:rPr>
              <w:t xml:space="preserve"> 21. 5. 2025</w:t>
            </w:r>
          </w:p>
        </w:tc>
      </w:tr>
      <w:tr w:rsidR="00AE1F83" w:rsidRPr="00AE1F83" w14:paraId="2FB92592" w14:textId="77777777" w:rsidTr="00BD6A1D">
        <w:trPr>
          <w:gridAfter w:val="2"/>
          <w:wAfter w:w="3067" w:type="dxa"/>
        </w:trPr>
        <w:tc>
          <w:tcPr>
            <w:tcW w:w="6096" w:type="dxa"/>
            <w:gridSpan w:val="2"/>
          </w:tcPr>
          <w:p w14:paraId="646582CA" w14:textId="77777777" w:rsidR="00AE1F83" w:rsidRPr="00AE1F83" w:rsidRDefault="00AE1F83" w:rsidP="00AE1F83">
            <w:pPr>
              <w:spacing w:after="0" w:line="260" w:lineRule="exact"/>
              <w:rPr>
                <w:rFonts w:eastAsia="Times New Roman" w:cs="Arial"/>
                <w:szCs w:val="20"/>
              </w:rPr>
            </w:pPr>
          </w:p>
          <w:p w14:paraId="25577715"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27802DCF" w14:textId="77777777" w:rsidR="00AE1F83" w:rsidRPr="00AE1F83" w:rsidRDefault="00000000" w:rsidP="00AE1F83">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p w14:paraId="7B6A151E" w14:textId="77777777" w:rsidR="00AE1F83" w:rsidRPr="00AE1F83" w:rsidRDefault="00AE1F83" w:rsidP="00AE1F83">
            <w:pPr>
              <w:spacing w:after="0" w:line="260" w:lineRule="exact"/>
              <w:rPr>
                <w:rFonts w:eastAsia="Times New Roman" w:cs="Arial"/>
                <w:szCs w:val="20"/>
              </w:rPr>
            </w:pPr>
          </w:p>
        </w:tc>
      </w:tr>
      <w:tr w:rsidR="00AE1F83" w:rsidRPr="00AE1F83" w14:paraId="625C254E" w14:textId="77777777" w:rsidTr="00BD6A1D">
        <w:tc>
          <w:tcPr>
            <w:tcW w:w="9163" w:type="dxa"/>
            <w:gridSpan w:val="4"/>
          </w:tcPr>
          <w:p w14:paraId="6CE32DAD" w14:textId="77777777"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4A6AE1">
              <w:rPr>
                <w:b/>
                <w:bCs/>
              </w:rPr>
              <w:t xml:space="preserve">Povečanje namenskega premoženja in kapitala Stanovanjskega sklada Republike Slovenije, javnega sklada </w:t>
            </w:r>
            <w:r w:rsidRPr="00AE1F83">
              <w:rPr>
                <w:rFonts w:eastAsia="Times New Roman" w:cs="Arial"/>
                <w:b/>
                <w:szCs w:val="20"/>
                <w:lang w:eastAsia="sl-SI"/>
              </w:rPr>
              <w:t xml:space="preserve">– predlog za obravnavo </w:t>
            </w:r>
          </w:p>
        </w:tc>
      </w:tr>
      <w:tr w:rsidR="00AE1F83" w:rsidRPr="00AE1F83" w14:paraId="76852399" w14:textId="77777777" w:rsidTr="00BD6A1D">
        <w:tc>
          <w:tcPr>
            <w:tcW w:w="9163" w:type="dxa"/>
            <w:gridSpan w:val="4"/>
          </w:tcPr>
          <w:p w14:paraId="04100B1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12FF8DDD" w14:textId="77777777" w:rsidTr="00BD6A1D">
        <w:tc>
          <w:tcPr>
            <w:tcW w:w="9163" w:type="dxa"/>
            <w:gridSpan w:val="4"/>
          </w:tcPr>
          <w:p w14:paraId="6CB3AD06" w14:textId="06F6E1E2" w:rsidR="00AF4A40" w:rsidRDefault="00AF4A40" w:rsidP="00AF4A40">
            <w:pPr>
              <w:overflowPunct w:val="0"/>
              <w:autoSpaceDE w:val="0"/>
              <w:autoSpaceDN w:val="0"/>
              <w:adjustRightInd w:val="0"/>
              <w:spacing w:line="260" w:lineRule="exact"/>
              <w:jc w:val="both"/>
              <w:textAlignment w:val="baseline"/>
              <w:rPr>
                <w:rFonts w:cs="Arial"/>
                <w:noProof/>
                <w:color w:val="000000"/>
                <w:szCs w:val="20"/>
                <w:lang w:eastAsia="sl-SI"/>
              </w:rPr>
            </w:pPr>
            <w:r w:rsidRPr="00414758">
              <w:rPr>
                <w:rFonts w:cs="Arial"/>
                <w:noProof/>
                <w:color w:val="000000"/>
                <w:szCs w:val="20"/>
                <w:lang w:eastAsia="sl-SI"/>
              </w:rPr>
              <w:t xml:space="preserve">Na podlagi </w:t>
            </w:r>
            <w:r w:rsidR="00C30648">
              <w:rPr>
                <w:rFonts w:cs="Arial"/>
                <w:noProof/>
                <w:color w:val="000000"/>
                <w:szCs w:val="20"/>
                <w:lang w:eastAsia="sl-SI"/>
              </w:rPr>
              <w:t xml:space="preserve">prve alineje prvega odstavka in </w:t>
            </w:r>
            <w:r w:rsidRPr="00414758">
              <w:rPr>
                <w:rFonts w:cs="Arial"/>
                <w:noProof/>
                <w:color w:val="000000"/>
                <w:szCs w:val="20"/>
                <w:lang w:eastAsia="sl-SI"/>
              </w:rPr>
              <w:t xml:space="preserve">drugega odstavka 10. člena </w:t>
            </w:r>
            <w:r w:rsidRPr="00AF4A40">
              <w:rPr>
                <w:rFonts w:cs="Arial"/>
                <w:noProof/>
                <w:color w:val="000000"/>
                <w:szCs w:val="20"/>
                <w:lang w:eastAsia="sl-SI"/>
              </w:rPr>
              <w:t>Zakon</w:t>
            </w:r>
            <w:r>
              <w:rPr>
                <w:rFonts w:cs="Arial"/>
                <w:noProof/>
                <w:color w:val="000000"/>
                <w:szCs w:val="20"/>
                <w:lang w:eastAsia="sl-SI"/>
              </w:rPr>
              <w:t>a</w:t>
            </w:r>
            <w:r w:rsidRPr="00AF4A40">
              <w:rPr>
                <w:rFonts w:cs="Arial"/>
                <w:noProof/>
                <w:color w:val="000000"/>
                <w:szCs w:val="20"/>
                <w:lang w:eastAsia="sl-SI"/>
              </w:rPr>
              <w:t xml:space="preserve"> o javnih skladih (Uradni list RS, št. 77/08, 8/10 – ZSKZ-B, 61/20 – ZDLGPE in 206/21 – ZDUPŠOP</w:t>
            </w:r>
            <w:r w:rsidR="003F2783">
              <w:rPr>
                <w:rFonts w:cs="Arial"/>
                <w:noProof/>
                <w:color w:val="000000"/>
                <w:szCs w:val="20"/>
                <w:lang w:eastAsia="sl-SI"/>
              </w:rPr>
              <w:t xml:space="preserve">) </w:t>
            </w:r>
            <w:r w:rsidRPr="00414758">
              <w:rPr>
                <w:rFonts w:cs="Arial"/>
                <w:noProof/>
                <w:color w:val="000000"/>
                <w:szCs w:val="20"/>
                <w:lang w:eastAsia="sl-SI"/>
              </w:rPr>
              <w:t>in</w:t>
            </w:r>
            <w:r w:rsidR="00C30648">
              <w:rPr>
                <w:rFonts w:cs="Arial"/>
                <w:noProof/>
                <w:color w:val="000000"/>
                <w:szCs w:val="20"/>
                <w:lang w:eastAsia="sl-SI"/>
              </w:rPr>
              <w:t xml:space="preserve"> drugega odstavka</w:t>
            </w:r>
            <w:r w:rsidRPr="00414758">
              <w:rPr>
                <w:rFonts w:cs="Arial"/>
                <w:noProof/>
                <w:color w:val="000000"/>
                <w:szCs w:val="20"/>
                <w:lang w:eastAsia="sl-SI"/>
              </w:rPr>
              <w:t xml:space="preserve"> 4. člena </w:t>
            </w:r>
            <w:r w:rsidRPr="00AF4A40">
              <w:rPr>
                <w:rFonts w:cs="Arial"/>
                <w:noProof/>
                <w:color w:val="000000"/>
                <w:szCs w:val="20"/>
                <w:lang w:eastAsia="sl-SI"/>
              </w:rPr>
              <w:t>Akt</w:t>
            </w:r>
            <w:r>
              <w:rPr>
                <w:rFonts w:cs="Arial"/>
                <w:noProof/>
                <w:color w:val="000000"/>
                <w:szCs w:val="20"/>
                <w:lang w:eastAsia="sl-SI"/>
              </w:rPr>
              <w:t>a</w:t>
            </w:r>
            <w:r w:rsidRPr="00AF4A40">
              <w:rPr>
                <w:rFonts w:cs="Arial"/>
                <w:noProof/>
                <w:color w:val="000000"/>
                <w:szCs w:val="20"/>
                <w:lang w:eastAsia="sl-SI"/>
              </w:rPr>
              <w:t xml:space="preserve"> o ustanovitvi Stanovanjskega sklada Republike Slovenije kot javnega sklada (Uradni list RS, št. 6/11, 60/17, 17/18, 4/19</w:t>
            </w:r>
            <w:r w:rsidR="00FA325C">
              <w:rPr>
                <w:rFonts w:cs="Arial"/>
                <w:noProof/>
                <w:color w:val="000000"/>
                <w:szCs w:val="20"/>
                <w:lang w:eastAsia="sl-SI"/>
              </w:rPr>
              <w:t>,</w:t>
            </w:r>
            <w:r w:rsidRPr="00AF4A40">
              <w:rPr>
                <w:rFonts w:cs="Arial"/>
                <w:noProof/>
                <w:color w:val="000000"/>
                <w:szCs w:val="20"/>
                <w:lang w:eastAsia="sl-SI"/>
              </w:rPr>
              <w:t xml:space="preserve"> 31/21</w:t>
            </w:r>
            <w:r w:rsidR="00F4304D">
              <w:rPr>
                <w:rFonts w:cs="Arial"/>
                <w:noProof/>
                <w:color w:val="000000"/>
                <w:szCs w:val="20"/>
                <w:lang w:eastAsia="sl-SI"/>
              </w:rPr>
              <w:t xml:space="preserve">, </w:t>
            </w:r>
            <w:r w:rsidR="00FA325C">
              <w:rPr>
                <w:rFonts w:cs="Arial"/>
                <w:noProof/>
                <w:color w:val="000000"/>
                <w:szCs w:val="20"/>
                <w:lang w:eastAsia="sl-SI"/>
              </w:rPr>
              <w:t>132/23</w:t>
            </w:r>
            <w:r w:rsidR="003711D9">
              <w:rPr>
                <w:rFonts w:cs="Arial"/>
                <w:noProof/>
                <w:color w:val="000000"/>
                <w:szCs w:val="20"/>
                <w:lang w:eastAsia="sl-SI"/>
              </w:rPr>
              <w:t xml:space="preserve"> in 87/24</w:t>
            </w:r>
            <w:r w:rsidR="00187143">
              <w:rPr>
                <w:rFonts w:cs="Arial"/>
                <w:noProof/>
                <w:color w:val="000000"/>
                <w:szCs w:val="20"/>
                <w:lang w:eastAsia="sl-SI"/>
              </w:rPr>
              <w:t>)</w:t>
            </w:r>
            <w:r w:rsidRPr="00414758">
              <w:rPr>
                <w:rFonts w:cs="Arial"/>
                <w:noProof/>
                <w:color w:val="000000"/>
                <w:szCs w:val="20"/>
                <w:lang w:eastAsia="sl-SI"/>
              </w:rPr>
              <w:t xml:space="preserve"> je Vlada Republike Slovenije na … seji, dne … sprejela naslednji</w:t>
            </w:r>
          </w:p>
          <w:p w14:paraId="4401B68A" w14:textId="77777777" w:rsidR="00AF4A40" w:rsidRDefault="00AF4A40" w:rsidP="00AF4A40">
            <w:pPr>
              <w:overflowPunct w:val="0"/>
              <w:autoSpaceDE w:val="0"/>
              <w:autoSpaceDN w:val="0"/>
              <w:adjustRightInd w:val="0"/>
              <w:spacing w:line="260" w:lineRule="exact"/>
              <w:jc w:val="both"/>
              <w:textAlignment w:val="baseline"/>
              <w:rPr>
                <w:rFonts w:cs="Arial"/>
                <w:noProof/>
                <w:color w:val="000000"/>
                <w:szCs w:val="20"/>
                <w:lang w:eastAsia="sl-SI"/>
              </w:rPr>
            </w:pPr>
          </w:p>
          <w:p w14:paraId="10C4B39D" w14:textId="77777777" w:rsidR="00AF4A40" w:rsidRDefault="00AF4A40" w:rsidP="00AF4A40">
            <w:pPr>
              <w:overflowPunct w:val="0"/>
              <w:autoSpaceDE w:val="0"/>
              <w:autoSpaceDN w:val="0"/>
              <w:adjustRightInd w:val="0"/>
              <w:spacing w:line="260" w:lineRule="exact"/>
              <w:jc w:val="center"/>
              <w:textAlignment w:val="baseline"/>
              <w:rPr>
                <w:rFonts w:cs="Arial"/>
                <w:b/>
                <w:noProof/>
                <w:color w:val="000000"/>
                <w:szCs w:val="20"/>
                <w:lang w:val="en-US" w:eastAsia="sl-SI"/>
              </w:rPr>
            </w:pPr>
            <w:r w:rsidRPr="00F1479E">
              <w:rPr>
                <w:rFonts w:cs="Arial"/>
                <w:b/>
                <w:noProof/>
                <w:color w:val="000000"/>
                <w:szCs w:val="20"/>
                <w:lang w:val="en-US" w:eastAsia="sl-SI"/>
              </w:rPr>
              <w:t>SKLEP</w:t>
            </w:r>
            <w:r>
              <w:rPr>
                <w:rFonts w:cs="Arial"/>
                <w:b/>
                <w:noProof/>
                <w:color w:val="000000"/>
                <w:szCs w:val="20"/>
                <w:lang w:val="en-US" w:eastAsia="sl-SI"/>
              </w:rPr>
              <w:t>:</w:t>
            </w:r>
          </w:p>
          <w:p w14:paraId="652B3B97" w14:textId="77777777" w:rsidR="00AF4A40" w:rsidRPr="00494D8D" w:rsidRDefault="00AF4A40" w:rsidP="00AF4A40">
            <w:pPr>
              <w:overflowPunct w:val="0"/>
              <w:autoSpaceDE w:val="0"/>
              <w:autoSpaceDN w:val="0"/>
              <w:adjustRightInd w:val="0"/>
              <w:spacing w:line="260" w:lineRule="exact"/>
              <w:jc w:val="center"/>
              <w:textAlignment w:val="baseline"/>
              <w:rPr>
                <w:rFonts w:cs="Arial"/>
                <w:b/>
                <w:noProof/>
                <w:color w:val="000000"/>
                <w:szCs w:val="20"/>
                <w:lang w:val="en-US" w:eastAsia="sl-SI"/>
              </w:rPr>
            </w:pPr>
          </w:p>
          <w:p w14:paraId="4699FA7A" w14:textId="747DB9EA" w:rsidR="003D7DBE" w:rsidRDefault="00EA3FC2" w:rsidP="007969B8">
            <w:pPr>
              <w:pStyle w:val="Odstavekseznama"/>
              <w:numPr>
                <w:ilvl w:val="0"/>
                <w:numId w:val="9"/>
              </w:numPr>
              <w:overflowPunct w:val="0"/>
              <w:autoSpaceDE w:val="0"/>
              <w:autoSpaceDN w:val="0"/>
              <w:adjustRightInd w:val="0"/>
              <w:spacing w:line="260" w:lineRule="exact"/>
              <w:jc w:val="both"/>
              <w:textAlignment w:val="baseline"/>
              <w:rPr>
                <w:rFonts w:cs="Arial"/>
              </w:rPr>
            </w:pPr>
            <w:r w:rsidRPr="00C65226">
              <w:rPr>
                <w:rFonts w:cs="Arial"/>
              </w:rPr>
              <w:t xml:space="preserve">Namensko premoženje in kapital Stanovanjskega sklada Republike Slovenije, javnega sklada, se povečata z </w:t>
            </w:r>
            <w:r w:rsidR="007969B8">
              <w:rPr>
                <w:rFonts w:cs="Arial"/>
              </w:rPr>
              <w:t xml:space="preserve">izplačilom sredstev </w:t>
            </w:r>
            <w:r w:rsidR="00F50B51">
              <w:rPr>
                <w:rFonts w:cs="Arial"/>
              </w:rPr>
              <w:t>v višin</w:t>
            </w:r>
            <w:r w:rsidRPr="00C65226">
              <w:rPr>
                <w:rFonts w:cs="Arial"/>
              </w:rPr>
              <w:t xml:space="preserve">i </w:t>
            </w:r>
            <w:r w:rsidR="005D662A">
              <w:rPr>
                <w:rFonts w:cs="Arial"/>
              </w:rPr>
              <w:t>100</w:t>
            </w:r>
            <w:r w:rsidRPr="003D7DBE">
              <w:rPr>
                <w:rFonts w:cs="Arial"/>
              </w:rPr>
              <w:t>.</w:t>
            </w:r>
            <w:r w:rsidR="005D662A">
              <w:rPr>
                <w:rFonts w:cs="Arial"/>
              </w:rPr>
              <w:t>0</w:t>
            </w:r>
            <w:r w:rsidRPr="003D7DBE">
              <w:rPr>
                <w:rFonts w:cs="Arial"/>
              </w:rPr>
              <w:t>00.000</w:t>
            </w:r>
            <w:r w:rsidR="00DA0383">
              <w:rPr>
                <w:rFonts w:cs="Arial"/>
              </w:rPr>
              <w:t>,00</w:t>
            </w:r>
            <w:r w:rsidRPr="003D7DBE">
              <w:rPr>
                <w:rFonts w:cs="Arial"/>
              </w:rPr>
              <w:t xml:space="preserve"> </w:t>
            </w:r>
            <w:proofErr w:type="gramStart"/>
            <w:r w:rsidRPr="003D7DBE">
              <w:rPr>
                <w:rFonts w:cs="Arial"/>
              </w:rPr>
              <w:t>evr</w:t>
            </w:r>
            <w:r w:rsidR="00B07131">
              <w:rPr>
                <w:rFonts w:cs="Arial"/>
              </w:rPr>
              <w:t>ov</w:t>
            </w:r>
            <w:proofErr w:type="gramEnd"/>
            <w:r w:rsidRPr="003D7DBE">
              <w:rPr>
                <w:rFonts w:cs="Arial"/>
              </w:rPr>
              <w:t xml:space="preserve"> s </w:t>
            </w:r>
            <w:r w:rsidRPr="00EC4BBD">
              <w:rPr>
                <w:rFonts w:cs="Arial"/>
              </w:rPr>
              <w:t>proračunske postavke -</w:t>
            </w:r>
            <w:r w:rsidR="00032AD4" w:rsidRPr="00EC4BBD">
              <w:rPr>
                <w:rFonts w:cs="Arial"/>
              </w:rPr>
              <w:t xml:space="preserve"> </w:t>
            </w:r>
            <w:r w:rsidR="008D7B27" w:rsidRPr="00EC4BBD">
              <w:t>231655</w:t>
            </w:r>
            <w:r w:rsidR="00032AD4" w:rsidRPr="00EC4BBD">
              <w:rPr>
                <w:rFonts w:cs="Arial"/>
              </w:rPr>
              <w:t xml:space="preserve"> </w:t>
            </w:r>
            <w:r w:rsidRPr="00EC4BBD">
              <w:rPr>
                <w:rFonts w:cs="Arial"/>
              </w:rPr>
              <w:t>Dokapitalizacija Stanovanjskega sklada RS</w:t>
            </w:r>
            <w:r w:rsidR="00C65226" w:rsidRPr="00EC4BBD">
              <w:rPr>
                <w:rFonts w:cs="Arial"/>
              </w:rPr>
              <w:t>.</w:t>
            </w:r>
          </w:p>
          <w:p w14:paraId="1C2B065F" w14:textId="77777777" w:rsidR="003D7DBE" w:rsidRDefault="003D7DBE">
            <w:pPr>
              <w:pStyle w:val="Odstavekseznama"/>
              <w:overflowPunct w:val="0"/>
              <w:autoSpaceDE w:val="0"/>
              <w:autoSpaceDN w:val="0"/>
              <w:adjustRightInd w:val="0"/>
              <w:spacing w:line="260" w:lineRule="exact"/>
              <w:jc w:val="both"/>
              <w:textAlignment w:val="baseline"/>
              <w:rPr>
                <w:rFonts w:cs="Arial"/>
              </w:rPr>
            </w:pPr>
          </w:p>
          <w:p w14:paraId="39A01B24" w14:textId="77777777" w:rsidR="001E63EF" w:rsidRPr="001E63EF" w:rsidRDefault="007969B8" w:rsidP="00613ECD">
            <w:pPr>
              <w:pStyle w:val="Odstavekseznama"/>
              <w:numPr>
                <w:ilvl w:val="0"/>
                <w:numId w:val="9"/>
              </w:numPr>
              <w:jc w:val="both"/>
            </w:pPr>
            <w:r w:rsidRPr="00613ECD">
              <w:rPr>
                <w:rFonts w:cs="Arial"/>
                <w:color w:val="000000"/>
              </w:rPr>
              <w:t>Povečanje, vrednost ter vrsta namenskega premoženja in kapitala iz prejšnje točke se vpišejo v sodni register.</w:t>
            </w:r>
          </w:p>
          <w:p w14:paraId="4E3E097F" w14:textId="77777777" w:rsidR="00795202" w:rsidRPr="003F2783" w:rsidRDefault="00795202" w:rsidP="00795202">
            <w:pPr>
              <w:pStyle w:val="Odstavekseznama"/>
              <w:overflowPunct w:val="0"/>
              <w:autoSpaceDE w:val="0"/>
              <w:autoSpaceDN w:val="0"/>
              <w:adjustRightInd w:val="0"/>
              <w:spacing w:line="260" w:lineRule="exact"/>
              <w:jc w:val="both"/>
              <w:textAlignment w:val="baseline"/>
              <w:rPr>
                <w:rFonts w:cs="Arial"/>
                <w:noProof/>
                <w:color w:val="000000"/>
                <w:szCs w:val="20"/>
                <w:lang w:eastAsia="sl-SI"/>
              </w:rPr>
            </w:pPr>
          </w:p>
          <w:p w14:paraId="3CFF29AC" w14:textId="77777777" w:rsidR="00795202" w:rsidRPr="003F2783" w:rsidRDefault="00795202" w:rsidP="00795202">
            <w:pPr>
              <w:pStyle w:val="Odstavekseznama"/>
              <w:overflowPunct w:val="0"/>
              <w:autoSpaceDE w:val="0"/>
              <w:autoSpaceDN w:val="0"/>
              <w:adjustRightInd w:val="0"/>
              <w:spacing w:line="260" w:lineRule="exact"/>
              <w:jc w:val="center"/>
              <w:textAlignment w:val="baseline"/>
              <w:rPr>
                <w:rFonts w:cs="Arial"/>
                <w:noProof/>
                <w:color w:val="000000"/>
                <w:szCs w:val="20"/>
                <w:lang w:eastAsia="sl-SI"/>
              </w:rPr>
            </w:pPr>
          </w:p>
          <w:p w14:paraId="23EE91D7" w14:textId="77777777" w:rsidR="00AF4A40" w:rsidRPr="003F2783" w:rsidRDefault="00AF4A40" w:rsidP="00AF4A40">
            <w:pPr>
              <w:overflowPunct w:val="0"/>
              <w:autoSpaceDE w:val="0"/>
              <w:autoSpaceDN w:val="0"/>
              <w:adjustRightInd w:val="0"/>
              <w:spacing w:line="260" w:lineRule="exact"/>
              <w:ind w:left="360"/>
              <w:jc w:val="both"/>
              <w:textAlignment w:val="baseline"/>
              <w:rPr>
                <w:rFonts w:cs="Arial"/>
                <w:noProof/>
                <w:color w:val="000000"/>
                <w:szCs w:val="20"/>
              </w:rPr>
            </w:pPr>
          </w:p>
          <w:p w14:paraId="125D9D3B" w14:textId="77777777" w:rsidR="00AE1F83" w:rsidRDefault="00C65226" w:rsidP="00C65226">
            <w:p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Sklep prejmejo</w:t>
            </w:r>
            <w:r w:rsidR="00795202">
              <w:rPr>
                <w:rFonts w:cs="Arial"/>
                <w:iCs/>
                <w:szCs w:val="20"/>
                <w:lang w:eastAsia="sl-SI"/>
              </w:rPr>
              <w:t>:</w:t>
            </w:r>
          </w:p>
          <w:p w14:paraId="2C6595C9" w14:textId="77777777" w:rsidR="00795202" w:rsidRPr="00795202" w:rsidRDefault="00795202" w:rsidP="00C65226">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sidRPr="00795202">
              <w:rPr>
                <w:rFonts w:cs="Arial"/>
                <w:iCs/>
                <w:szCs w:val="20"/>
                <w:lang w:eastAsia="sl-SI"/>
              </w:rPr>
              <w:t>Ministrstvo za solidarno prihodnost</w:t>
            </w:r>
          </w:p>
          <w:p w14:paraId="50300015" w14:textId="77777777" w:rsidR="00795202" w:rsidRDefault="00795202" w:rsidP="00795202">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Stanovanjski sklad Republike Slovenije</w:t>
            </w:r>
            <w:r w:rsidR="007969B8">
              <w:rPr>
                <w:rFonts w:cs="Arial"/>
                <w:iCs/>
                <w:szCs w:val="20"/>
                <w:lang w:eastAsia="sl-SI"/>
              </w:rPr>
              <w:t>, javni sklad</w:t>
            </w:r>
          </w:p>
          <w:p w14:paraId="5C800B15" w14:textId="77777777" w:rsidR="00795202" w:rsidRDefault="00795202" w:rsidP="00795202">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Ministrstvo za finance</w:t>
            </w:r>
          </w:p>
          <w:p w14:paraId="3735FC39" w14:textId="77777777" w:rsidR="00795202" w:rsidRDefault="00795202" w:rsidP="00795202">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Služba vlade RS za zakonodajo</w:t>
            </w:r>
          </w:p>
          <w:p w14:paraId="2D19D726" w14:textId="238F9481" w:rsidR="00795202" w:rsidRPr="00795202" w:rsidRDefault="00795202" w:rsidP="00795202">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Urad vlade RS za komuniciranje</w:t>
            </w:r>
          </w:p>
          <w:p w14:paraId="535F885F" w14:textId="77777777" w:rsidR="00C65226" w:rsidRPr="00AE1F83" w:rsidRDefault="00C65226" w:rsidP="00C65226">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12CCD2E9" w14:textId="77777777" w:rsidTr="00BD6A1D">
        <w:tc>
          <w:tcPr>
            <w:tcW w:w="9163" w:type="dxa"/>
            <w:gridSpan w:val="4"/>
          </w:tcPr>
          <w:p w14:paraId="70F2199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330ED18F" w14:textId="77777777" w:rsidTr="00BD6A1D">
        <w:tc>
          <w:tcPr>
            <w:tcW w:w="9163" w:type="dxa"/>
            <w:gridSpan w:val="4"/>
          </w:tcPr>
          <w:p w14:paraId="56C3DD54" w14:textId="77777777" w:rsidR="00AE1F83" w:rsidRPr="00AE1F83" w:rsidRDefault="00C65226"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7FF8DF01" w14:textId="77777777" w:rsidTr="00BD6A1D">
        <w:tc>
          <w:tcPr>
            <w:tcW w:w="9163" w:type="dxa"/>
            <w:gridSpan w:val="4"/>
          </w:tcPr>
          <w:p w14:paraId="5A8A1FF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AE1F83" w:rsidRPr="00AE1F83" w14:paraId="2898EE10" w14:textId="77777777" w:rsidTr="00BD6A1D">
        <w:tc>
          <w:tcPr>
            <w:tcW w:w="9163" w:type="dxa"/>
            <w:gridSpan w:val="4"/>
          </w:tcPr>
          <w:p w14:paraId="099023E0" w14:textId="77777777" w:rsidR="00AE1F83" w:rsidRDefault="00C65226" w:rsidP="00C65226">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Simon Maljevac, minister</w:t>
            </w:r>
          </w:p>
          <w:p w14:paraId="79BCFB40" w14:textId="77777777" w:rsidR="00C65226" w:rsidRDefault="001E63EF" w:rsidP="00C65226">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dr. </w:t>
            </w:r>
            <w:r w:rsidR="00C65226">
              <w:rPr>
                <w:rFonts w:eastAsia="Times New Roman" w:cs="Arial"/>
                <w:iCs/>
                <w:szCs w:val="20"/>
                <w:lang w:eastAsia="sl-SI"/>
              </w:rPr>
              <w:t>Klemen Ploštajner, državni sekretar</w:t>
            </w:r>
          </w:p>
          <w:p w14:paraId="61FFACE6" w14:textId="77777777" w:rsidR="00C65226" w:rsidRPr="00C65226" w:rsidRDefault="00C65226" w:rsidP="00C65226">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Živa Matjašič,</w:t>
            </w:r>
            <w:r w:rsidR="00F50B51">
              <w:rPr>
                <w:rFonts w:eastAsia="Times New Roman" w:cs="Arial"/>
                <w:iCs/>
                <w:szCs w:val="20"/>
                <w:lang w:eastAsia="sl-SI"/>
              </w:rPr>
              <w:t xml:space="preserve"> generaln</w:t>
            </w:r>
            <w:r w:rsidR="00C56E00">
              <w:rPr>
                <w:rFonts w:eastAsia="Times New Roman" w:cs="Arial"/>
                <w:iCs/>
                <w:szCs w:val="20"/>
                <w:lang w:eastAsia="sl-SI"/>
              </w:rPr>
              <w:t>a</w:t>
            </w:r>
            <w:r w:rsidR="00F50B51">
              <w:rPr>
                <w:rFonts w:eastAsia="Times New Roman" w:cs="Arial"/>
                <w:iCs/>
                <w:szCs w:val="20"/>
                <w:lang w:eastAsia="sl-SI"/>
              </w:rPr>
              <w:t xml:space="preserve"> direktor</w:t>
            </w:r>
            <w:r w:rsidR="00C56E00">
              <w:rPr>
                <w:rFonts w:eastAsia="Times New Roman" w:cs="Arial"/>
                <w:iCs/>
                <w:szCs w:val="20"/>
                <w:lang w:eastAsia="sl-SI"/>
              </w:rPr>
              <w:t>ica</w:t>
            </w:r>
            <w:r>
              <w:rPr>
                <w:rFonts w:eastAsia="Times New Roman" w:cs="Arial"/>
                <w:iCs/>
                <w:szCs w:val="20"/>
                <w:lang w:eastAsia="sl-SI"/>
              </w:rPr>
              <w:t xml:space="preserve"> Direktorata za stanovanja</w:t>
            </w:r>
          </w:p>
        </w:tc>
      </w:tr>
      <w:tr w:rsidR="00AE1F83" w:rsidRPr="00AE1F83" w14:paraId="0CB8BA82" w14:textId="77777777" w:rsidTr="00BD6A1D">
        <w:tc>
          <w:tcPr>
            <w:tcW w:w="9163" w:type="dxa"/>
            <w:gridSpan w:val="4"/>
          </w:tcPr>
          <w:p w14:paraId="0DF1B4FB"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AE1F83" w:rsidRPr="00AE1F83" w14:paraId="37783AB8" w14:textId="77777777" w:rsidTr="00BD6A1D">
        <w:tc>
          <w:tcPr>
            <w:tcW w:w="9163" w:type="dxa"/>
            <w:gridSpan w:val="4"/>
          </w:tcPr>
          <w:p w14:paraId="25D7BEFB" w14:textId="77777777" w:rsidR="00C65226" w:rsidRPr="00AE1F83" w:rsidRDefault="00C65226" w:rsidP="00C65226">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C66E09" w14:textId="77777777" w:rsidR="00AE1F83" w:rsidRPr="00AE1F83" w:rsidRDefault="00C65226"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0C0DB42B" w14:textId="77777777" w:rsidTr="00BD6A1D">
        <w:tc>
          <w:tcPr>
            <w:tcW w:w="9163" w:type="dxa"/>
            <w:gridSpan w:val="4"/>
          </w:tcPr>
          <w:p w14:paraId="1A716A7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91DD646" w14:textId="77777777" w:rsidTr="00BD6A1D">
        <w:tc>
          <w:tcPr>
            <w:tcW w:w="9163" w:type="dxa"/>
            <w:gridSpan w:val="4"/>
          </w:tcPr>
          <w:p w14:paraId="04C588CD" w14:textId="77777777" w:rsidR="00AE1F83" w:rsidRPr="00AE1F83" w:rsidRDefault="00C65226" w:rsidP="00AE1F83">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5F8E3047" w14:textId="77777777" w:rsidTr="00BD6A1D">
        <w:tc>
          <w:tcPr>
            <w:tcW w:w="9163" w:type="dxa"/>
            <w:gridSpan w:val="4"/>
          </w:tcPr>
          <w:p w14:paraId="78B1FEF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 Kratek povzetek gradiva:</w:t>
            </w:r>
          </w:p>
        </w:tc>
      </w:tr>
      <w:tr w:rsidR="00AE1F83" w:rsidRPr="00AE1F83" w14:paraId="5C2BBB38" w14:textId="77777777" w:rsidTr="00BD6A1D">
        <w:tc>
          <w:tcPr>
            <w:tcW w:w="9163" w:type="dxa"/>
            <w:gridSpan w:val="4"/>
          </w:tcPr>
          <w:p w14:paraId="6CDEEDA1" w14:textId="0276751D" w:rsidR="003D7DBE" w:rsidRDefault="00795202" w:rsidP="003D7DBE">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Stanovanjski sklad Republike </w:t>
            </w:r>
            <w:r w:rsidR="007969B8">
              <w:rPr>
                <w:rFonts w:eastAsia="Times New Roman" w:cs="Arial"/>
                <w:iCs/>
                <w:szCs w:val="20"/>
                <w:lang w:eastAsia="sl-SI"/>
              </w:rPr>
              <w:t xml:space="preserve">Slovenije, javni sklad </w:t>
            </w:r>
            <w:r>
              <w:rPr>
                <w:rFonts w:eastAsia="Times New Roman" w:cs="Arial"/>
                <w:iCs/>
                <w:szCs w:val="20"/>
                <w:lang w:eastAsia="sl-SI"/>
              </w:rPr>
              <w:t>(</w:t>
            </w:r>
            <w:r w:rsidR="001E63EF">
              <w:rPr>
                <w:rFonts w:eastAsia="Times New Roman" w:cs="Arial"/>
                <w:iCs/>
                <w:szCs w:val="20"/>
                <w:lang w:eastAsia="sl-SI"/>
              </w:rPr>
              <w:t>v nadaljevanju</w:t>
            </w:r>
            <w:r w:rsidR="007969B8">
              <w:rPr>
                <w:rFonts w:eastAsia="Times New Roman" w:cs="Arial"/>
                <w:iCs/>
                <w:szCs w:val="20"/>
                <w:lang w:eastAsia="sl-SI"/>
              </w:rPr>
              <w:t>:</w:t>
            </w:r>
            <w:r w:rsidR="001E63EF">
              <w:rPr>
                <w:rFonts w:eastAsia="Times New Roman" w:cs="Arial"/>
                <w:iCs/>
                <w:szCs w:val="20"/>
                <w:lang w:eastAsia="sl-SI"/>
              </w:rPr>
              <w:t xml:space="preserve"> </w:t>
            </w:r>
            <w:r>
              <w:rPr>
                <w:rFonts w:eastAsia="Times New Roman" w:cs="Arial"/>
                <w:iCs/>
                <w:szCs w:val="20"/>
                <w:lang w:eastAsia="sl-SI"/>
              </w:rPr>
              <w:t xml:space="preserve">SSRS) je skladno z Resolucijo o </w:t>
            </w:r>
            <w:r w:rsidR="007969B8">
              <w:rPr>
                <w:rFonts w:eastAsia="Times New Roman" w:cs="Arial"/>
                <w:iCs/>
                <w:szCs w:val="20"/>
                <w:lang w:eastAsia="sl-SI"/>
              </w:rPr>
              <w:t xml:space="preserve">nacionalnem </w:t>
            </w:r>
            <w:r>
              <w:rPr>
                <w:rFonts w:eastAsia="Times New Roman" w:cs="Arial"/>
                <w:iCs/>
                <w:szCs w:val="20"/>
                <w:lang w:eastAsia="sl-SI"/>
              </w:rPr>
              <w:t>stanovanjskem programu</w:t>
            </w:r>
            <w:r w:rsidR="007969B8">
              <w:rPr>
                <w:rFonts w:eastAsia="Times New Roman" w:cs="Arial"/>
                <w:iCs/>
                <w:szCs w:val="20"/>
                <w:lang w:eastAsia="sl-SI"/>
              </w:rPr>
              <w:t xml:space="preserve"> </w:t>
            </w:r>
            <w:r>
              <w:rPr>
                <w:rFonts w:eastAsia="Times New Roman" w:cs="Arial"/>
                <w:iCs/>
                <w:szCs w:val="20"/>
                <w:lang w:eastAsia="sl-SI"/>
              </w:rPr>
              <w:t xml:space="preserve">2015-2025 </w:t>
            </w:r>
            <w:r w:rsidR="001E63EF" w:rsidRPr="005C0A91">
              <w:rPr>
                <w:rFonts w:cs="Arial"/>
                <w:color w:val="000000"/>
              </w:rPr>
              <w:t xml:space="preserve">(Uradni list RS, št. 92/15) </w:t>
            </w:r>
            <w:r>
              <w:rPr>
                <w:rFonts w:eastAsia="Times New Roman" w:cs="Arial"/>
                <w:iCs/>
                <w:szCs w:val="20"/>
                <w:lang w:eastAsia="sl-SI"/>
              </w:rPr>
              <w:t xml:space="preserve">glavni izvajalec stanovanjske politike Republike Slovenije. SSRS to nalogo </w:t>
            </w:r>
            <w:r w:rsidR="007969B8">
              <w:rPr>
                <w:rFonts w:eastAsia="Times New Roman" w:cs="Arial"/>
                <w:iCs/>
                <w:szCs w:val="20"/>
                <w:lang w:eastAsia="sl-SI"/>
              </w:rPr>
              <w:t>skladno</w:t>
            </w:r>
            <w:r w:rsidR="00A134F7">
              <w:rPr>
                <w:rFonts w:eastAsia="Times New Roman" w:cs="Arial"/>
                <w:iCs/>
                <w:szCs w:val="20"/>
                <w:lang w:eastAsia="sl-SI"/>
              </w:rPr>
              <w:t xml:space="preserve"> s</w:t>
            </w:r>
            <w:r w:rsidR="007969B8">
              <w:rPr>
                <w:rFonts w:eastAsia="Times New Roman" w:cs="Arial"/>
                <w:iCs/>
                <w:szCs w:val="20"/>
                <w:lang w:eastAsia="sl-SI"/>
              </w:rPr>
              <w:t xml:space="preserve"> Poslovno politiko SSRS za obdobje 2021-2025 </w:t>
            </w:r>
            <w:r>
              <w:rPr>
                <w:rFonts w:eastAsia="Times New Roman" w:cs="Arial"/>
                <w:iCs/>
                <w:szCs w:val="20"/>
                <w:lang w:eastAsia="sl-SI"/>
              </w:rPr>
              <w:t>izpolnjuje prek dveh ključnih ukrepov: lastna gradnja javnih najemnih stanovanj in financiranje gradnje javnih najemnih stanovanj s strani občin, lokalnih stanovanjskih skladov in neprofitnih stanovanjskih organizacij</w:t>
            </w:r>
            <w:r w:rsidR="00751C13">
              <w:rPr>
                <w:rFonts w:eastAsia="Times New Roman" w:cs="Arial"/>
                <w:iCs/>
                <w:szCs w:val="20"/>
                <w:lang w:eastAsia="sl-SI"/>
              </w:rPr>
              <w:t>. Slednjo</w:t>
            </w:r>
            <w:r w:rsidR="003D7DBE">
              <w:rPr>
                <w:rFonts w:eastAsia="Times New Roman" w:cs="Arial"/>
                <w:iCs/>
                <w:szCs w:val="20"/>
                <w:lang w:eastAsia="sl-SI"/>
              </w:rPr>
              <w:t xml:space="preserve"> SSRS izvaja prek</w:t>
            </w:r>
            <w:r w:rsidR="007969B8">
              <w:rPr>
                <w:rFonts w:eastAsia="Times New Roman" w:cs="Arial"/>
                <w:iCs/>
                <w:szCs w:val="20"/>
                <w:lang w:eastAsia="sl-SI"/>
              </w:rPr>
              <w:t>o</w:t>
            </w:r>
            <w:r w:rsidR="005D662A">
              <w:rPr>
                <w:rFonts w:eastAsia="Times New Roman" w:cs="Arial"/>
                <w:iCs/>
                <w:szCs w:val="20"/>
                <w:lang w:eastAsia="sl-SI"/>
              </w:rPr>
              <w:t xml:space="preserve"> lastnih projektov stanovanjske gradnje in</w:t>
            </w:r>
            <w:r w:rsidR="007969B8">
              <w:rPr>
                <w:rFonts w:eastAsia="Times New Roman" w:cs="Arial"/>
                <w:iCs/>
                <w:szCs w:val="20"/>
                <w:lang w:eastAsia="sl-SI"/>
              </w:rPr>
              <w:t xml:space="preserve"> vsakokratn</w:t>
            </w:r>
            <w:r w:rsidR="005D662A">
              <w:rPr>
                <w:rFonts w:eastAsia="Times New Roman" w:cs="Arial"/>
                <w:iCs/>
                <w:szCs w:val="20"/>
                <w:lang w:eastAsia="sl-SI"/>
              </w:rPr>
              <w:t>ih</w:t>
            </w:r>
            <w:r w:rsidR="003D7DBE">
              <w:rPr>
                <w:rFonts w:eastAsia="Times New Roman" w:cs="Arial"/>
                <w:iCs/>
                <w:szCs w:val="20"/>
                <w:lang w:eastAsia="sl-SI"/>
              </w:rPr>
              <w:t xml:space="preserve"> </w:t>
            </w:r>
            <w:r w:rsidR="005D662A">
              <w:rPr>
                <w:rFonts w:eastAsia="Times New Roman" w:cs="Arial"/>
                <w:iCs/>
                <w:szCs w:val="20"/>
                <w:lang w:eastAsia="sl-SI"/>
              </w:rPr>
              <w:t>p</w:t>
            </w:r>
            <w:r w:rsidR="003D7DBE">
              <w:rPr>
                <w:rFonts w:eastAsia="Times New Roman" w:cs="Arial"/>
                <w:iCs/>
                <w:szCs w:val="20"/>
                <w:lang w:eastAsia="sl-SI"/>
              </w:rPr>
              <w:t>rogram</w:t>
            </w:r>
            <w:r w:rsidR="005D662A">
              <w:rPr>
                <w:rFonts w:eastAsia="Times New Roman" w:cs="Arial"/>
                <w:iCs/>
                <w:szCs w:val="20"/>
                <w:lang w:eastAsia="sl-SI"/>
              </w:rPr>
              <w:t>ov</w:t>
            </w:r>
            <w:r w:rsidR="003D7DBE">
              <w:rPr>
                <w:rFonts w:eastAsia="Times New Roman" w:cs="Arial"/>
                <w:iCs/>
                <w:szCs w:val="20"/>
                <w:lang w:eastAsia="sl-SI"/>
              </w:rPr>
              <w:t xml:space="preserve"> sofinanciranja zagotavljanja javnih najemnih </w:t>
            </w:r>
            <w:r w:rsidR="007969B8">
              <w:rPr>
                <w:rFonts w:eastAsia="Times New Roman" w:cs="Arial"/>
                <w:iCs/>
                <w:szCs w:val="20"/>
                <w:lang w:eastAsia="sl-SI"/>
              </w:rPr>
              <w:t xml:space="preserve">stanovanjskih </w:t>
            </w:r>
            <w:r w:rsidR="003D7DBE">
              <w:rPr>
                <w:rFonts w:eastAsia="Times New Roman" w:cs="Arial"/>
                <w:iCs/>
                <w:szCs w:val="20"/>
                <w:lang w:eastAsia="sl-SI"/>
              </w:rPr>
              <w:t>enot in bivalnih enot</w:t>
            </w:r>
            <w:r w:rsidR="00D0580B">
              <w:rPr>
                <w:rFonts w:eastAsia="Times New Roman" w:cs="Arial"/>
                <w:iCs/>
                <w:szCs w:val="20"/>
                <w:lang w:eastAsia="sl-SI"/>
              </w:rPr>
              <w:t xml:space="preserve"> </w:t>
            </w:r>
            <w:r w:rsidR="007400D0">
              <w:rPr>
                <w:rFonts w:eastAsia="Times New Roman" w:cs="Arial"/>
                <w:iCs/>
                <w:szCs w:val="20"/>
                <w:lang w:eastAsia="sl-SI"/>
              </w:rPr>
              <w:t xml:space="preserve">ter </w:t>
            </w:r>
            <w:r w:rsidR="007400D0">
              <w:rPr>
                <w:rFonts w:cs="Arial"/>
                <w:iCs/>
                <w:szCs w:val="20"/>
                <w:lang w:eastAsia="sl-SI"/>
              </w:rPr>
              <w:t>programov</w:t>
            </w:r>
            <w:r w:rsidR="007400D0">
              <w:rPr>
                <w:rFonts w:cs="Arial"/>
                <w:szCs w:val="20"/>
              </w:rPr>
              <w:t xml:space="preserve"> sofinanciranja zagotavljanja oskrbovanih stanovanj za starejše</w:t>
            </w:r>
            <w:r w:rsidR="00751C13">
              <w:rPr>
                <w:rFonts w:eastAsia="Times New Roman" w:cs="Arial"/>
                <w:iCs/>
                <w:szCs w:val="20"/>
                <w:lang w:eastAsia="sl-SI"/>
              </w:rPr>
              <w:t xml:space="preserve">, v katerem določi obdobje in pogoje podpore. </w:t>
            </w:r>
            <w:r w:rsidR="003D7DBE">
              <w:rPr>
                <w:rFonts w:eastAsia="Times New Roman" w:cs="Arial"/>
                <w:iCs/>
                <w:szCs w:val="20"/>
                <w:lang w:eastAsia="sl-SI"/>
              </w:rPr>
              <w:t>Sredstva</w:t>
            </w:r>
            <w:r w:rsidR="007969B8">
              <w:rPr>
                <w:rFonts w:eastAsia="Times New Roman" w:cs="Arial"/>
                <w:iCs/>
                <w:szCs w:val="20"/>
                <w:lang w:eastAsia="sl-SI"/>
              </w:rPr>
              <w:t xml:space="preserve"> povečanja namenskega premoženja in kapitala</w:t>
            </w:r>
            <w:r w:rsidR="003D7DBE">
              <w:rPr>
                <w:rFonts w:eastAsia="Times New Roman" w:cs="Arial"/>
                <w:iCs/>
                <w:szCs w:val="20"/>
                <w:lang w:eastAsia="sl-SI"/>
              </w:rPr>
              <w:t xml:space="preserve"> </w:t>
            </w:r>
            <w:r w:rsidR="00D0580B">
              <w:rPr>
                <w:rFonts w:eastAsia="Times New Roman" w:cs="Arial"/>
                <w:iCs/>
                <w:szCs w:val="20"/>
                <w:lang w:eastAsia="sl-SI"/>
              </w:rPr>
              <w:t xml:space="preserve">v višini </w:t>
            </w:r>
            <w:r w:rsidR="005D662A">
              <w:rPr>
                <w:rFonts w:eastAsia="Times New Roman" w:cs="Arial"/>
                <w:iCs/>
                <w:szCs w:val="20"/>
                <w:lang w:eastAsia="sl-SI"/>
              </w:rPr>
              <w:t>100</w:t>
            </w:r>
            <w:r w:rsidR="00D0580B">
              <w:rPr>
                <w:rFonts w:eastAsia="Times New Roman" w:cs="Arial"/>
                <w:iCs/>
                <w:szCs w:val="20"/>
                <w:lang w:eastAsia="sl-SI"/>
              </w:rPr>
              <w:t>.</w:t>
            </w:r>
            <w:r w:rsidR="005D662A">
              <w:rPr>
                <w:rFonts w:eastAsia="Times New Roman" w:cs="Arial"/>
                <w:iCs/>
                <w:szCs w:val="20"/>
                <w:lang w:eastAsia="sl-SI"/>
              </w:rPr>
              <w:t>0</w:t>
            </w:r>
            <w:r w:rsidR="00D0580B">
              <w:rPr>
                <w:rFonts w:eastAsia="Times New Roman" w:cs="Arial"/>
                <w:iCs/>
                <w:szCs w:val="20"/>
                <w:lang w:eastAsia="sl-SI"/>
              </w:rPr>
              <w:t xml:space="preserve">00.000 evrov </w:t>
            </w:r>
            <w:r w:rsidR="003D7DBE">
              <w:rPr>
                <w:rFonts w:eastAsia="Times New Roman" w:cs="Arial"/>
                <w:iCs/>
                <w:szCs w:val="20"/>
                <w:lang w:eastAsia="sl-SI"/>
              </w:rPr>
              <w:t xml:space="preserve">bodo </w:t>
            </w:r>
            <w:r w:rsidR="00A134F7">
              <w:rPr>
                <w:rFonts w:eastAsia="Times New Roman" w:cs="Arial"/>
                <w:iCs/>
                <w:szCs w:val="20"/>
                <w:lang w:eastAsia="sl-SI"/>
              </w:rPr>
              <w:t xml:space="preserve">primarno </w:t>
            </w:r>
            <w:r w:rsidR="003D7DBE">
              <w:rPr>
                <w:rFonts w:eastAsia="Times New Roman" w:cs="Arial"/>
                <w:iCs/>
                <w:szCs w:val="20"/>
                <w:lang w:eastAsia="sl-SI"/>
              </w:rPr>
              <w:t xml:space="preserve">namenjena za </w:t>
            </w:r>
            <w:r w:rsidR="00D0580B">
              <w:rPr>
                <w:rFonts w:eastAsia="Times New Roman" w:cs="Arial"/>
                <w:iCs/>
                <w:szCs w:val="20"/>
                <w:lang w:eastAsia="sl-SI"/>
              </w:rPr>
              <w:t>izvajanj</w:t>
            </w:r>
            <w:r w:rsidR="005D662A">
              <w:rPr>
                <w:rFonts w:eastAsia="Times New Roman" w:cs="Arial"/>
                <w:iCs/>
                <w:szCs w:val="20"/>
                <w:lang w:eastAsia="sl-SI"/>
              </w:rPr>
              <w:t>e lastnih projektov stanovanjske gradnje</w:t>
            </w:r>
            <w:r w:rsidR="00A134F7">
              <w:rPr>
                <w:rFonts w:eastAsia="Times New Roman" w:cs="Arial"/>
                <w:iCs/>
                <w:szCs w:val="20"/>
                <w:lang w:eastAsia="sl-SI"/>
              </w:rPr>
              <w:t xml:space="preserve"> (gradnje neprofitnih najemnih stanovanj</w:t>
            </w:r>
            <w:bookmarkStart w:id="0" w:name="_Hlk198645142"/>
            <w:r w:rsidR="0080153B">
              <w:rPr>
                <w:rFonts w:eastAsia="Times New Roman" w:cs="Arial"/>
                <w:iCs/>
                <w:szCs w:val="20"/>
                <w:lang w:eastAsia="sl-SI"/>
              </w:rPr>
              <w:t xml:space="preserve"> in namenskih oskrbovanih stanovanj za starejše</w:t>
            </w:r>
            <w:bookmarkEnd w:id="0"/>
            <w:r w:rsidR="00A134F7">
              <w:rPr>
                <w:rFonts w:eastAsia="Times New Roman" w:cs="Arial"/>
                <w:iCs/>
                <w:szCs w:val="20"/>
                <w:lang w:eastAsia="sl-SI"/>
              </w:rPr>
              <w:t>)</w:t>
            </w:r>
            <w:r w:rsidR="007400D0">
              <w:rPr>
                <w:rFonts w:eastAsia="Times New Roman" w:cs="Arial"/>
                <w:iCs/>
                <w:szCs w:val="20"/>
                <w:lang w:eastAsia="sl-SI"/>
              </w:rPr>
              <w:t xml:space="preserve">, v primeru izkazanih potreb pa tudi za krepitev programov sofinanciranja. </w:t>
            </w:r>
          </w:p>
          <w:p w14:paraId="3F4F3186" w14:textId="77777777" w:rsidR="00630363" w:rsidRPr="00AE1F83" w:rsidRDefault="00630363" w:rsidP="003D7DBE">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5BD51BD" w14:textId="77777777" w:rsidTr="00BD6A1D">
        <w:tc>
          <w:tcPr>
            <w:tcW w:w="9163" w:type="dxa"/>
            <w:gridSpan w:val="4"/>
          </w:tcPr>
          <w:p w14:paraId="14BA2F82"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303A679E" w14:textId="77777777" w:rsidTr="00BD6A1D">
        <w:tc>
          <w:tcPr>
            <w:tcW w:w="1448" w:type="dxa"/>
          </w:tcPr>
          <w:p w14:paraId="0AF58C6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09178BCF"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675B2F81"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7ABD0F5C" w14:textId="77777777" w:rsidTr="00BD6A1D">
        <w:tc>
          <w:tcPr>
            <w:tcW w:w="1448" w:type="dxa"/>
          </w:tcPr>
          <w:p w14:paraId="4BA5E6A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368D53E1"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66D7AAB7"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5502C54" w14:textId="77777777" w:rsidTr="00BD6A1D">
        <w:tc>
          <w:tcPr>
            <w:tcW w:w="1448" w:type="dxa"/>
          </w:tcPr>
          <w:p w14:paraId="4203374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06D80FB"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53F9E843"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29090FD" w14:textId="77777777" w:rsidTr="00BD6A1D">
        <w:tc>
          <w:tcPr>
            <w:tcW w:w="1448" w:type="dxa"/>
          </w:tcPr>
          <w:p w14:paraId="5FC1721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1B4406C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1BC4A8E8"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97528F3" w14:textId="77777777" w:rsidTr="00BD6A1D">
        <w:tc>
          <w:tcPr>
            <w:tcW w:w="1448" w:type="dxa"/>
          </w:tcPr>
          <w:p w14:paraId="5F17296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169C390D"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02455908"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1103F5D" w14:textId="77777777" w:rsidTr="00BD6A1D">
        <w:tc>
          <w:tcPr>
            <w:tcW w:w="1448" w:type="dxa"/>
          </w:tcPr>
          <w:p w14:paraId="5EB0D01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402BDCB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6DBF5AEE"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46EF206B" w14:textId="77777777" w:rsidTr="00BD6A1D">
        <w:tc>
          <w:tcPr>
            <w:tcW w:w="1448" w:type="dxa"/>
            <w:tcBorders>
              <w:bottom w:val="single" w:sz="4" w:space="0" w:color="auto"/>
            </w:tcBorders>
          </w:tcPr>
          <w:p w14:paraId="475BC9F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2761151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AE1F83">
              <w:rPr>
                <w:rFonts w:eastAsia="Times New Roman" w:cs="Arial"/>
                <w:bCs/>
                <w:szCs w:val="20"/>
                <w:lang w:eastAsia="sl-SI"/>
              </w:rPr>
              <w:t>dokumente</w:t>
            </w:r>
            <w:proofErr w:type="gramEnd"/>
            <w:r w:rsidRPr="00AE1F83">
              <w:rPr>
                <w:rFonts w:eastAsia="Times New Roman" w:cs="Arial"/>
                <w:bCs/>
                <w:szCs w:val="20"/>
                <w:lang w:eastAsia="sl-SI"/>
              </w:rPr>
              <w:t xml:space="preserve"> razvojnega načrtovanja:</w:t>
            </w:r>
          </w:p>
          <w:p w14:paraId="52735BA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2E8F6A36"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4EEA65F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1156B875"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p>
        </w:tc>
      </w:tr>
      <w:tr w:rsidR="00AE1F83" w:rsidRPr="00AE1F83" w14:paraId="5FD1B929"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EBB8063"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 EUR:</w:t>
            </w:r>
          </w:p>
          <w:p w14:paraId="5A3935CC"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 xml:space="preserve">(Samo če izberete DA pod točko </w:t>
            </w:r>
            <w:proofErr w:type="gramStart"/>
            <w:r w:rsidRPr="00AE1F83">
              <w:rPr>
                <w:rFonts w:eastAsia="Times New Roman" w:cs="Arial"/>
                <w:szCs w:val="20"/>
                <w:lang w:eastAsia="sl-SI"/>
              </w:rPr>
              <w:t>6.</w:t>
            </w:r>
            <w:proofErr w:type="gramEnd"/>
            <w:r w:rsidRPr="00AE1F83">
              <w:rPr>
                <w:rFonts w:eastAsia="Times New Roman" w:cs="Arial"/>
                <w:szCs w:val="20"/>
                <w:lang w:eastAsia="sl-SI"/>
              </w:rPr>
              <w:t>a.)</w:t>
            </w:r>
          </w:p>
        </w:tc>
      </w:tr>
    </w:tbl>
    <w:p w14:paraId="0BB942DF"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774"/>
        <w:gridCol w:w="1384"/>
        <w:gridCol w:w="517"/>
        <w:gridCol w:w="1123"/>
        <w:gridCol w:w="860"/>
        <w:gridCol w:w="421"/>
        <w:gridCol w:w="326"/>
        <w:gridCol w:w="1848"/>
      </w:tblGrid>
      <w:tr w:rsidR="00AE1F83" w:rsidRPr="00AE1F83" w14:paraId="0E438567"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D472AD8"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0AD440D3"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61673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C21FB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47B52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FD74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B76E24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5537025"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C78F82"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D9323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4672B9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00E72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B087B9"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C27A92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02074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1DDB504"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17610D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71501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1A547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D3E9895"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913F65"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39D3B1"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07B0A83"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4F1BED"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4EF5939"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57C982D3"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5703A7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7E97E8"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C96621D"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3EF3A3"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158CDA"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489057D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ACCD9D"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58EEA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6C7743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C29176"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F534524"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AA0A3CC"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876E55"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27C647AB"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B898AF"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w:t>
            </w:r>
            <w:proofErr w:type="gramStart"/>
            <w:r w:rsidRPr="00EC4BBD">
              <w:rPr>
                <w:rFonts w:eastAsia="Times New Roman" w:cs="Arial"/>
                <w:b/>
                <w:kern w:val="32"/>
                <w:szCs w:val="20"/>
                <w:lang w:eastAsia="sl-SI"/>
              </w:rPr>
              <w:t>a</w:t>
            </w:r>
            <w:proofErr w:type="spellEnd"/>
            <w:proofErr w:type="gramEnd"/>
            <w:r w:rsidRPr="00EC4BBD">
              <w:rPr>
                <w:rFonts w:eastAsia="Times New Roman" w:cs="Arial"/>
                <w:b/>
                <w:kern w:val="32"/>
                <w:szCs w:val="20"/>
                <w:lang w:eastAsia="sl-SI"/>
              </w:rPr>
              <w:t xml:space="preserve"> Pravice porabe</w:t>
            </w:r>
            <w:r w:rsidRPr="00AE1F83">
              <w:rPr>
                <w:rFonts w:eastAsia="Times New Roman" w:cs="Arial"/>
                <w:b/>
                <w:kern w:val="32"/>
                <w:szCs w:val="20"/>
                <w:lang w:eastAsia="sl-SI"/>
              </w:rPr>
              <w:t xml:space="preserve"> za izvedbo predlaganih rešitev so zagotovljene:</w:t>
            </w:r>
          </w:p>
        </w:tc>
      </w:tr>
      <w:tr w:rsidR="00AE1F83" w:rsidRPr="00AE1F83" w14:paraId="4AC74E1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CB839A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88569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6DDA9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6855A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5AAF6B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0322C27A"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B0B2450" w14:textId="77777777" w:rsidR="00AE1F83" w:rsidRPr="00AE1F83" w:rsidRDefault="00C65226"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solidarno prihodnost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7D031A" w14:textId="77777777" w:rsidR="00AE1F83" w:rsidRPr="00AE1F83" w:rsidRDefault="00C65226" w:rsidP="00AE1F83">
            <w:pPr>
              <w:widowControl w:val="0"/>
              <w:tabs>
                <w:tab w:val="left" w:pos="360"/>
              </w:tabs>
              <w:spacing w:after="0" w:line="260" w:lineRule="exact"/>
              <w:outlineLvl w:val="0"/>
              <w:rPr>
                <w:rFonts w:eastAsia="Times New Roman" w:cs="Arial"/>
                <w:bCs/>
                <w:kern w:val="32"/>
                <w:szCs w:val="20"/>
                <w:lang w:eastAsia="sl-SI"/>
              </w:rPr>
            </w:pPr>
            <w:r>
              <w:t xml:space="preserve">2550-22-0002 Dokapitalizacija Stanovanjskega sklada </w:t>
            </w:r>
            <w:r w:rsidR="001E63EF">
              <w:t>R</w:t>
            </w:r>
            <w:r w:rsidR="003F2783">
              <w:t>S</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7ECE7D2" w14:textId="2F756D00" w:rsidR="00AE1F83" w:rsidRPr="00AE1F83" w:rsidRDefault="003F2783" w:rsidP="00AE1F83">
            <w:pPr>
              <w:widowControl w:val="0"/>
              <w:tabs>
                <w:tab w:val="left" w:pos="360"/>
              </w:tabs>
              <w:spacing w:after="0" w:line="260" w:lineRule="exact"/>
              <w:outlineLvl w:val="0"/>
              <w:rPr>
                <w:rFonts w:eastAsia="Times New Roman" w:cs="Arial"/>
                <w:bCs/>
                <w:kern w:val="32"/>
                <w:szCs w:val="20"/>
                <w:lang w:eastAsia="sl-SI"/>
              </w:rPr>
            </w:pPr>
            <w:r>
              <w:t>231655</w:t>
            </w:r>
            <w:r w:rsidR="005169EB">
              <w:t xml:space="preserve"> </w:t>
            </w:r>
            <w:proofErr w:type="gramStart"/>
            <w:r w:rsidR="00A053FA" w:rsidRPr="00902CB0">
              <w:t>Dokapitalizacija</w:t>
            </w:r>
            <w:proofErr w:type="gramEnd"/>
            <w:r w:rsidR="00902CB0">
              <w:t xml:space="preserve"> </w:t>
            </w:r>
            <w:r w:rsidR="00A053FA" w:rsidRPr="00902CB0">
              <w:t>Stanovanjskega sklada RS</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8621EF" w14:textId="3ECF1D7D" w:rsidR="00C65226" w:rsidRPr="00AE1F83" w:rsidRDefault="00F4304D" w:rsidP="00C65226">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100</w:t>
            </w:r>
            <w:r w:rsidR="00C65226">
              <w:rPr>
                <w:rFonts w:eastAsia="Times New Roman" w:cs="Arial"/>
                <w:bCs/>
                <w:kern w:val="32"/>
                <w:szCs w:val="20"/>
                <w:lang w:eastAsia="sl-SI"/>
              </w:rPr>
              <w:t>.</w:t>
            </w:r>
            <w:r>
              <w:rPr>
                <w:rFonts w:eastAsia="Times New Roman" w:cs="Arial"/>
                <w:bCs/>
                <w:kern w:val="32"/>
                <w:szCs w:val="20"/>
                <w:lang w:eastAsia="sl-SI"/>
              </w:rPr>
              <w:t>0</w:t>
            </w:r>
            <w:r w:rsidR="00C65226">
              <w:rPr>
                <w:rFonts w:eastAsia="Times New Roman" w:cs="Arial"/>
                <w:bCs/>
                <w:kern w:val="32"/>
                <w:szCs w:val="20"/>
                <w:lang w:eastAsia="sl-SI"/>
              </w:rPr>
              <w:t>00.000,00 EUR</w:t>
            </w:r>
          </w:p>
        </w:tc>
        <w:tc>
          <w:tcPr>
            <w:tcW w:w="2128" w:type="dxa"/>
            <w:tcBorders>
              <w:top w:val="single" w:sz="4" w:space="0" w:color="auto"/>
              <w:left w:val="single" w:sz="4" w:space="0" w:color="auto"/>
              <w:bottom w:val="single" w:sz="4" w:space="0" w:color="auto"/>
              <w:right w:val="single" w:sz="4" w:space="0" w:color="auto"/>
            </w:tcBorders>
            <w:vAlign w:val="center"/>
          </w:tcPr>
          <w:p w14:paraId="32D07B9B" w14:textId="77777777" w:rsidR="00AE1F83" w:rsidRPr="00AE1F83" w:rsidRDefault="00C65226"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w:t>
            </w:r>
          </w:p>
        </w:tc>
      </w:tr>
      <w:tr w:rsidR="00AE1F83" w:rsidRPr="00AE1F83" w14:paraId="60DB37BF"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8B7BA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131AB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F4008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C4D0D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8CE93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41BD4CE"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4F67BA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F239F1" w14:textId="7A654EF9" w:rsidR="00AE1F83" w:rsidRPr="00AE1F83" w:rsidRDefault="00F4304D" w:rsidP="00AE1F83">
            <w:pPr>
              <w:widowControl w:val="0"/>
              <w:spacing w:after="0" w:line="260" w:lineRule="exact"/>
              <w:jc w:val="center"/>
              <w:rPr>
                <w:rFonts w:eastAsia="Times New Roman" w:cs="Arial"/>
                <w:b/>
                <w:szCs w:val="20"/>
              </w:rPr>
            </w:pPr>
            <w:r>
              <w:rPr>
                <w:rFonts w:eastAsia="Times New Roman" w:cs="Arial"/>
                <w:bCs/>
                <w:kern w:val="32"/>
                <w:szCs w:val="20"/>
                <w:lang w:eastAsia="sl-SI"/>
              </w:rPr>
              <w:t>100</w:t>
            </w:r>
            <w:r w:rsidR="003F2783">
              <w:rPr>
                <w:rFonts w:eastAsia="Times New Roman" w:cs="Arial"/>
                <w:bCs/>
                <w:kern w:val="32"/>
                <w:szCs w:val="20"/>
                <w:lang w:eastAsia="sl-SI"/>
              </w:rPr>
              <w:t>.</w:t>
            </w:r>
            <w:r>
              <w:rPr>
                <w:rFonts w:eastAsia="Times New Roman" w:cs="Arial"/>
                <w:bCs/>
                <w:kern w:val="32"/>
                <w:szCs w:val="20"/>
                <w:lang w:eastAsia="sl-SI"/>
              </w:rPr>
              <w:t>0</w:t>
            </w:r>
            <w:r w:rsidR="003F2783">
              <w:rPr>
                <w:rFonts w:eastAsia="Times New Roman" w:cs="Arial"/>
                <w:bCs/>
                <w:kern w:val="32"/>
                <w:szCs w:val="20"/>
                <w:lang w:eastAsia="sl-SI"/>
              </w:rPr>
              <w:t>00.000,00 EUR</w:t>
            </w:r>
          </w:p>
        </w:tc>
        <w:tc>
          <w:tcPr>
            <w:tcW w:w="2128" w:type="dxa"/>
            <w:tcBorders>
              <w:top w:val="single" w:sz="4" w:space="0" w:color="auto"/>
              <w:left w:val="single" w:sz="4" w:space="0" w:color="auto"/>
              <w:bottom w:val="single" w:sz="4" w:space="0" w:color="auto"/>
              <w:right w:val="single" w:sz="4" w:space="0" w:color="auto"/>
            </w:tcBorders>
            <w:vAlign w:val="center"/>
          </w:tcPr>
          <w:p w14:paraId="7DA59396"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3BDAE64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BFD1A8"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4B892D11"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7C23B1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61CBC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D2824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DBDAF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26C30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3D6D5EB4"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892BC9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5AD24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413E8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8103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61F12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116407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7D6EAD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FC36E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8D4603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7B0AE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5DDDE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467834E"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DB481A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DDDA4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0A9E4C"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54AD5612"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2251BEE"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3BB86C37"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CBDDDD"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0B1B49"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229B9C"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3B87565F"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D1C4A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6F807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A0C3E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6C7CCD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20946D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F069A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11C53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5B648B4"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0AF3C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36192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70493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43E9C91"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100D49"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DA98F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C2A0CEC"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6F59465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109308E" w14:textId="77777777" w:rsidR="00AE1F83" w:rsidRPr="00AE1F83" w:rsidRDefault="00AE1F83" w:rsidP="00AE1F83">
            <w:pPr>
              <w:widowControl w:val="0"/>
              <w:spacing w:after="0" w:line="260" w:lineRule="exact"/>
              <w:rPr>
                <w:rFonts w:eastAsia="Times New Roman" w:cs="Arial"/>
                <w:b/>
                <w:szCs w:val="20"/>
              </w:rPr>
            </w:pPr>
          </w:p>
          <w:p w14:paraId="3898952C" w14:textId="1D46D5D9"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r w:rsidR="00E929DC">
              <w:rPr>
                <w:rFonts w:eastAsia="Times New Roman" w:cs="Arial"/>
                <w:b/>
                <w:szCs w:val="20"/>
              </w:rPr>
              <w:t xml:space="preserve"> </w:t>
            </w:r>
          </w:p>
          <w:p w14:paraId="509F8DCD"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140FE2FE" w14:textId="77777777" w:rsidR="00AE1F83" w:rsidRDefault="008D7B27" w:rsidP="008D7B27">
            <w:pPr>
              <w:widowControl w:val="0"/>
              <w:suppressAutoHyphens/>
              <w:spacing w:after="0" w:line="260" w:lineRule="exact"/>
              <w:jc w:val="both"/>
              <w:rPr>
                <w:rFonts w:eastAsia="Times New Roman" w:cs="Arial"/>
                <w:b/>
                <w:szCs w:val="20"/>
                <w:lang w:eastAsia="sl-SI"/>
              </w:rPr>
            </w:pPr>
            <w:r>
              <w:rPr>
                <w:rFonts w:eastAsia="Times New Roman" w:cs="Arial"/>
                <w:b/>
                <w:szCs w:val="20"/>
                <w:lang w:eastAsia="sl-SI"/>
              </w:rPr>
              <w:t>/</w:t>
            </w:r>
          </w:p>
          <w:p w14:paraId="4083E4DE" w14:textId="77777777" w:rsidR="008D7B27" w:rsidRPr="00AE1F83" w:rsidRDefault="008D7B27" w:rsidP="008D7B27">
            <w:pPr>
              <w:widowControl w:val="0"/>
              <w:suppressAutoHyphens/>
              <w:spacing w:after="0" w:line="260" w:lineRule="exact"/>
              <w:jc w:val="both"/>
              <w:rPr>
                <w:rFonts w:eastAsia="Times New Roman" w:cs="Arial"/>
                <w:szCs w:val="20"/>
                <w:lang w:eastAsia="sl-SI"/>
              </w:rPr>
            </w:pPr>
          </w:p>
          <w:p w14:paraId="1EEFF423"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7675B43C" w14:textId="77777777" w:rsidR="008D7B27" w:rsidRPr="00AE1F83" w:rsidRDefault="008D7B27" w:rsidP="008D7B27">
            <w:pPr>
              <w:widowControl w:val="0"/>
              <w:suppressAutoHyphens/>
              <w:spacing w:after="0" w:line="260" w:lineRule="exact"/>
              <w:jc w:val="both"/>
              <w:rPr>
                <w:rFonts w:eastAsia="Times New Roman" w:cs="Arial"/>
                <w:b/>
                <w:szCs w:val="20"/>
                <w:lang w:eastAsia="sl-SI"/>
              </w:rPr>
            </w:pPr>
          </w:p>
          <w:p w14:paraId="1C90539E"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8D7B27">
              <w:rPr>
                <w:rFonts w:eastAsia="Times New Roman" w:cs="Arial"/>
                <w:b/>
                <w:szCs w:val="20"/>
                <w:lang w:eastAsia="sl-SI"/>
              </w:rPr>
              <w:t>II.</w:t>
            </w:r>
            <w:proofErr w:type="gramStart"/>
            <w:r w:rsidRPr="008D7B27">
              <w:rPr>
                <w:rFonts w:eastAsia="Times New Roman" w:cs="Arial"/>
                <w:b/>
                <w:szCs w:val="20"/>
                <w:lang w:eastAsia="sl-SI"/>
              </w:rPr>
              <w:t>a</w:t>
            </w:r>
            <w:proofErr w:type="spellEnd"/>
            <w:proofErr w:type="gramEnd"/>
            <w:r w:rsidRPr="008D7B27">
              <w:rPr>
                <w:rFonts w:eastAsia="Times New Roman" w:cs="Arial"/>
                <w:b/>
                <w:szCs w:val="20"/>
                <w:lang w:eastAsia="sl-SI"/>
              </w:rPr>
              <w:t xml:space="preserve"> Pravice porabe za izvedbo predlaganih rešitev so zagotovljene:</w:t>
            </w:r>
          </w:p>
          <w:p w14:paraId="67E48493" w14:textId="56F55CA4" w:rsidR="008D7B27" w:rsidRDefault="008D7B27" w:rsidP="008D7B27">
            <w:pPr>
              <w:widowControl w:val="0"/>
              <w:suppressAutoHyphens/>
              <w:spacing w:after="0" w:line="260" w:lineRule="exact"/>
              <w:jc w:val="both"/>
              <w:rPr>
                <w:rFonts w:eastAsia="Times New Roman" w:cs="Arial"/>
                <w:szCs w:val="20"/>
                <w:lang w:eastAsia="sl-SI"/>
              </w:rPr>
            </w:pPr>
            <w:r>
              <w:rPr>
                <w:rFonts w:eastAsia="Times New Roman" w:cs="Arial"/>
                <w:szCs w:val="20"/>
                <w:lang w:eastAsia="sl-SI"/>
              </w:rPr>
              <w:t xml:space="preserve">Sredstva so zagotovljena pri proračunskem uporabniku Ministrstvo za solidarno prihodnost na proračunski postavki </w:t>
            </w:r>
            <w:r>
              <w:t xml:space="preserve">231655 </w:t>
            </w:r>
            <w:proofErr w:type="gramStart"/>
            <w:r>
              <w:t>Dokapitalizacija</w:t>
            </w:r>
            <w:proofErr w:type="gramEnd"/>
            <w:r>
              <w:t xml:space="preserve"> Stanovanjskega sklada RS</w:t>
            </w:r>
            <w:r w:rsidR="005169EB">
              <w:t>, ukrep št. 2550-22-0002 Dokapitalizacija stanovanjskega sklada</w:t>
            </w:r>
            <w:r w:rsidR="0038183F">
              <w:t xml:space="preserve"> RS.</w:t>
            </w:r>
          </w:p>
          <w:p w14:paraId="44BEF3BD" w14:textId="77777777" w:rsidR="008D7B27" w:rsidRDefault="008D7B27" w:rsidP="00AE1F83">
            <w:pPr>
              <w:widowControl w:val="0"/>
              <w:suppressAutoHyphens/>
              <w:spacing w:after="0" w:line="260" w:lineRule="exact"/>
              <w:ind w:left="714"/>
              <w:jc w:val="both"/>
              <w:rPr>
                <w:rFonts w:eastAsia="Times New Roman" w:cs="Arial"/>
                <w:szCs w:val="20"/>
                <w:lang w:eastAsia="sl-SI"/>
              </w:rPr>
            </w:pPr>
          </w:p>
          <w:p w14:paraId="6C99688F" w14:textId="77777777" w:rsid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b</w:t>
            </w:r>
            <w:proofErr w:type="spellEnd"/>
            <w:r w:rsidRPr="00AE1F83">
              <w:rPr>
                <w:rFonts w:eastAsia="Times New Roman" w:cs="Arial"/>
                <w:b/>
                <w:szCs w:val="20"/>
                <w:lang w:eastAsia="sl-SI"/>
              </w:rPr>
              <w:t xml:space="preserve"> Manjkajoče pravice porabe bodo zagotovljene s prerazporeditvijo:</w:t>
            </w:r>
          </w:p>
          <w:p w14:paraId="544D1A0D" w14:textId="3F61E7A9" w:rsidR="008D7B27" w:rsidRPr="00AE1F83" w:rsidRDefault="0038183F" w:rsidP="008D7B27">
            <w:pPr>
              <w:widowControl w:val="0"/>
              <w:suppressAutoHyphens/>
              <w:spacing w:after="0" w:line="260" w:lineRule="exact"/>
              <w:jc w:val="both"/>
              <w:rPr>
                <w:rFonts w:eastAsia="Times New Roman" w:cs="Arial"/>
                <w:b/>
                <w:szCs w:val="20"/>
                <w:lang w:eastAsia="sl-SI"/>
              </w:rPr>
            </w:pPr>
            <w:r>
              <w:rPr>
                <w:rFonts w:eastAsia="Times New Roman" w:cs="Arial"/>
                <w:b/>
                <w:szCs w:val="20"/>
                <w:lang w:eastAsia="sl-SI"/>
              </w:rPr>
              <w:t xml:space="preserve">              </w:t>
            </w:r>
            <w:r w:rsidR="008D7B27">
              <w:rPr>
                <w:rFonts w:eastAsia="Times New Roman" w:cs="Arial"/>
                <w:b/>
                <w:szCs w:val="20"/>
                <w:lang w:eastAsia="sl-SI"/>
              </w:rPr>
              <w:t>/</w:t>
            </w:r>
          </w:p>
          <w:p w14:paraId="2CED5857"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c</w:t>
            </w:r>
            <w:proofErr w:type="spellEnd"/>
            <w:r w:rsidRPr="00AE1F83">
              <w:rPr>
                <w:rFonts w:eastAsia="Times New Roman" w:cs="Arial"/>
                <w:b/>
                <w:szCs w:val="20"/>
                <w:lang w:eastAsia="sl-SI"/>
              </w:rPr>
              <w:t xml:space="preserve"> Načrtovana nadomestitev zmanjšanih prihodkov in povečanih odhodkov proračuna:</w:t>
            </w:r>
          </w:p>
          <w:p w14:paraId="2862BF7F" w14:textId="317B9FB8" w:rsidR="00AE1F83" w:rsidRPr="00AE1F83" w:rsidRDefault="0038183F" w:rsidP="008D7B27">
            <w:pPr>
              <w:widowControl w:val="0"/>
              <w:spacing w:after="0" w:line="260" w:lineRule="exact"/>
              <w:ind w:left="284"/>
              <w:jc w:val="both"/>
              <w:rPr>
                <w:rFonts w:eastAsia="Times New Roman" w:cs="Arial"/>
                <w:b/>
                <w:bCs/>
                <w:spacing w:val="40"/>
                <w:szCs w:val="20"/>
                <w:lang w:eastAsia="sl-SI"/>
              </w:rPr>
            </w:pPr>
            <w:r>
              <w:rPr>
                <w:rFonts w:eastAsia="Times New Roman" w:cs="Arial"/>
                <w:b/>
                <w:bCs/>
                <w:spacing w:val="40"/>
                <w:szCs w:val="20"/>
                <w:lang w:eastAsia="sl-SI"/>
              </w:rPr>
              <w:t xml:space="preserve">     </w:t>
            </w:r>
            <w:r w:rsidR="008D7B27">
              <w:rPr>
                <w:rFonts w:eastAsia="Times New Roman" w:cs="Arial"/>
                <w:b/>
                <w:bCs/>
                <w:spacing w:val="40"/>
                <w:szCs w:val="20"/>
                <w:lang w:eastAsia="sl-SI"/>
              </w:rPr>
              <w:t>/</w:t>
            </w:r>
          </w:p>
        </w:tc>
      </w:tr>
      <w:tr w:rsidR="00AE1F83" w:rsidRPr="00AE1F83" w14:paraId="4451B93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EEBBA2A" w14:textId="77777777" w:rsidR="00AE1F83" w:rsidRPr="00AE1F83" w:rsidRDefault="00AE1F83" w:rsidP="008D7B27">
            <w:pPr>
              <w:spacing w:after="0" w:line="260" w:lineRule="exact"/>
              <w:rPr>
                <w:rFonts w:eastAsia="Times New Roman" w:cs="Arial"/>
                <w:b/>
                <w:szCs w:val="20"/>
              </w:rPr>
            </w:pPr>
            <w:proofErr w:type="spellStart"/>
            <w:r w:rsidRPr="00AE1F83">
              <w:rPr>
                <w:rFonts w:eastAsia="Times New Roman" w:cs="Arial"/>
                <w:b/>
                <w:szCs w:val="20"/>
              </w:rPr>
              <w:t>7.b</w:t>
            </w:r>
            <w:proofErr w:type="spellEnd"/>
            <w:r w:rsidRPr="00AE1F83">
              <w:rPr>
                <w:rFonts w:eastAsia="Times New Roman" w:cs="Arial"/>
                <w:b/>
                <w:szCs w:val="20"/>
              </w:rPr>
              <w:t xml:space="preserve"> Predstavitev ocene finančnih posledic pod 40.000 EUR:</w:t>
            </w:r>
          </w:p>
        </w:tc>
      </w:tr>
      <w:tr w:rsidR="00AE1F83" w:rsidRPr="00AE1F83" w14:paraId="7685597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E3A8823"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4339C89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C51CC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48ED6771"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56A6249A"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ED71DE2"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5DA23D31"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341275B1"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73F9A2C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AD01E2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3D223A01"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8D7B27">
              <w:rPr>
                <w:rFonts w:eastAsia="Times New Roman" w:cs="Arial"/>
                <w:b/>
                <w:bCs/>
                <w:iCs/>
                <w:szCs w:val="20"/>
                <w:lang w:eastAsia="sl-SI"/>
              </w:rPr>
              <w:t>NE</w:t>
            </w:r>
          </w:p>
          <w:p w14:paraId="6517FECB"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Združenju občin Slovenije </w:t>
            </w:r>
            <w:proofErr w:type="gramStart"/>
            <w:r w:rsidRPr="00AE1F83">
              <w:rPr>
                <w:rFonts w:eastAsia="Times New Roman" w:cs="Arial"/>
                <w:iCs/>
                <w:szCs w:val="20"/>
                <w:lang w:eastAsia="sl-SI"/>
              </w:rPr>
              <w:t>ZOS</w:t>
            </w:r>
            <w:proofErr w:type="gramEnd"/>
            <w:r w:rsidRPr="00AE1F83">
              <w:rPr>
                <w:rFonts w:eastAsia="Times New Roman" w:cs="Arial"/>
                <w:iCs/>
                <w:szCs w:val="20"/>
                <w:lang w:eastAsia="sl-SI"/>
              </w:rPr>
              <w:t>: DA/</w:t>
            </w:r>
            <w:r w:rsidRPr="008D7B27">
              <w:rPr>
                <w:rFonts w:eastAsia="Times New Roman" w:cs="Arial"/>
                <w:b/>
                <w:bCs/>
                <w:iCs/>
                <w:szCs w:val="20"/>
                <w:lang w:eastAsia="sl-SI"/>
              </w:rPr>
              <w:t>NE</w:t>
            </w:r>
          </w:p>
          <w:p w14:paraId="6496A80E"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8D7B27">
              <w:rPr>
                <w:rFonts w:eastAsia="Times New Roman" w:cs="Arial"/>
                <w:b/>
                <w:bCs/>
                <w:iCs/>
                <w:szCs w:val="20"/>
                <w:lang w:eastAsia="sl-SI"/>
              </w:rPr>
              <w:t>NE</w:t>
            </w:r>
          </w:p>
          <w:p w14:paraId="02BA1A0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885121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64143295"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75E56561"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7C6F1F9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E1CC118"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4028A7AF"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72B5C8F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42EC07F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D6E724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AE5D022"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2E42635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123FEE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1CF641AE"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547DB09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3E8C94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NE, navedite, zakaj ni bilo objavljeno.)</w:t>
            </w:r>
          </w:p>
        </w:tc>
      </w:tr>
      <w:tr w:rsidR="00AE1F83" w:rsidRPr="00AE1F83" w14:paraId="79A8308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ED1D0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w:t>
            </w:r>
            <w:proofErr w:type="gramStart"/>
            <w:r w:rsidRPr="00AE1F83">
              <w:rPr>
                <w:rFonts w:eastAsia="Times New Roman" w:cs="Arial"/>
                <w:iCs/>
                <w:szCs w:val="20"/>
                <w:lang w:eastAsia="sl-SI"/>
              </w:rPr>
              <w:t xml:space="preserve"> DA</w:t>
            </w:r>
            <w:proofErr w:type="gramEnd"/>
            <w:r w:rsidRPr="00AE1F83">
              <w:rPr>
                <w:rFonts w:eastAsia="Times New Roman" w:cs="Arial"/>
                <w:iCs/>
                <w:szCs w:val="20"/>
                <w:lang w:eastAsia="sl-SI"/>
              </w:rPr>
              <w:t>, navedite:</w:t>
            </w:r>
          </w:p>
          <w:p w14:paraId="477F4C8A" w14:textId="77777777" w:rsidR="00AE1F83" w:rsidRPr="00AE1F83" w:rsidRDefault="00AE1F83" w:rsidP="008D7B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0EE5D94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45BC367"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0F641E2A"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19B5A44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2CD05C2"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2E62A737"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42E57E1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6AF8B9"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AD4CA5D" w14:textId="6DE6E3C9" w:rsidR="00DA0383" w:rsidRPr="008D6085" w:rsidRDefault="002861D6" w:rsidP="002861D6">
            <w:pPr>
              <w:pStyle w:val="Poglavje"/>
              <w:widowControl w:val="0"/>
              <w:spacing w:before="0" w:after="0" w:line="260" w:lineRule="exact"/>
              <w:ind w:left="3400"/>
              <w:jc w:val="left"/>
              <w:rPr>
                <w:b w:val="0"/>
                <w:sz w:val="20"/>
                <w:szCs w:val="20"/>
              </w:rPr>
            </w:pPr>
            <w:r>
              <w:rPr>
                <w:b w:val="0"/>
                <w:sz w:val="20"/>
                <w:szCs w:val="20"/>
              </w:rPr>
              <w:t>dr. Klemen Ploštajner</w:t>
            </w:r>
          </w:p>
          <w:p w14:paraId="006446FA" w14:textId="15C18671" w:rsidR="00DA0383" w:rsidRPr="008D6085" w:rsidRDefault="002861D6" w:rsidP="002861D6">
            <w:pPr>
              <w:pStyle w:val="Poglavje"/>
              <w:widowControl w:val="0"/>
              <w:spacing w:before="0" w:after="0" w:line="260" w:lineRule="exact"/>
              <w:ind w:left="3400"/>
              <w:jc w:val="left"/>
              <w:rPr>
                <w:b w:val="0"/>
                <w:sz w:val="20"/>
                <w:szCs w:val="20"/>
              </w:rPr>
            </w:pPr>
            <w:r>
              <w:rPr>
                <w:b w:val="0"/>
                <w:sz w:val="20"/>
                <w:szCs w:val="20"/>
              </w:rPr>
              <w:t xml:space="preserve">     državni sekretar</w:t>
            </w:r>
          </w:p>
          <w:p w14:paraId="7F74E797"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7924453F" w14:textId="77777777" w:rsidR="00522F38" w:rsidRPr="00494D8D" w:rsidRDefault="00522F38" w:rsidP="00522F38">
      <w:pPr>
        <w:keepLines/>
        <w:spacing w:line="276" w:lineRule="auto"/>
        <w:ind w:right="962"/>
        <w:jc w:val="right"/>
        <w:rPr>
          <w:rFonts w:cs="Arial"/>
          <w:b/>
          <w:szCs w:val="20"/>
        </w:rPr>
      </w:pPr>
      <w:r w:rsidRPr="00494D8D">
        <w:rPr>
          <w:rFonts w:cs="Arial"/>
          <w:b/>
          <w:szCs w:val="20"/>
        </w:rPr>
        <w:lastRenderedPageBreak/>
        <w:t>PREDLOG</w:t>
      </w:r>
      <w:r>
        <w:rPr>
          <w:rFonts w:cs="Arial"/>
          <w:b/>
          <w:szCs w:val="20"/>
        </w:rPr>
        <w:t xml:space="preserve"> SKLEPA</w:t>
      </w:r>
    </w:p>
    <w:p w14:paraId="7F8187DB" w14:textId="77777777" w:rsidR="00522F38" w:rsidRDefault="00522F38"/>
    <w:p w14:paraId="2745D412" w14:textId="0D0D8BA3" w:rsidR="0010209E" w:rsidRDefault="0010209E" w:rsidP="0010209E">
      <w:pPr>
        <w:overflowPunct w:val="0"/>
        <w:autoSpaceDE w:val="0"/>
        <w:autoSpaceDN w:val="0"/>
        <w:adjustRightInd w:val="0"/>
        <w:spacing w:line="260" w:lineRule="exact"/>
        <w:jc w:val="both"/>
        <w:textAlignment w:val="baseline"/>
        <w:rPr>
          <w:rFonts w:cs="Arial"/>
          <w:noProof/>
          <w:color w:val="000000"/>
          <w:szCs w:val="20"/>
          <w:lang w:eastAsia="sl-SI"/>
        </w:rPr>
      </w:pPr>
      <w:r w:rsidRPr="00414758">
        <w:rPr>
          <w:rFonts w:cs="Arial"/>
          <w:noProof/>
          <w:color w:val="000000"/>
          <w:szCs w:val="20"/>
          <w:lang w:eastAsia="sl-SI"/>
        </w:rPr>
        <w:t xml:space="preserve">Na podlagi </w:t>
      </w:r>
      <w:r w:rsidR="00C30648">
        <w:rPr>
          <w:rFonts w:cs="Arial"/>
          <w:noProof/>
          <w:color w:val="000000"/>
          <w:szCs w:val="20"/>
          <w:lang w:eastAsia="sl-SI"/>
        </w:rPr>
        <w:t xml:space="preserve">prve alineje prvega odstavka in </w:t>
      </w:r>
      <w:r w:rsidRPr="00414758">
        <w:rPr>
          <w:rFonts w:cs="Arial"/>
          <w:noProof/>
          <w:color w:val="000000"/>
          <w:szCs w:val="20"/>
          <w:lang w:eastAsia="sl-SI"/>
        </w:rPr>
        <w:t xml:space="preserve">drugega odstavka 10. člena </w:t>
      </w:r>
      <w:r w:rsidRPr="00AF4A40">
        <w:rPr>
          <w:rFonts w:cs="Arial"/>
          <w:noProof/>
          <w:color w:val="000000"/>
          <w:szCs w:val="20"/>
          <w:lang w:eastAsia="sl-SI"/>
        </w:rPr>
        <w:t>Zakon</w:t>
      </w:r>
      <w:r>
        <w:rPr>
          <w:rFonts w:cs="Arial"/>
          <w:noProof/>
          <w:color w:val="000000"/>
          <w:szCs w:val="20"/>
          <w:lang w:eastAsia="sl-SI"/>
        </w:rPr>
        <w:t>a</w:t>
      </w:r>
      <w:r w:rsidRPr="00AF4A40">
        <w:rPr>
          <w:rFonts w:cs="Arial"/>
          <w:noProof/>
          <w:color w:val="000000"/>
          <w:szCs w:val="20"/>
          <w:lang w:eastAsia="sl-SI"/>
        </w:rPr>
        <w:t xml:space="preserve"> o javnih skladih (Uradni list RS, št. 77/08, 8/10 – ZSKZ-B, 61/20 – ZDLGPE in 206/21 – ZDUPŠOP</w:t>
      </w:r>
      <w:r w:rsidR="003F2783">
        <w:rPr>
          <w:rFonts w:cs="Arial"/>
          <w:noProof/>
          <w:color w:val="000000"/>
          <w:szCs w:val="20"/>
          <w:lang w:eastAsia="sl-SI"/>
        </w:rPr>
        <w:t xml:space="preserve">) </w:t>
      </w:r>
      <w:r w:rsidRPr="00414758">
        <w:rPr>
          <w:rFonts w:cs="Arial"/>
          <w:noProof/>
          <w:color w:val="000000"/>
          <w:szCs w:val="20"/>
          <w:lang w:eastAsia="sl-SI"/>
        </w:rPr>
        <w:t xml:space="preserve">in </w:t>
      </w:r>
      <w:r w:rsidR="00C30648">
        <w:rPr>
          <w:rFonts w:cs="Arial"/>
          <w:noProof/>
          <w:color w:val="000000"/>
          <w:szCs w:val="20"/>
          <w:lang w:eastAsia="sl-SI"/>
        </w:rPr>
        <w:t xml:space="preserve">drugega odstavka </w:t>
      </w:r>
      <w:r w:rsidRPr="00414758">
        <w:rPr>
          <w:rFonts w:cs="Arial"/>
          <w:noProof/>
          <w:color w:val="000000"/>
          <w:szCs w:val="20"/>
          <w:lang w:eastAsia="sl-SI"/>
        </w:rPr>
        <w:t xml:space="preserve">4. člena </w:t>
      </w:r>
      <w:r w:rsidRPr="00AF4A40">
        <w:rPr>
          <w:rFonts w:cs="Arial"/>
          <w:noProof/>
          <w:color w:val="000000"/>
          <w:szCs w:val="20"/>
          <w:lang w:eastAsia="sl-SI"/>
        </w:rPr>
        <w:t>Akt</w:t>
      </w:r>
      <w:r>
        <w:rPr>
          <w:rFonts w:cs="Arial"/>
          <w:noProof/>
          <w:color w:val="000000"/>
          <w:szCs w:val="20"/>
          <w:lang w:eastAsia="sl-SI"/>
        </w:rPr>
        <w:t>a</w:t>
      </w:r>
      <w:r w:rsidRPr="00AF4A40">
        <w:rPr>
          <w:rFonts w:cs="Arial"/>
          <w:noProof/>
          <w:color w:val="000000"/>
          <w:szCs w:val="20"/>
          <w:lang w:eastAsia="sl-SI"/>
        </w:rPr>
        <w:t xml:space="preserve"> o ustanovitvi Stanovanjskega sklada Republike Slovenije kot javnega sklada (Uradni list RS, št. 6/11, 60/17, 17/18, 4/19</w:t>
      </w:r>
      <w:r w:rsidR="004044DB">
        <w:rPr>
          <w:rFonts w:cs="Arial"/>
          <w:noProof/>
          <w:color w:val="000000"/>
          <w:szCs w:val="20"/>
          <w:lang w:eastAsia="sl-SI"/>
        </w:rPr>
        <w:t>,</w:t>
      </w:r>
      <w:r w:rsidRPr="00AF4A40">
        <w:rPr>
          <w:rFonts w:cs="Arial"/>
          <w:noProof/>
          <w:color w:val="000000"/>
          <w:szCs w:val="20"/>
          <w:lang w:eastAsia="sl-SI"/>
        </w:rPr>
        <w:t xml:space="preserve"> 31/21</w:t>
      </w:r>
      <w:r w:rsidR="00F4304D">
        <w:rPr>
          <w:rFonts w:cs="Arial"/>
          <w:noProof/>
          <w:color w:val="000000"/>
          <w:szCs w:val="20"/>
          <w:lang w:eastAsia="sl-SI"/>
        </w:rPr>
        <w:t xml:space="preserve">, </w:t>
      </w:r>
      <w:r w:rsidR="004044DB">
        <w:rPr>
          <w:rFonts w:cs="Arial"/>
          <w:noProof/>
          <w:color w:val="000000"/>
          <w:szCs w:val="20"/>
          <w:lang w:eastAsia="sl-SI"/>
        </w:rPr>
        <w:t>132/23</w:t>
      </w:r>
      <w:r w:rsidR="00F4304D">
        <w:rPr>
          <w:rFonts w:cs="Arial"/>
          <w:noProof/>
          <w:color w:val="000000"/>
          <w:szCs w:val="20"/>
          <w:lang w:eastAsia="sl-SI"/>
        </w:rPr>
        <w:t xml:space="preserve"> in 87/24</w:t>
      </w:r>
      <w:r w:rsidRPr="00AF4A40">
        <w:rPr>
          <w:rFonts w:cs="Arial"/>
          <w:noProof/>
          <w:color w:val="000000"/>
          <w:szCs w:val="20"/>
          <w:lang w:eastAsia="sl-SI"/>
        </w:rPr>
        <w:t>)</w:t>
      </w:r>
      <w:r w:rsidRPr="00414758">
        <w:rPr>
          <w:rFonts w:cs="Arial"/>
          <w:noProof/>
          <w:color w:val="000000"/>
          <w:szCs w:val="20"/>
          <w:lang w:eastAsia="sl-SI"/>
        </w:rPr>
        <w:t xml:space="preserve"> je Vlada Republike Slovenije na … seji, dne … sprejela naslednji</w:t>
      </w:r>
    </w:p>
    <w:p w14:paraId="3CE58597" w14:textId="77777777" w:rsidR="008D7B27" w:rsidRDefault="008D7B27" w:rsidP="0010209E">
      <w:pPr>
        <w:overflowPunct w:val="0"/>
        <w:autoSpaceDE w:val="0"/>
        <w:autoSpaceDN w:val="0"/>
        <w:adjustRightInd w:val="0"/>
        <w:spacing w:line="260" w:lineRule="exact"/>
        <w:jc w:val="both"/>
        <w:textAlignment w:val="baseline"/>
        <w:rPr>
          <w:rFonts w:cs="Arial"/>
          <w:noProof/>
          <w:color w:val="000000"/>
          <w:szCs w:val="20"/>
          <w:lang w:eastAsia="sl-SI"/>
        </w:rPr>
      </w:pPr>
    </w:p>
    <w:p w14:paraId="4C42BD88" w14:textId="77777777" w:rsidR="0010209E" w:rsidRDefault="0010209E" w:rsidP="0010209E">
      <w:pPr>
        <w:overflowPunct w:val="0"/>
        <w:autoSpaceDE w:val="0"/>
        <w:autoSpaceDN w:val="0"/>
        <w:adjustRightInd w:val="0"/>
        <w:spacing w:line="260" w:lineRule="exact"/>
        <w:jc w:val="center"/>
        <w:textAlignment w:val="baseline"/>
        <w:rPr>
          <w:rFonts w:cs="Arial"/>
          <w:b/>
          <w:noProof/>
          <w:color w:val="000000"/>
          <w:szCs w:val="20"/>
          <w:lang w:val="en-US" w:eastAsia="sl-SI"/>
        </w:rPr>
      </w:pPr>
      <w:r w:rsidRPr="00F1479E">
        <w:rPr>
          <w:rFonts w:cs="Arial"/>
          <w:b/>
          <w:noProof/>
          <w:color w:val="000000"/>
          <w:szCs w:val="20"/>
          <w:lang w:val="en-US" w:eastAsia="sl-SI"/>
        </w:rPr>
        <w:t>SKLEP</w:t>
      </w:r>
      <w:r>
        <w:rPr>
          <w:rFonts w:cs="Arial"/>
          <w:b/>
          <w:noProof/>
          <w:color w:val="000000"/>
          <w:szCs w:val="20"/>
          <w:lang w:val="en-US" w:eastAsia="sl-SI"/>
        </w:rPr>
        <w:t>:</w:t>
      </w:r>
    </w:p>
    <w:p w14:paraId="376DF5C8" w14:textId="77777777" w:rsidR="0010209E" w:rsidRPr="00494D8D" w:rsidRDefault="0010209E" w:rsidP="0010209E">
      <w:pPr>
        <w:overflowPunct w:val="0"/>
        <w:autoSpaceDE w:val="0"/>
        <w:autoSpaceDN w:val="0"/>
        <w:adjustRightInd w:val="0"/>
        <w:spacing w:line="260" w:lineRule="exact"/>
        <w:jc w:val="center"/>
        <w:textAlignment w:val="baseline"/>
        <w:rPr>
          <w:rFonts w:cs="Arial"/>
          <w:b/>
          <w:noProof/>
          <w:color w:val="000000"/>
          <w:szCs w:val="20"/>
          <w:lang w:val="en-US" w:eastAsia="sl-SI"/>
        </w:rPr>
      </w:pPr>
    </w:p>
    <w:p w14:paraId="107AB84D" w14:textId="6B205106" w:rsidR="007969B8" w:rsidRDefault="007969B8" w:rsidP="007969B8">
      <w:pPr>
        <w:pStyle w:val="Odstavekseznama"/>
        <w:numPr>
          <w:ilvl w:val="0"/>
          <w:numId w:val="14"/>
        </w:numPr>
        <w:overflowPunct w:val="0"/>
        <w:autoSpaceDE w:val="0"/>
        <w:autoSpaceDN w:val="0"/>
        <w:adjustRightInd w:val="0"/>
        <w:spacing w:line="260" w:lineRule="exact"/>
        <w:jc w:val="both"/>
        <w:textAlignment w:val="baseline"/>
        <w:rPr>
          <w:rFonts w:cs="Arial"/>
        </w:rPr>
      </w:pPr>
      <w:r w:rsidRPr="00C65226">
        <w:rPr>
          <w:rFonts w:cs="Arial"/>
        </w:rPr>
        <w:t xml:space="preserve">Namensko premoženje in kapital Stanovanjskega sklada Republike Slovenije, javnega sklada, </w:t>
      </w:r>
      <w:r w:rsidRPr="00902CB0">
        <w:rPr>
          <w:rFonts w:cs="Arial"/>
        </w:rPr>
        <w:t xml:space="preserve">se </w:t>
      </w:r>
      <w:r w:rsidRPr="00C65226">
        <w:rPr>
          <w:rFonts w:cs="Arial"/>
        </w:rPr>
        <w:t xml:space="preserve">povečata z </w:t>
      </w:r>
      <w:r>
        <w:rPr>
          <w:rFonts w:cs="Arial"/>
        </w:rPr>
        <w:t>izplačilom sredstev v višin</w:t>
      </w:r>
      <w:r w:rsidRPr="00C65226">
        <w:rPr>
          <w:rFonts w:cs="Arial"/>
        </w:rPr>
        <w:t xml:space="preserve">i </w:t>
      </w:r>
      <w:r w:rsidR="00F4304D">
        <w:rPr>
          <w:rFonts w:cs="Arial"/>
        </w:rPr>
        <w:t>100</w:t>
      </w:r>
      <w:r w:rsidRPr="003D7DBE">
        <w:rPr>
          <w:rFonts w:cs="Arial"/>
        </w:rPr>
        <w:t>.</w:t>
      </w:r>
      <w:r w:rsidR="00F4304D">
        <w:rPr>
          <w:rFonts w:cs="Arial"/>
        </w:rPr>
        <w:t>0</w:t>
      </w:r>
      <w:r w:rsidRPr="003D7DBE">
        <w:rPr>
          <w:rFonts w:cs="Arial"/>
        </w:rPr>
        <w:t>00.000</w:t>
      </w:r>
      <w:r>
        <w:rPr>
          <w:rFonts w:cs="Arial"/>
        </w:rPr>
        <w:t>,00</w:t>
      </w:r>
      <w:r w:rsidRPr="003D7DBE">
        <w:rPr>
          <w:rFonts w:cs="Arial"/>
        </w:rPr>
        <w:t xml:space="preserve"> </w:t>
      </w:r>
      <w:proofErr w:type="gramStart"/>
      <w:r w:rsidRPr="003D7DBE">
        <w:rPr>
          <w:rFonts w:cs="Arial"/>
        </w:rPr>
        <w:t>evr</w:t>
      </w:r>
      <w:r w:rsidR="00B07131">
        <w:rPr>
          <w:rFonts w:cs="Arial"/>
        </w:rPr>
        <w:t>ov</w:t>
      </w:r>
      <w:proofErr w:type="gramEnd"/>
      <w:r w:rsidRPr="003D7DBE">
        <w:rPr>
          <w:rFonts w:cs="Arial"/>
        </w:rPr>
        <w:t xml:space="preserve"> s proračunske postavke </w:t>
      </w:r>
      <w:r w:rsidR="008D7B27">
        <w:rPr>
          <w:rFonts w:cs="Arial"/>
        </w:rPr>
        <w:t>–</w:t>
      </w:r>
      <w:r>
        <w:rPr>
          <w:rFonts w:cs="Arial"/>
        </w:rPr>
        <w:t xml:space="preserve"> </w:t>
      </w:r>
      <w:r w:rsidR="008D7B27">
        <w:t xml:space="preserve">231655 </w:t>
      </w:r>
      <w:r w:rsidRPr="003D7DBE">
        <w:rPr>
          <w:rFonts w:cs="Arial"/>
        </w:rPr>
        <w:t>Dokapitalizacija Stanovanjskega sklada RS.</w:t>
      </w:r>
    </w:p>
    <w:p w14:paraId="4EFD0FC1" w14:textId="77777777" w:rsidR="007969B8" w:rsidRDefault="007969B8" w:rsidP="007969B8">
      <w:pPr>
        <w:pStyle w:val="Odstavekseznama"/>
        <w:overflowPunct w:val="0"/>
        <w:autoSpaceDE w:val="0"/>
        <w:autoSpaceDN w:val="0"/>
        <w:adjustRightInd w:val="0"/>
        <w:spacing w:line="260" w:lineRule="exact"/>
        <w:jc w:val="both"/>
        <w:textAlignment w:val="baseline"/>
        <w:rPr>
          <w:rFonts w:cs="Arial"/>
        </w:rPr>
      </w:pPr>
    </w:p>
    <w:p w14:paraId="5D523847" w14:textId="77777777" w:rsidR="0010209E" w:rsidRPr="003F2783" w:rsidRDefault="007969B8" w:rsidP="00AB0D1D">
      <w:pPr>
        <w:pStyle w:val="Odstavekseznama"/>
        <w:numPr>
          <w:ilvl w:val="0"/>
          <w:numId w:val="14"/>
        </w:numPr>
        <w:rPr>
          <w:noProof/>
          <w:color w:val="000000"/>
          <w:szCs w:val="20"/>
          <w:lang w:eastAsia="sl-SI"/>
        </w:rPr>
      </w:pPr>
      <w:r w:rsidRPr="00613ECD">
        <w:rPr>
          <w:rFonts w:cs="Arial"/>
          <w:color w:val="000000"/>
        </w:rPr>
        <w:t>Povečanje, vrednost ter vrsta namenskega premoženja in kapitala iz prejšnje točke se vpišejo v sodni register.</w:t>
      </w:r>
    </w:p>
    <w:p w14:paraId="3645DB7A" w14:textId="77777777" w:rsidR="0010209E" w:rsidRPr="003F2783" w:rsidRDefault="0010209E" w:rsidP="0010209E">
      <w:pPr>
        <w:overflowPunct w:val="0"/>
        <w:autoSpaceDE w:val="0"/>
        <w:autoSpaceDN w:val="0"/>
        <w:adjustRightInd w:val="0"/>
        <w:spacing w:line="260" w:lineRule="exact"/>
        <w:ind w:left="360"/>
        <w:jc w:val="both"/>
        <w:textAlignment w:val="baseline"/>
        <w:rPr>
          <w:rFonts w:cs="Arial"/>
          <w:noProof/>
          <w:color w:val="000000"/>
          <w:szCs w:val="20"/>
        </w:rPr>
      </w:pPr>
    </w:p>
    <w:p w14:paraId="3101AF70" w14:textId="77777777" w:rsidR="0010209E" w:rsidRDefault="0010209E" w:rsidP="0010209E">
      <w:p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Sklep prejmejo:</w:t>
      </w:r>
    </w:p>
    <w:p w14:paraId="28B4268B" w14:textId="77777777" w:rsidR="0010209E" w:rsidRPr="00795202" w:rsidRDefault="0010209E" w:rsidP="0010209E">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sidRPr="00795202">
        <w:rPr>
          <w:rFonts w:cs="Arial"/>
          <w:iCs/>
          <w:szCs w:val="20"/>
          <w:lang w:eastAsia="sl-SI"/>
        </w:rPr>
        <w:t>Ministrstvo za solidarno prihodnost</w:t>
      </w:r>
    </w:p>
    <w:p w14:paraId="22376795" w14:textId="77777777" w:rsidR="0010209E" w:rsidRDefault="0010209E" w:rsidP="0010209E">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Stanovanjski sklad Republike Slovenije</w:t>
      </w:r>
      <w:r w:rsidR="007969B8">
        <w:rPr>
          <w:rFonts w:cs="Arial"/>
          <w:iCs/>
          <w:szCs w:val="20"/>
          <w:lang w:eastAsia="sl-SI"/>
        </w:rPr>
        <w:t>, javni sklad</w:t>
      </w:r>
    </w:p>
    <w:p w14:paraId="428D84BD" w14:textId="77777777" w:rsidR="0010209E" w:rsidRDefault="0010209E" w:rsidP="0010209E">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Ministrstvo za finance</w:t>
      </w:r>
    </w:p>
    <w:p w14:paraId="4A2A16AF" w14:textId="77777777" w:rsidR="0010209E" w:rsidRDefault="0010209E" w:rsidP="0010209E">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Služba vlade RS za zakonodajo</w:t>
      </w:r>
    </w:p>
    <w:p w14:paraId="4BB5111D" w14:textId="77777777" w:rsidR="0010209E" w:rsidRPr="00795202" w:rsidRDefault="0010209E" w:rsidP="0010209E">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Urad vlade RS za komuniciranje</w:t>
      </w:r>
    </w:p>
    <w:p w14:paraId="7C5E61B2" w14:textId="77777777" w:rsidR="00522F38" w:rsidRDefault="00522F38"/>
    <w:p w14:paraId="4BD6D38A" w14:textId="77777777" w:rsidR="00522F38" w:rsidRDefault="00522F38"/>
    <w:p w14:paraId="0B7E21F0" w14:textId="77777777" w:rsidR="00522F38" w:rsidRDefault="00522F38"/>
    <w:p w14:paraId="00E8AEA3" w14:textId="77777777" w:rsidR="00522F38" w:rsidRDefault="00522F38"/>
    <w:p w14:paraId="79804A66" w14:textId="77777777" w:rsidR="00522F38" w:rsidRDefault="00522F38"/>
    <w:p w14:paraId="49B32B2F" w14:textId="77777777" w:rsidR="0010209E" w:rsidRDefault="0010209E"/>
    <w:p w14:paraId="798C8050" w14:textId="77777777" w:rsidR="0010209E" w:rsidRDefault="0010209E"/>
    <w:p w14:paraId="1E237FE4" w14:textId="77777777" w:rsidR="0010209E" w:rsidRDefault="0010209E"/>
    <w:p w14:paraId="52EE06FF" w14:textId="77777777" w:rsidR="0010209E" w:rsidRDefault="0010209E"/>
    <w:p w14:paraId="108F552F" w14:textId="77777777" w:rsidR="00522F38" w:rsidRDefault="00522F38"/>
    <w:p w14:paraId="65C398CE" w14:textId="77777777" w:rsidR="008D7B27" w:rsidRDefault="008D7B27"/>
    <w:p w14:paraId="1BCA0189" w14:textId="77777777" w:rsidR="003F2783" w:rsidRDefault="003F2783"/>
    <w:p w14:paraId="2FA9B16C" w14:textId="77777777" w:rsidR="00522F38" w:rsidRDefault="00522F38"/>
    <w:p w14:paraId="1C084F1C" w14:textId="77777777" w:rsidR="00522F38" w:rsidRDefault="00522F38"/>
    <w:p w14:paraId="05CF949B" w14:textId="77777777" w:rsidR="007969B8" w:rsidRDefault="007969B8"/>
    <w:p w14:paraId="0784B0F7" w14:textId="77777777" w:rsidR="007969B8" w:rsidRDefault="007969B8"/>
    <w:p w14:paraId="08859F1E" w14:textId="77777777" w:rsidR="00522F38" w:rsidRDefault="00522F38" w:rsidP="00C16373">
      <w:pPr>
        <w:keepLines/>
        <w:spacing w:line="240" w:lineRule="auto"/>
        <w:jc w:val="center"/>
        <w:rPr>
          <w:b/>
        </w:rPr>
      </w:pPr>
      <w:r w:rsidRPr="00494D8D">
        <w:rPr>
          <w:b/>
        </w:rPr>
        <w:lastRenderedPageBreak/>
        <w:t>OBRAZLOŽITEV</w:t>
      </w:r>
    </w:p>
    <w:p w14:paraId="0935FBE6" w14:textId="77777777" w:rsidR="00C16373" w:rsidRPr="00494D8D" w:rsidRDefault="00C16373" w:rsidP="003F2783">
      <w:pPr>
        <w:keepLines/>
        <w:spacing w:line="240" w:lineRule="auto"/>
        <w:jc w:val="center"/>
        <w:rPr>
          <w:b/>
        </w:rPr>
      </w:pPr>
    </w:p>
    <w:p w14:paraId="770D4A4B" w14:textId="08B997DD" w:rsidR="00D0580B" w:rsidRDefault="00D0580B" w:rsidP="00D0580B">
      <w:pPr>
        <w:spacing w:line="288" w:lineRule="auto"/>
        <w:jc w:val="both"/>
        <w:rPr>
          <w:rFonts w:cs="Arial"/>
          <w:szCs w:val="20"/>
        </w:rPr>
      </w:pPr>
      <w:r w:rsidRPr="00494D8D">
        <w:rPr>
          <w:rFonts w:cs="Arial"/>
          <w:szCs w:val="20"/>
        </w:rPr>
        <w:t xml:space="preserve">Skladno z 10. členom </w:t>
      </w:r>
      <w:r w:rsidR="003F2783">
        <w:rPr>
          <w:rFonts w:cs="Arial"/>
          <w:szCs w:val="20"/>
        </w:rPr>
        <w:t xml:space="preserve">Zakona o javnih skladih </w:t>
      </w:r>
      <w:r w:rsidR="007969B8">
        <w:rPr>
          <w:rFonts w:cs="Arial"/>
          <w:szCs w:val="20"/>
        </w:rPr>
        <w:t>(</w:t>
      </w:r>
      <w:r w:rsidR="003F2783" w:rsidRPr="003F2783">
        <w:rPr>
          <w:rFonts w:cs="Arial"/>
          <w:szCs w:val="20"/>
        </w:rPr>
        <w:t>Uradni list RS, št. 77/08, 8/10 – ZSKZ-B, 61/20 – ZDLGPE in 206/21 – ZDUPŠOP</w:t>
      </w:r>
      <w:r w:rsidR="003F2783">
        <w:rPr>
          <w:rFonts w:cs="Arial"/>
          <w:szCs w:val="20"/>
        </w:rPr>
        <w:t>; v nadaljevanju</w:t>
      </w:r>
      <w:r w:rsidR="00802C4A">
        <w:rPr>
          <w:rFonts w:cs="Arial"/>
          <w:szCs w:val="20"/>
        </w:rPr>
        <w:t>:</w:t>
      </w:r>
      <w:r w:rsidR="003F2783">
        <w:rPr>
          <w:rFonts w:cs="Arial"/>
          <w:szCs w:val="20"/>
        </w:rPr>
        <w:t xml:space="preserve"> </w:t>
      </w:r>
      <w:r w:rsidRPr="00494D8D">
        <w:rPr>
          <w:rFonts w:cs="Arial"/>
          <w:szCs w:val="20"/>
        </w:rPr>
        <w:t>ZJS-1</w:t>
      </w:r>
      <w:r w:rsidR="003F2783">
        <w:rPr>
          <w:rFonts w:cs="Arial"/>
          <w:szCs w:val="20"/>
        </w:rPr>
        <w:t>)</w:t>
      </w:r>
      <w:r w:rsidRPr="00494D8D">
        <w:rPr>
          <w:rFonts w:cs="Arial"/>
          <w:szCs w:val="20"/>
        </w:rPr>
        <w:t xml:space="preserve"> se namensko premoženje in kapital javnega sklada lahko sočasno povečata z vplačilom dodatnega namenskega premoženja v kapital javnega sklada s strani ustanovitelja. Ustanovitelj v tem primeru zagotovi dodatno namensko premoženje s sklepom, iz katerega sta razvidni vrsta in vrednost dodatnega namenskega premoženja, ki ga kot kapital vplačuje v javni sklad. Povečanje kapitala javnega sklada z vplačilom dodatnega premoženja se vpiše v sodni register. Predlog za vpis povečanja kapitala javnega sklada v sodni register </w:t>
      </w:r>
      <w:r w:rsidR="00425EE2">
        <w:rPr>
          <w:rFonts w:cs="Arial"/>
          <w:szCs w:val="20"/>
        </w:rPr>
        <w:t xml:space="preserve">v </w:t>
      </w:r>
      <w:r w:rsidR="00802C4A">
        <w:rPr>
          <w:rFonts w:cs="Arial"/>
          <w:szCs w:val="20"/>
        </w:rPr>
        <w:t>sklad</w:t>
      </w:r>
      <w:r w:rsidR="00425EE2">
        <w:rPr>
          <w:rFonts w:cs="Arial"/>
          <w:szCs w:val="20"/>
        </w:rPr>
        <w:t>u</w:t>
      </w:r>
      <w:r w:rsidR="00802C4A">
        <w:rPr>
          <w:rFonts w:cs="Arial"/>
          <w:szCs w:val="20"/>
        </w:rPr>
        <w:t xml:space="preserve"> z določbo </w:t>
      </w:r>
      <w:r w:rsidR="00425EE2">
        <w:rPr>
          <w:rFonts w:cs="Arial"/>
          <w:szCs w:val="20"/>
        </w:rPr>
        <w:t>petega</w:t>
      </w:r>
      <w:r w:rsidR="00802C4A">
        <w:rPr>
          <w:rFonts w:cs="Arial"/>
          <w:szCs w:val="20"/>
        </w:rPr>
        <w:t xml:space="preserve"> odstavka 10. člena ZJS-</w:t>
      </w:r>
      <w:r w:rsidR="00425EE2">
        <w:rPr>
          <w:rFonts w:cs="Arial"/>
          <w:szCs w:val="20"/>
        </w:rPr>
        <w:t>1</w:t>
      </w:r>
      <w:r w:rsidR="00802C4A">
        <w:rPr>
          <w:rFonts w:cs="Arial"/>
          <w:szCs w:val="20"/>
        </w:rPr>
        <w:t xml:space="preserve"> </w:t>
      </w:r>
      <w:r w:rsidRPr="00494D8D">
        <w:rPr>
          <w:rFonts w:cs="Arial"/>
          <w:szCs w:val="20"/>
        </w:rPr>
        <w:t>predloži direktor javnega sklada. Za postopek izročanja premoženja in vpis povečanja kapitala se smiselno uporabljajo določbe o izročanju premoženja in vpisu kapitala javnega sklada ob ustanovitvi.</w:t>
      </w:r>
    </w:p>
    <w:p w14:paraId="68816B00" w14:textId="5F9E9BF0" w:rsidR="00310B8F" w:rsidRDefault="005F6744" w:rsidP="00D0580B">
      <w:pPr>
        <w:spacing w:line="288" w:lineRule="auto"/>
        <w:jc w:val="both"/>
        <w:rPr>
          <w:rFonts w:cs="Arial"/>
          <w:szCs w:val="20"/>
        </w:rPr>
      </w:pPr>
      <w:r>
        <w:rPr>
          <w:rFonts w:cs="Arial"/>
          <w:szCs w:val="20"/>
        </w:rPr>
        <w:t xml:space="preserve">SSRS je skladno s Stanovanjskim zakonom </w:t>
      </w:r>
      <w:r w:rsidRPr="005F6744">
        <w:rPr>
          <w:rFonts w:cs="Arial"/>
          <w:szCs w:val="20"/>
        </w:rPr>
        <w:t xml:space="preserve">(Uradni list RS, št. 69/03, 18/04 – ZVKSES, 47/06 – ZEN, 45/08 – </w:t>
      </w:r>
      <w:proofErr w:type="spellStart"/>
      <w:r w:rsidRPr="005F6744">
        <w:rPr>
          <w:rFonts w:cs="Arial"/>
          <w:szCs w:val="20"/>
        </w:rPr>
        <w:t>ZVEtL</w:t>
      </w:r>
      <w:proofErr w:type="spellEnd"/>
      <w:r w:rsidRPr="005F6744">
        <w:rPr>
          <w:rFonts w:cs="Arial"/>
          <w:szCs w:val="20"/>
        </w:rPr>
        <w:t xml:space="preserve">, 57/08, 62/10 – ZUPJS, 56/11 – </w:t>
      </w:r>
      <w:proofErr w:type="gramStart"/>
      <w:r w:rsidRPr="005F6744">
        <w:rPr>
          <w:rFonts w:cs="Arial"/>
          <w:szCs w:val="20"/>
        </w:rPr>
        <w:t>odl</w:t>
      </w:r>
      <w:proofErr w:type="gramEnd"/>
      <w:r w:rsidRPr="005F6744">
        <w:rPr>
          <w:rFonts w:cs="Arial"/>
          <w:szCs w:val="20"/>
        </w:rPr>
        <w:t xml:space="preserve">. US, 87/11, 40/12 – ZUJF, 14/17 – </w:t>
      </w:r>
      <w:proofErr w:type="gramStart"/>
      <w:r w:rsidRPr="005F6744">
        <w:rPr>
          <w:rFonts w:cs="Arial"/>
          <w:szCs w:val="20"/>
        </w:rPr>
        <w:t>odl</w:t>
      </w:r>
      <w:proofErr w:type="gramEnd"/>
      <w:r w:rsidRPr="005F6744">
        <w:rPr>
          <w:rFonts w:cs="Arial"/>
          <w:szCs w:val="20"/>
        </w:rPr>
        <w:t>. US, 27/17, 59/19, 189/20 – ZFRO, 90/21, 18/23 – ZDU-1O</w:t>
      </w:r>
      <w:r w:rsidR="00E5475C">
        <w:rPr>
          <w:rFonts w:cs="Arial"/>
          <w:szCs w:val="20"/>
        </w:rPr>
        <w:t>,</w:t>
      </w:r>
      <w:r w:rsidRPr="005F6744">
        <w:rPr>
          <w:rFonts w:cs="Arial"/>
          <w:szCs w:val="20"/>
        </w:rPr>
        <w:t xml:space="preserve"> 77/23 – </w:t>
      </w:r>
      <w:proofErr w:type="gramStart"/>
      <w:r w:rsidRPr="005F6744">
        <w:rPr>
          <w:rFonts w:cs="Arial"/>
          <w:szCs w:val="20"/>
        </w:rPr>
        <w:t>odl</w:t>
      </w:r>
      <w:proofErr w:type="gramEnd"/>
      <w:r w:rsidRPr="005F6744">
        <w:rPr>
          <w:rFonts w:cs="Arial"/>
          <w:szCs w:val="20"/>
        </w:rPr>
        <w:t>. US</w:t>
      </w:r>
      <w:r w:rsidR="00E5475C">
        <w:rPr>
          <w:rFonts w:cs="Arial"/>
          <w:szCs w:val="20"/>
        </w:rPr>
        <w:t xml:space="preserve"> in 61/24</w:t>
      </w:r>
      <w:r w:rsidRPr="005F6744">
        <w:rPr>
          <w:rFonts w:cs="Arial"/>
          <w:szCs w:val="20"/>
        </w:rPr>
        <w:t>; v nadaljevanju: SZ-1</w:t>
      </w:r>
      <w:r>
        <w:rPr>
          <w:rFonts w:cs="Arial"/>
          <w:szCs w:val="20"/>
        </w:rPr>
        <w:t>) javni finančni in nepremičninski sklad, ustanovljen za financiranje in izvajanje nacionalnega stanovanjskega programa in opravljanje drugih nalog na področju spodbujanja gradnje</w:t>
      </w:r>
      <w:r w:rsidR="00310B8F">
        <w:rPr>
          <w:rFonts w:cs="Arial"/>
          <w:szCs w:val="20"/>
        </w:rPr>
        <w:t>, prenove in vzdrževanja stanovanj. V skladu z Resolucijo o nacionalnem stanovanjskem programu 2015-2025 (v nadaljevanju: ReNSP15-25), ki jo je Državni zbor sprejel 24. 11. 2015, SSRS opravlja vlogo glavnega izvajalca nacionalne stanovanjske politike, pri čemer je vodilo načelo javnega interesa in dolgoročno zagotavljanje kakovosti bivanja za vse prebivalce. Vloga SSRS pa se bo v prihodnosti še okrepila.</w:t>
      </w:r>
    </w:p>
    <w:p w14:paraId="71198EB7" w14:textId="4265147D" w:rsidR="00310B8F" w:rsidRDefault="00310B8F" w:rsidP="00D0580B">
      <w:pPr>
        <w:spacing w:line="288" w:lineRule="auto"/>
        <w:jc w:val="both"/>
        <w:rPr>
          <w:rFonts w:cs="Arial"/>
          <w:szCs w:val="20"/>
        </w:rPr>
      </w:pPr>
      <w:r>
        <w:rPr>
          <w:rFonts w:cs="Arial"/>
          <w:szCs w:val="20"/>
        </w:rPr>
        <w:t xml:space="preserve">SSRS trenutno še nima na voljo sistemskih virov financiranja. </w:t>
      </w:r>
      <w:r w:rsidRPr="00310B8F">
        <w:rPr>
          <w:rFonts w:cs="Arial"/>
          <w:szCs w:val="20"/>
        </w:rPr>
        <w:t>SSRS pretežni del virov za svoje delovanje pridobi iz prihodkov, ustvarjenih z razpolaganjem s premoženjem sklada in iz prihodkov, ustvarjenih z lastnim poslovanjem.</w:t>
      </w:r>
      <w:r>
        <w:rPr>
          <w:rFonts w:cs="Arial"/>
          <w:szCs w:val="20"/>
        </w:rPr>
        <w:t xml:space="preserve"> </w:t>
      </w:r>
      <w:r w:rsidRPr="00310B8F">
        <w:rPr>
          <w:rFonts w:cs="Arial"/>
          <w:szCs w:val="20"/>
        </w:rPr>
        <w:t>Poslovanje SSRS in uresničevanje razvojnih ciljev na stanovanjskem področju je ravno zaradi pomanjkanja ustreznega javnega financiranja omejeno in oteženo.</w:t>
      </w:r>
    </w:p>
    <w:p w14:paraId="73055B13" w14:textId="305EA4C6" w:rsidR="00032C91" w:rsidRDefault="00310B8F" w:rsidP="00D0580B">
      <w:pPr>
        <w:spacing w:line="288" w:lineRule="auto"/>
        <w:jc w:val="both"/>
        <w:rPr>
          <w:rFonts w:cs="Arial"/>
          <w:szCs w:val="20"/>
        </w:rPr>
      </w:pPr>
      <w:r w:rsidRPr="00310B8F">
        <w:rPr>
          <w:rFonts w:cs="Arial"/>
          <w:szCs w:val="20"/>
        </w:rPr>
        <w:t>Skladno s 147. členom SZ-1 se sredstva za poslovanje SSRS zagotavljajo tudi iz sredstev v državnem proračunu. Sredstva se zagotavljajo za izvajanje zakonsko predpisanih pristojnosti sklada, med katere v skladu s 148. členom SZ-1 sodi tako investiranje v gradnjo stanovanj,</w:t>
      </w:r>
      <w:r w:rsidR="00FD0488">
        <w:rPr>
          <w:rFonts w:cs="Arial"/>
          <w:szCs w:val="20"/>
        </w:rPr>
        <w:t xml:space="preserve"> kar SSRS zagotavlja z izvajanjem lastnih projektov in nakupi </w:t>
      </w:r>
      <w:r w:rsidR="00A7324A">
        <w:rPr>
          <w:rFonts w:cs="Arial"/>
          <w:szCs w:val="20"/>
        </w:rPr>
        <w:t xml:space="preserve">zemljišč in </w:t>
      </w:r>
      <w:r w:rsidR="00FD0488">
        <w:rPr>
          <w:rFonts w:cs="Arial"/>
          <w:szCs w:val="20"/>
        </w:rPr>
        <w:t>stanovanjskih enot na podlagi javnih pozivov.</w:t>
      </w:r>
      <w:r w:rsidR="0029363A">
        <w:rPr>
          <w:rFonts w:cs="Arial"/>
          <w:szCs w:val="20"/>
        </w:rPr>
        <w:t xml:space="preserve"> </w:t>
      </w:r>
      <w:r w:rsidR="00FD0488">
        <w:rPr>
          <w:rFonts w:cs="Arial"/>
          <w:szCs w:val="20"/>
        </w:rPr>
        <w:t>SSRS</w:t>
      </w:r>
      <w:proofErr w:type="gramStart"/>
      <w:r w:rsidR="0080153B">
        <w:rPr>
          <w:rFonts w:cs="Arial"/>
          <w:szCs w:val="20"/>
        </w:rPr>
        <w:t xml:space="preserve"> </w:t>
      </w:r>
      <w:r w:rsidR="00FD0488">
        <w:rPr>
          <w:rFonts w:cs="Arial"/>
          <w:szCs w:val="20"/>
        </w:rPr>
        <w:t>kot</w:t>
      </w:r>
      <w:proofErr w:type="gramEnd"/>
      <w:r w:rsidR="00FD0488">
        <w:rPr>
          <w:rFonts w:cs="Arial"/>
          <w:szCs w:val="20"/>
        </w:rPr>
        <w:t xml:space="preserve"> finančni sklad izvaja tudi naloge</w:t>
      </w:r>
      <w:r w:rsidRPr="00310B8F">
        <w:rPr>
          <w:rFonts w:cs="Arial"/>
          <w:szCs w:val="20"/>
        </w:rPr>
        <w:t xml:space="preserve"> dajanj</w:t>
      </w:r>
      <w:r w:rsidR="00FD0488">
        <w:rPr>
          <w:rFonts w:cs="Arial"/>
          <w:szCs w:val="20"/>
        </w:rPr>
        <w:t>a</w:t>
      </w:r>
      <w:r w:rsidRPr="00310B8F">
        <w:rPr>
          <w:rFonts w:cs="Arial"/>
          <w:szCs w:val="20"/>
        </w:rPr>
        <w:t xml:space="preserve"> dolgoročnih posojil po ugodni obrestni meri fizičnim in pravnim osebam za pridobivanje neprofitnih najemnih stanovanj</w:t>
      </w:r>
      <w:r w:rsidR="00FD0488">
        <w:rPr>
          <w:rFonts w:cs="Arial"/>
          <w:szCs w:val="20"/>
        </w:rPr>
        <w:t xml:space="preserve"> ter izvajanje</w:t>
      </w:r>
      <w:r w:rsidR="0029363A">
        <w:rPr>
          <w:rFonts w:cs="Arial"/>
          <w:szCs w:val="20"/>
        </w:rPr>
        <w:t xml:space="preserve"> </w:t>
      </w:r>
      <w:proofErr w:type="spellStart"/>
      <w:r w:rsidR="00B12E51">
        <w:rPr>
          <w:rFonts w:cs="Arial"/>
          <w:szCs w:val="20"/>
        </w:rPr>
        <w:t>soinvestitorstv</w:t>
      </w:r>
      <w:r w:rsidR="00FD0488">
        <w:rPr>
          <w:rFonts w:cs="Arial"/>
          <w:szCs w:val="20"/>
        </w:rPr>
        <w:t>a</w:t>
      </w:r>
      <w:proofErr w:type="spellEnd"/>
      <w:r w:rsidR="00B12E51">
        <w:rPr>
          <w:rFonts w:cs="Arial"/>
          <w:szCs w:val="20"/>
        </w:rPr>
        <w:t xml:space="preserve"> in partnerstva, ki so v </w:t>
      </w:r>
      <w:proofErr w:type="spellStart"/>
      <w:r w:rsidR="00B12E51">
        <w:rPr>
          <w:rFonts w:cs="Arial"/>
          <w:szCs w:val="20"/>
        </w:rPr>
        <w:t>150.a</w:t>
      </w:r>
      <w:proofErr w:type="spellEnd"/>
      <w:r w:rsidR="00B12E51">
        <w:rPr>
          <w:rFonts w:cs="Arial"/>
          <w:szCs w:val="20"/>
        </w:rPr>
        <w:t xml:space="preserve"> členu SZ-1 opredeljena kot sodelovanje z občinami in neprofitnimi stanovanjskimi organizacijami za pridobivanje neprofitnih najemnih stanovanj. To nalogo SSRS izvaja prek vsakokratnih Programov sofinanciranja zagotavljanja javnih najemnih stanovanjskih enot in bivalnih enot (v nadaljevanju: Program) in Program</w:t>
      </w:r>
      <w:r w:rsidR="0080153B">
        <w:rPr>
          <w:rFonts w:cs="Arial"/>
          <w:szCs w:val="20"/>
        </w:rPr>
        <w:t>ov</w:t>
      </w:r>
      <w:r w:rsidR="00B12E51">
        <w:rPr>
          <w:rFonts w:cs="Arial"/>
          <w:szCs w:val="20"/>
        </w:rPr>
        <w:t xml:space="preserve"> sofinanciranja zagotavljanja oskrbovanih stanovanj za starejše (v nadaljevanju: Program oskrbovana stanovanja). Trenutno sta v izvajanju programa za leti 2024 in 2025 in zagotavljata tako sredstva za ugodna posojila kakor tudi sredstva za </w:t>
      </w:r>
      <w:proofErr w:type="spellStart"/>
      <w:r w:rsidR="00FD0488">
        <w:rPr>
          <w:rFonts w:cs="Arial"/>
          <w:szCs w:val="20"/>
        </w:rPr>
        <w:t>soinvestitorstvo</w:t>
      </w:r>
      <w:proofErr w:type="spellEnd"/>
      <w:r w:rsidR="00B12E51">
        <w:rPr>
          <w:rFonts w:cs="Arial"/>
          <w:szCs w:val="20"/>
        </w:rPr>
        <w:t xml:space="preserve"> SSRS v sodelovanju z drugimi javnimi skladi, lokalnimi skupnostmi in pravnimi osebami s statusom neprofitne stanovanjske organizacije. </w:t>
      </w:r>
    </w:p>
    <w:p w14:paraId="24019E56" w14:textId="77777777" w:rsidR="0080153B" w:rsidRDefault="00032C91" w:rsidP="00D0580B">
      <w:pPr>
        <w:spacing w:line="288" w:lineRule="auto"/>
        <w:jc w:val="both"/>
        <w:rPr>
          <w:rFonts w:cs="Arial"/>
          <w:szCs w:val="20"/>
        </w:rPr>
      </w:pPr>
      <w:r w:rsidRPr="00032C91">
        <w:rPr>
          <w:rFonts w:cs="Arial"/>
          <w:szCs w:val="20"/>
        </w:rPr>
        <w:t>Prejeta sredstva v višini 100.000.000,00</w:t>
      </w:r>
      <w:r>
        <w:rPr>
          <w:rFonts w:cs="Arial"/>
          <w:szCs w:val="20"/>
        </w:rPr>
        <w:t xml:space="preserve"> </w:t>
      </w:r>
      <w:proofErr w:type="gramStart"/>
      <w:r>
        <w:rPr>
          <w:rFonts w:cs="Arial"/>
          <w:szCs w:val="20"/>
        </w:rPr>
        <w:t>evrov</w:t>
      </w:r>
      <w:proofErr w:type="gramEnd"/>
      <w:r w:rsidR="00310B8F" w:rsidRPr="00310B8F">
        <w:rPr>
          <w:rFonts w:cs="Arial"/>
          <w:szCs w:val="20"/>
        </w:rPr>
        <w:t xml:space="preserve"> bo SSRS</w:t>
      </w:r>
      <w:r>
        <w:rPr>
          <w:rFonts w:cs="Arial"/>
          <w:szCs w:val="20"/>
        </w:rPr>
        <w:t xml:space="preserve"> </w:t>
      </w:r>
      <w:r w:rsidR="004449FB">
        <w:rPr>
          <w:rFonts w:cs="Arial"/>
          <w:szCs w:val="20"/>
        </w:rPr>
        <w:t>namenil za zagotavljanje novih neprofitnih najemnih stanovanj</w:t>
      </w:r>
      <w:r w:rsidR="0080153B">
        <w:rPr>
          <w:rFonts w:cs="Arial"/>
          <w:szCs w:val="20"/>
        </w:rPr>
        <w:t xml:space="preserve"> </w:t>
      </w:r>
      <w:r w:rsidR="0080153B" w:rsidRPr="0080153B">
        <w:rPr>
          <w:rFonts w:cs="Arial"/>
          <w:szCs w:val="20"/>
        </w:rPr>
        <w:t>in namenskih oskrbovanih stanovanj za starejše</w:t>
      </w:r>
      <w:r w:rsidR="004449FB">
        <w:rPr>
          <w:rFonts w:cs="Arial"/>
          <w:szCs w:val="20"/>
        </w:rPr>
        <w:t xml:space="preserve"> tako v obliki izvajanja lastnih projektov</w:t>
      </w:r>
      <w:r w:rsidR="0029363A">
        <w:rPr>
          <w:rFonts w:cs="Arial"/>
          <w:szCs w:val="20"/>
        </w:rPr>
        <w:t>,</w:t>
      </w:r>
      <w:r w:rsidR="004449FB">
        <w:rPr>
          <w:rFonts w:cs="Arial"/>
          <w:szCs w:val="20"/>
        </w:rPr>
        <w:t xml:space="preserve"> kakor izvajanja Programa in Programa oskrbovan</w:t>
      </w:r>
      <w:r w:rsidR="00662BEC">
        <w:rPr>
          <w:rFonts w:cs="Arial"/>
          <w:szCs w:val="20"/>
        </w:rPr>
        <w:t>ih</w:t>
      </w:r>
      <w:r w:rsidR="004449FB">
        <w:rPr>
          <w:rFonts w:cs="Arial"/>
          <w:szCs w:val="20"/>
        </w:rPr>
        <w:t xml:space="preserve"> stanovanj. </w:t>
      </w:r>
    </w:p>
    <w:p w14:paraId="6C2A7EE9" w14:textId="52C328D0" w:rsidR="00310B8F" w:rsidRDefault="00E82342" w:rsidP="00D0580B">
      <w:pPr>
        <w:spacing w:line="288" w:lineRule="auto"/>
        <w:jc w:val="both"/>
        <w:rPr>
          <w:rFonts w:cs="Arial"/>
          <w:szCs w:val="20"/>
        </w:rPr>
      </w:pPr>
      <w:r>
        <w:rPr>
          <w:rFonts w:cs="Arial"/>
          <w:szCs w:val="20"/>
        </w:rPr>
        <w:t xml:space="preserve">Sredstva se bodo </w:t>
      </w:r>
      <w:r w:rsidR="00032C91">
        <w:rPr>
          <w:rFonts w:cs="Arial"/>
          <w:szCs w:val="20"/>
        </w:rPr>
        <w:t>primarno</w:t>
      </w:r>
      <w:r w:rsidR="00310B8F" w:rsidRPr="00310B8F">
        <w:rPr>
          <w:rFonts w:cs="Arial"/>
          <w:szCs w:val="20"/>
        </w:rPr>
        <w:t xml:space="preserve"> namenil</w:t>
      </w:r>
      <w:r w:rsidR="00572875">
        <w:rPr>
          <w:rFonts w:cs="Arial"/>
          <w:szCs w:val="20"/>
        </w:rPr>
        <w:t>a</w:t>
      </w:r>
      <w:r w:rsidR="00310B8F" w:rsidRPr="00310B8F">
        <w:rPr>
          <w:rFonts w:cs="Arial"/>
          <w:szCs w:val="20"/>
        </w:rPr>
        <w:t xml:space="preserve"> za izvajanj</w:t>
      </w:r>
      <w:r w:rsidR="008A3FEF">
        <w:rPr>
          <w:rFonts w:cs="Arial"/>
          <w:szCs w:val="20"/>
        </w:rPr>
        <w:t>e</w:t>
      </w:r>
      <w:r w:rsidR="00032C91">
        <w:rPr>
          <w:rFonts w:cs="Arial"/>
          <w:szCs w:val="20"/>
        </w:rPr>
        <w:t xml:space="preserve"> lastnih projektov stanovanjske gradnje. Glede na vsakokratne potrebe stanovanjske gradnje v Republiki Sloveniji pa lahko SSRS del prejetih sredstev nameni za okrepitev obstoječih Programov ali za pripravo </w:t>
      </w:r>
      <w:r w:rsidR="00572875">
        <w:rPr>
          <w:rFonts w:cs="Arial"/>
          <w:szCs w:val="20"/>
        </w:rPr>
        <w:t xml:space="preserve">novih, </w:t>
      </w:r>
      <w:r>
        <w:rPr>
          <w:rFonts w:cs="Arial"/>
          <w:szCs w:val="20"/>
        </w:rPr>
        <w:t xml:space="preserve">s ciljem kontinuirane dostopnosti </w:t>
      </w:r>
      <w:r>
        <w:rPr>
          <w:rFonts w:cs="Arial"/>
          <w:szCs w:val="20"/>
        </w:rPr>
        <w:lastRenderedPageBreak/>
        <w:t>sredstev za zagotavljanje javnih najemnih stanovanj za lokalne skupnosti, javne sklade in neprofitne stanovanjske organizacije</w:t>
      </w:r>
      <w:r w:rsidR="00032C91">
        <w:rPr>
          <w:rFonts w:cs="Arial"/>
          <w:szCs w:val="20"/>
        </w:rPr>
        <w:t>.</w:t>
      </w:r>
    </w:p>
    <w:p w14:paraId="73D250F3" w14:textId="5C8E4A3A" w:rsidR="002F5E23" w:rsidRDefault="002F5E23" w:rsidP="002F5E23">
      <w:pPr>
        <w:spacing w:line="288" w:lineRule="auto"/>
        <w:jc w:val="both"/>
        <w:rPr>
          <w:rFonts w:cs="Arial"/>
          <w:szCs w:val="20"/>
        </w:rPr>
      </w:pPr>
      <w:r>
        <w:rPr>
          <w:rFonts w:cs="Arial"/>
          <w:szCs w:val="20"/>
        </w:rPr>
        <w:t>Vlada Republike Slovenije je dne 15. 5. 2025 sprejela sklepa št. 00704-117/2025/3 in 00704-117/2025/2</w:t>
      </w:r>
      <w:proofErr w:type="gramStart"/>
      <w:r w:rsidR="00E85AF5">
        <w:rPr>
          <w:rFonts w:cs="Arial"/>
          <w:szCs w:val="20"/>
        </w:rPr>
        <w:t xml:space="preserve"> </w:t>
      </w:r>
      <w:r>
        <w:rPr>
          <w:rFonts w:cs="Arial"/>
          <w:szCs w:val="20"/>
        </w:rPr>
        <w:t>s</w:t>
      </w:r>
      <w:proofErr w:type="gramEnd"/>
      <w:r>
        <w:rPr>
          <w:rFonts w:cs="Arial"/>
          <w:szCs w:val="20"/>
        </w:rPr>
        <w:t xml:space="preserve"> katerima je </w:t>
      </w:r>
      <w:r w:rsidRPr="002F5E23">
        <w:rPr>
          <w:rFonts w:cs="Arial"/>
          <w:szCs w:val="20"/>
        </w:rPr>
        <w:t>določila besedilo Predloga zakona o financiranju in spodbujanju gradnje javnih najemnih stanovanj</w:t>
      </w:r>
      <w:r>
        <w:rPr>
          <w:rFonts w:cs="Arial"/>
          <w:szCs w:val="20"/>
        </w:rPr>
        <w:t xml:space="preserve"> – prva obravnava ter </w:t>
      </w:r>
      <w:r>
        <w:rPr>
          <w:rFonts w:cs="Arial"/>
          <w:color w:val="000000"/>
          <w:szCs w:val="20"/>
        </w:rPr>
        <w:t>Predloga zakona o spremembah in dopolnitvah Stanovanjskega zakona – prva obravnava</w:t>
      </w:r>
      <w:r>
        <w:rPr>
          <w:rFonts w:cs="Arial"/>
          <w:szCs w:val="20"/>
        </w:rPr>
        <w:t xml:space="preserve"> in oba predloga poslala v obravnavo Državnemu zboru.</w:t>
      </w:r>
    </w:p>
    <w:p w14:paraId="2E361E90" w14:textId="73F50634" w:rsidR="002F5E23" w:rsidRDefault="002F5E23" w:rsidP="002F5E23">
      <w:pPr>
        <w:jc w:val="both"/>
        <w:rPr>
          <w:rFonts w:cs="Arial"/>
          <w:szCs w:val="20"/>
        </w:rPr>
      </w:pPr>
      <w:r w:rsidRPr="002F5E23">
        <w:rPr>
          <w:rFonts w:cs="Arial"/>
          <w:szCs w:val="20"/>
        </w:rPr>
        <w:t>Predlog zakona o spremembah in dopolnitvah Stanovanjskega zakona</w:t>
      </w:r>
      <w:r>
        <w:rPr>
          <w:rFonts w:cs="Arial"/>
          <w:szCs w:val="20"/>
        </w:rPr>
        <w:t xml:space="preserve"> predvideva preimenovanje neprofitnih najemnih stanovanj v javna najemna stanovanja ter uvedbo n</w:t>
      </w:r>
      <w:r w:rsidRPr="002F5E23">
        <w:rPr>
          <w:rFonts w:cs="Arial"/>
          <w:szCs w:val="20"/>
        </w:rPr>
        <w:t>ov</w:t>
      </w:r>
      <w:r>
        <w:rPr>
          <w:rFonts w:cs="Arial"/>
          <w:szCs w:val="20"/>
        </w:rPr>
        <w:t>e</w:t>
      </w:r>
      <w:r w:rsidRPr="002F5E23">
        <w:rPr>
          <w:rFonts w:cs="Arial"/>
          <w:szCs w:val="20"/>
        </w:rPr>
        <w:t xml:space="preserve"> kategorij</w:t>
      </w:r>
      <w:r>
        <w:rPr>
          <w:rFonts w:cs="Arial"/>
          <w:szCs w:val="20"/>
        </w:rPr>
        <w:t>e najemnih stanovanj</w:t>
      </w:r>
      <w:r w:rsidR="008B7318">
        <w:rPr>
          <w:rFonts w:cs="Arial"/>
          <w:szCs w:val="20"/>
        </w:rPr>
        <w:t>,</w:t>
      </w:r>
      <w:r>
        <w:rPr>
          <w:rFonts w:cs="Arial"/>
          <w:szCs w:val="20"/>
        </w:rPr>
        <w:t xml:space="preserve"> in sicer</w:t>
      </w:r>
      <w:r w:rsidRPr="002F5E23">
        <w:rPr>
          <w:rFonts w:cs="Arial"/>
          <w:szCs w:val="20"/>
        </w:rPr>
        <w:t xml:space="preserve"> javneg</w:t>
      </w:r>
      <w:r>
        <w:rPr>
          <w:rFonts w:cs="Arial"/>
          <w:szCs w:val="20"/>
        </w:rPr>
        <w:t xml:space="preserve">a </w:t>
      </w:r>
      <w:r w:rsidRPr="002F5E23">
        <w:rPr>
          <w:rFonts w:cs="Arial"/>
          <w:szCs w:val="20"/>
        </w:rPr>
        <w:t xml:space="preserve">najemnega </w:t>
      </w:r>
      <w:r w:rsidR="00B4224F">
        <w:rPr>
          <w:rFonts w:cs="Arial"/>
          <w:szCs w:val="20"/>
        </w:rPr>
        <w:t xml:space="preserve">oskrbovanega </w:t>
      </w:r>
      <w:r w:rsidRPr="002F5E23">
        <w:rPr>
          <w:rFonts w:cs="Arial"/>
          <w:szCs w:val="20"/>
        </w:rPr>
        <w:t>stanovanja</w:t>
      </w:r>
      <w:r>
        <w:rPr>
          <w:rFonts w:cs="Arial"/>
          <w:szCs w:val="20"/>
        </w:rPr>
        <w:t xml:space="preserve">, s katerimi se </w:t>
      </w:r>
      <w:proofErr w:type="gramStart"/>
      <w:r>
        <w:rPr>
          <w:rFonts w:cs="Arial"/>
          <w:szCs w:val="20"/>
        </w:rPr>
        <w:t>uredi</w:t>
      </w:r>
      <w:proofErr w:type="gramEnd"/>
      <w:r>
        <w:rPr>
          <w:rFonts w:cs="Arial"/>
          <w:szCs w:val="20"/>
        </w:rPr>
        <w:t xml:space="preserve"> </w:t>
      </w:r>
      <w:r w:rsidRPr="002F5E23">
        <w:rPr>
          <w:rFonts w:cs="Arial"/>
          <w:szCs w:val="20"/>
        </w:rPr>
        <w:t>najemn</w:t>
      </w:r>
      <w:r>
        <w:rPr>
          <w:rFonts w:cs="Arial"/>
          <w:szCs w:val="20"/>
        </w:rPr>
        <w:t>a</w:t>
      </w:r>
      <w:r w:rsidRPr="002F5E23">
        <w:rPr>
          <w:rFonts w:cs="Arial"/>
          <w:szCs w:val="20"/>
        </w:rPr>
        <w:t xml:space="preserve"> razmerj</w:t>
      </w:r>
      <w:r>
        <w:rPr>
          <w:rFonts w:cs="Arial"/>
          <w:szCs w:val="20"/>
        </w:rPr>
        <w:t>a</w:t>
      </w:r>
      <w:r w:rsidRPr="002F5E23">
        <w:rPr>
          <w:rFonts w:cs="Arial"/>
          <w:szCs w:val="20"/>
        </w:rPr>
        <w:t xml:space="preserve"> za oskrbovana stanovanja, ki jih v najem oddajajo Republika Slovenija, občine, javn</w:t>
      </w:r>
      <w:r w:rsidR="00275877">
        <w:rPr>
          <w:rFonts w:cs="Arial"/>
          <w:szCs w:val="20"/>
        </w:rPr>
        <w:t>i</w:t>
      </w:r>
      <w:r w:rsidRPr="002F5E23">
        <w:rPr>
          <w:rFonts w:cs="Arial"/>
          <w:szCs w:val="20"/>
        </w:rPr>
        <w:t xml:space="preserve"> stanovanjsk</w:t>
      </w:r>
      <w:r w:rsidR="00275877">
        <w:rPr>
          <w:rFonts w:cs="Arial"/>
          <w:szCs w:val="20"/>
        </w:rPr>
        <w:t>i</w:t>
      </w:r>
      <w:r w:rsidRPr="002F5E23">
        <w:rPr>
          <w:rFonts w:cs="Arial"/>
          <w:szCs w:val="20"/>
        </w:rPr>
        <w:t xml:space="preserve"> sklad</w:t>
      </w:r>
      <w:r w:rsidR="00275877">
        <w:rPr>
          <w:rFonts w:cs="Arial"/>
          <w:szCs w:val="20"/>
        </w:rPr>
        <w:t>i in</w:t>
      </w:r>
      <w:r w:rsidRPr="002F5E23">
        <w:rPr>
          <w:rFonts w:cs="Arial"/>
          <w:szCs w:val="20"/>
        </w:rPr>
        <w:t xml:space="preserve"> neprofitne stanovanjske organizacije. </w:t>
      </w:r>
    </w:p>
    <w:p w14:paraId="65A47B30" w14:textId="04B71D46" w:rsidR="002F5E23" w:rsidRDefault="002F5E23" w:rsidP="002F5E23">
      <w:pPr>
        <w:jc w:val="both"/>
        <w:rPr>
          <w:rFonts w:cs="Arial"/>
          <w:szCs w:val="20"/>
        </w:rPr>
      </w:pPr>
      <w:r w:rsidRPr="002F5E23">
        <w:rPr>
          <w:rFonts w:cs="Arial"/>
          <w:szCs w:val="20"/>
        </w:rPr>
        <w:t>Predlog zakona o financiranju in spodbujanju gradnje javnih najemnih stanovanj</w:t>
      </w:r>
      <w:r>
        <w:rPr>
          <w:rFonts w:cs="Arial"/>
          <w:szCs w:val="20"/>
        </w:rPr>
        <w:t xml:space="preserve"> </w:t>
      </w:r>
      <w:r w:rsidR="00341BFD">
        <w:rPr>
          <w:rFonts w:cs="Arial"/>
          <w:szCs w:val="20"/>
        </w:rPr>
        <w:t>določa</w:t>
      </w:r>
      <w:r w:rsidR="00341BFD">
        <w:t>, da so s</w:t>
      </w:r>
      <w:r w:rsidR="00341BFD" w:rsidRPr="00341BFD">
        <w:rPr>
          <w:rFonts w:cs="Arial"/>
          <w:szCs w:val="20"/>
        </w:rPr>
        <w:t>redstva, ki so zagotovljena s tem zakonom, namenjena za izvajanje projektov gradnje ali obnove javnih najemnih stanovanj in javnih najemnih oskrbovanih stanovanj.</w:t>
      </w:r>
      <w:r w:rsidR="00341BFD">
        <w:rPr>
          <w:rFonts w:cs="Arial"/>
          <w:szCs w:val="20"/>
        </w:rPr>
        <w:t xml:space="preserve"> Predlog zakona predvideva tudi prehodno določbo, ki predvideva porabo sredstev v letu 2025. Zakonski predlog tako v 18. členu določa, da</w:t>
      </w:r>
      <w:r w:rsidR="008B7318">
        <w:rPr>
          <w:rFonts w:cs="Arial"/>
          <w:szCs w:val="20"/>
        </w:rPr>
        <w:t xml:space="preserve"> </w:t>
      </w:r>
      <w:r w:rsidR="00341BFD" w:rsidRPr="00341BFD">
        <w:rPr>
          <w:rFonts w:cs="Arial"/>
          <w:szCs w:val="20"/>
        </w:rPr>
        <w:t>se kot sredstva, ki so za leto 2025 zagotovljena po tem zakonu, štejejo sredstva, ki so v proračunu za leto 2025 zagotovljena v posebnem delu proračuna na proračunski postavki 231655 - Dokapitalizacija stanovanjskega sklada RS. Ta sredstva se kot sredstva, ki so zagotovljena po tem zakonu, v letu 2025 porabijo tako, da se na podlagi sklepa Vlade Republike Slovenije in pogodbe med ministrstvom in skladom najpozneje do 31. decembra 2025 vplačajo v kapital sklada kot dodatno namensko premoženje sklada.</w:t>
      </w:r>
    </w:p>
    <w:p w14:paraId="66CD7C77" w14:textId="4A111095" w:rsidR="00341BFD" w:rsidRDefault="00C62FBF" w:rsidP="002F5E23">
      <w:pPr>
        <w:jc w:val="both"/>
        <w:rPr>
          <w:rFonts w:cs="Arial"/>
          <w:szCs w:val="20"/>
        </w:rPr>
      </w:pPr>
      <w:r w:rsidRPr="00F40805">
        <w:rPr>
          <w:rFonts w:cs="Arial"/>
          <w:szCs w:val="20"/>
        </w:rPr>
        <w:t xml:space="preserve">Iz prejetih sredstev dokapitalizacije se lahko </w:t>
      </w:r>
      <w:proofErr w:type="gramStart"/>
      <w:r w:rsidRPr="00F40805">
        <w:rPr>
          <w:rFonts w:cs="Arial"/>
          <w:szCs w:val="20"/>
        </w:rPr>
        <w:t>zagotavlja</w:t>
      </w:r>
      <w:proofErr w:type="gramEnd"/>
      <w:r w:rsidRPr="00F40805">
        <w:rPr>
          <w:rFonts w:cs="Arial"/>
          <w:szCs w:val="20"/>
        </w:rPr>
        <w:t xml:space="preserve"> zgolj neprofitna najemna stanovanja</w:t>
      </w:r>
      <w:r w:rsidRPr="00A1170B">
        <w:rPr>
          <w:rFonts w:cs="Arial"/>
          <w:szCs w:val="20"/>
        </w:rPr>
        <w:t xml:space="preserve"> in namensk</w:t>
      </w:r>
      <w:r>
        <w:rPr>
          <w:rFonts w:cs="Arial"/>
          <w:szCs w:val="20"/>
        </w:rPr>
        <w:t>a</w:t>
      </w:r>
      <w:r w:rsidRPr="00A1170B">
        <w:rPr>
          <w:rFonts w:cs="Arial"/>
          <w:szCs w:val="20"/>
        </w:rPr>
        <w:t xml:space="preserve"> oskrbova</w:t>
      </w:r>
      <w:r>
        <w:rPr>
          <w:rFonts w:cs="Arial"/>
          <w:szCs w:val="20"/>
        </w:rPr>
        <w:t>na</w:t>
      </w:r>
      <w:r w:rsidRPr="00A1170B">
        <w:rPr>
          <w:rFonts w:cs="Arial"/>
          <w:szCs w:val="20"/>
        </w:rPr>
        <w:t xml:space="preserve"> stanovanj</w:t>
      </w:r>
      <w:r>
        <w:rPr>
          <w:rFonts w:cs="Arial"/>
          <w:szCs w:val="20"/>
        </w:rPr>
        <w:t>a</w:t>
      </w:r>
      <w:r w:rsidRPr="00A1170B">
        <w:rPr>
          <w:rFonts w:cs="Arial"/>
          <w:szCs w:val="20"/>
        </w:rPr>
        <w:t xml:space="preserve"> za starejše</w:t>
      </w:r>
      <w:r w:rsidRPr="00F40805">
        <w:rPr>
          <w:rFonts w:cs="Arial"/>
          <w:szCs w:val="20"/>
        </w:rPr>
        <w:t>.</w:t>
      </w:r>
      <w:r>
        <w:rPr>
          <w:rFonts w:cs="Arial"/>
          <w:szCs w:val="20"/>
        </w:rPr>
        <w:t xml:space="preserve"> Gre za dve vrsti najemnih stanovanj, ki bodo po sprejetju zgoraj navedenih zakonskih predlogov zakonsko opredeljena, kot javna najemna stanovanja in javna najemna oskrbovana stanovanja.</w:t>
      </w:r>
    </w:p>
    <w:p w14:paraId="4D3E52F8" w14:textId="77777777" w:rsidR="002F5E23" w:rsidRPr="002F5E23" w:rsidRDefault="002F5E23" w:rsidP="00E85AF5">
      <w:pPr>
        <w:jc w:val="both"/>
        <w:rPr>
          <w:rFonts w:cs="Arial"/>
          <w:szCs w:val="20"/>
        </w:rPr>
      </w:pPr>
    </w:p>
    <w:p w14:paraId="0BCF620A" w14:textId="7D3FDBF2" w:rsidR="00145D9D" w:rsidRDefault="00145D9D" w:rsidP="00F50B51">
      <w:pPr>
        <w:spacing w:line="288" w:lineRule="auto"/>
        <w:jc w:val="both"/>
        <w:rPr>
          <w:rFonts w:cs="Arial"/>
          <w:b/>
          <w:bCs/>
          <w:szCs w:val="20"/>
        </w:rPr>
      </w:pPr>
      <w:r>
        <w:rPr>
          <w:rFonts w:cs="Arial"/>
          <w:b/>
          <w:bCs/>
          <w:szCs w:val="20"/>
        </w:rPr>
        <w:t>Gradnja SSRS</w:t>
      </w:r>
    </w:p>
    <w:p w14:paraId="3BFB59E1" w14:textId="776FA951" w:rsidR="00981649" w:rsidRDefault="00145D9D" w:rsidP="00F50B51">
      <w:pPr>
        <w:spacing w:line="288" w:lineRule="auto"/>
        <w:jc w:val="both"/>
      </w:pPr>
      <w:r>
        <w:t>SSRS ima v različnih fazah razvoja</w:t>
      </w:r>
      <w:r w:rsidR="00FD0488">
        <w:t xml:space="preserve"> 17 projektov s skupno 1934 stanovanji, katerih skupna ocenjena vrednost znaša 400.970.000,00 </w:t>
      </w:r>
      <w:proofErr w:type="gramStart"/>
      <w:r w:rsidR="00FD0488">
        <w:t>evrov</w:t>
      </w:r>
      <w:proofErr w:type="gramEnd"/>
      <w:r w:rsidR="00FD0488">
        <w:t xml:space="preserve">. </w:t>
      </w:r>
      <w:r w:rsidR="0029363A">
        <w:t>Pet</w:t>
      </w:r>
      <w:r w:rsidR="00FD0488">
        <w:t xml:space="preserve"> projektov s skupno 417 stanovanji že ima zagotovljeno financiranje tako z lastnimi viri SSRS, kakor dodatnimi posojilnimi viri na podlagi posojilne pogodbe s </w:t>
      </w:r>
      <w:proofErr w:type="gramStart"/>
      <w:r w:rsidR="00FD0488">
        <w:t>CEB banko</w:t>
      </w:r>
      <w:proofErr w:type="gramEnd"/>
      <w:r w:rsidR="00FD0488">
        <w:t>. Ostalih 12</w:t>
      </w:r>
      <w:r w:rsidR="0029363A">
        <w:t xml:space="preserve"> projektov</w:t>
      </w:r>
      <w:r>
        <w:t xml:space="preserve"> s skupno </w:t>
      </w:r>
      <w:r w:rsidR="002C515C">
        <w:t>1.517</w:t>
      </w:r>
      <w:r>
        <w:t xml:space="preserve"> stanovanji</w:t>
      </w:r>
      <w:r w:rsidR="00FD0488">
        <w:t xml:space="preserve"> nima</w:t>
      </w:r>
      <w:r w:rsidR="0029363A">
        <w:t xml:space="preserve"> </w:t>
      </w:r>
      <w:r>
        <w:t>zagotovljenih</w:t>
      </w:r>
      <w:r w:rsidR="002C515C">
        <w:t xml:space="preserve"> virov financiranja. Skupna ocenjena investicijska vrednost teh projektov znaša 310.310.000 evrov.</w:t>
      </w:r>
      <w:r w:rsidR="00981649">
        <w:t xml:space="preserve"> </w:t>
      </w:r>
    </w:p>
    <w:p w14:paraId="3459A5C0" w14:textId="77777777" w:rsidR="00C2415E" w:rsidRDefault="00C2415E" w:rsidP="00F50B51">
      <w:pPr>
        <w:spacing w:line="288" w:lineRule="auto"/>
        <w:jc w:val="both"/>
      </w:pPr>
    </w:p>
    <w:p w14:paraId="7D58BC2B" w14:textId="37DA75F1" w:rsidR="00981649" w:rsidRDefault="00981649" w:rsidP="00F50B51">
      <w:pPr>
        <w:spacing w:line="288" w:lineRule="auto"/>
        <w:jc w:val="both"/>
      </w:pPr>
      <w:r>
        <w:rPr>
          <w:noProof/>
        </w:rPr>
        <w:lastRenderedPageBreak/>
        <w:drawing>
          <wp:inline distT="0" distB="0" distL="0" distR="0" wp14:anchorId="52EB7445" wp14:editId="64BC54E7">
            <wp:extent cx="5757545" cy="5686425"/>
            <wp:effectExtent l="0" t="0" r="0" b="9525"/>
            <wp:docPr id="4092248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24892" name=""/>
                    <pic:cNvPicPr/>
                  </pic:nvPicPr>
                  <pic:blipFill>
                    <a:blip r:embed="rId10"/>
                    <a:stretch>
                      <a:fillRect/>
                    </a:stretch>
                  </pic:blipFill>
                  <pic:spPr>
                    <a:xfrm>
                      <a:off x="0" y="0"/>
                      <a:ext cx="5797187" cy="5725577"/>
                    </a:xfrm>
                    <a:prstGeom prst="rect">
                      <a:avLst/>
                    </a:prstGeom>
                  </pic:spPr>
                </pic:pic>
              </a:graphicData>
            </a:graphic>
          </wp:inline>
        </w:drawing>
      </w:r>
    </w:p>
    <w:p w14:paraId="0FB2D543" w14:textId="77777777" w:rsidR="00C2415E" w:rsidRDefault="00C2415E" w:rsidP="00F50B51">
      <w:pPr>
        <w:spacing w:line="288" w:lineRule="auto"/>
        <w:jc w:val="both"/>
      </w:pPr>
    </w:p>
    <w:p w14:paraId="2D78E2D8" w14:textId="77777777" w:rsidR="00E85AF5" w:rsidRDefault="00E85AF5" w:rsidP="00F50B51">
      <w:pPr>
        <w:spacing w:line="288" w:lineRule="auto"/>
        <w:jc w:val="both"/>
      </w:pPr>
    </w:p>
    <w:p w14:paraId="1CF72F94" w14:textId="77777777" w:rsidR="00E85AF5" w:rsidRDefault="00E85AF5" w:rsidP="00F50B51">
      <w:pPr>
        <w:spacing w:line="288" w:lineRule="auto"/>
        <w:jc w:val="both"/>
      </w:pPr>
    </w:p>
    <w:p w14:paraId="74E90B92" w14:textId="77777777" w:rsidR="00E85AF5" w:rsidRDefault="00E85AF5" w:rsidP="00F50B51">
      <w:pPr>
        <w:spacing w:line="288" w:lineRule="auto"/>
        <w:jc w:val="both"/>
      </w:pPr>
    </w:p>
    <w:p w14:paraId="0470CD7A" w14:textId="77777777" w:rsidR="00E85AF5" w:rsidRDefault="00E85AF5" w:rsidP="00F50B51">
      <w:pPr>
        <w:spacing w:line="288" w:lineRule="auto"/>
        <w:jc w:val="both"/>
      </w:pPr>
    </w:p>
    <w:p w14:paraId="58216FAF" w14:textId="77777777" w:rsidR="00E85AF5" w:rsidRDefault="00E85AF5" w:rsidP="00F50B51">
      <w:pPr>
        <w:spacing w:line="288" w:lineRule="auto"/>
        <w:jc w:val="both"/>
      </w:pPr>
    </w:p>
    <w:p w14:paraId="534093A8" w14:textId="77777777" w:rsidR="00E85AF5" w:rsidRDefault="00E85AF5" w:rsidP="00F50B51">
      <w:pPr>
        <w:spacing w:line="288" w:lineRule="auto"/>
        <w:jc w:val="both"/>
      </w:pPr>
    </w:p>
    <w:p w14:paraId="4DA8C074" w14:textId="77777777" w:rsidR="00E85AF5" w:rsidRDefault="00E85AF5" w:rsidP="00F50B51">
      <w:pPr>
        <w:spacing w:line="288" w:lineRule="auto"/>
        <w:jc w:val="both"/>
      </w:pPr>
    </w:p>
    <w:p w14:paraId="28BE971C" w14:textId="77777777" w:rsidR="00E85AF5" w:rsidRDefault="00E85AF5" w:rsidP="00F50B51">
      <w:pPr>
        <w:spacing w:line="288" w:lineRule="auto"/>
        <w:jc w:val="both"/>
      </w:pPr>
    </w:p>
    <w:p w14:paraId="2F52B276" w14:textId="77777777" w:rsidR="00E85AF5" w:rsidRDefault="00E85AF5" w:rsidP="00F50B51">
      <w:pPr>
        <w:spacing w:line="288" w:lineRule="auto"/>
        <w:jc w:val="both"/>
      </w:pPr>
    </w:p>
    <w:p w14:paraId="7115364D" w14:textId="75386620" w:rsidR="00981649" w:rsidRDefault="00981649" w:rsidP="00F50B51">
      <w:pPr>
        <w:spacing w:line="288" w:lineRule="auto"/>
        <w:jc w:val="both"/>
      </w:pPr>
      <w:r>
        <w:lastRenderedPageBreak/>
        <w:t>Vir: Poslovno finančni načrt SSRS za leto 2025 (v postopku potrditve)</w:t>
      </w:r>
    </w:p>
    <w:p w14:paraId="6406FAAC" w14:textId="610E62CB" w:rsidR="00C2415E" w:rsidRDefault="00FD0488" w:rsidP="00F50B51">
      <w:pPr>
        <w:spacing w:line="288" w:lineRule="auto"/>
        <w:jc w:val="both"/>
      </w:pPr>
      <w:r>
        <w:t xml:space="preserve">Od navedenih projektov SSRS prioritetno razvija projekte, ki so navedeni v spodnji tabeli, </w:t>
      </w:r>
      <w:r w:rsidR="00662BEC">
        <w:t>SSRS</w:t>
      </w:r>
      <w:r>
        <w:t xml:space="preserve"> pa bo prejeta sredstva</w:t>
      </w:r>
      <w:r w:rsidR="00523FE0">
        <w:t xml:space="preserve"> pretežno</w:t>
      </w:r>
      <w:r>
        <w:t xml:space="preserve"> porabil za njihovo realizacijo</w:t>
      </w:r>
      <w:r w:rsidR="00523FE0">
        <w:t xml:space="preserve">: </w:t>
      </w:r>
    </w:p>
    <w:tbl>
      <w:tblPr>
        <w:tblStyle w:val="Tabelamrea"/>
        <w:tblW w:w="0" w:type="auto"/>
        <w:jc w:val="center"/>
        <w:tblLook w:val="04A0" w:firstRow="1" w:lastRow="0" w:firstColumn="1" w:lastColumn="0" w:noHBand="0" w:noVBand="1"/>
      </w:tblPr>
      <w:tblGrid>
        <w:gridCol w:w="421"/>
        <w:gridCol w:w="3402"/>
        <w:gridCol w:w="1417"/>
        <w:gridCol w:w="1843"/>
        <w:gridCol w:w="1979"/>
      </w:tblGrid>
      <w:tr w:rsidR="007717B2" w14:paraId="5994917A" w14:textId="77777777" w:rsidTr="00C64E10">
        <w:trPr>
          <w:trHeight w:val="837"/>
          <w:jc w:val="center"/>
        </w:trPr>
        <w:tc>
          <w:tcPr>
            <w:tcW w:w="421" w:type="dxa"/>
          </w:tcPr>
          <w:p w14:paraId="194A0B0A" w14:textId="77777777" w:rsidR="007717B2" w:rsidRDefault="007717B2" w:rsidP="00F50B51">
            <w:pPr>
              <w:spacing w:line="288" w:lineRule="auto"/>
              <w:jc w:val="both"/>
            </w:pPr>
          </w:p>
        </w:tc>
        <w:tc>
          <w:tcPr>
            <w:tcW w:w="3402" w:type="dxa"/>
          </w:tcPr>
          <w:p w14:paraId="489650C1" w14:textId="47F17E0C" w:rsidR="007717B2" w:rsidRDefault="007717B2" w:rsidP="00C64E10">
            <w:pPr>
              <w:spacing w:line="288" w:lineRule="auto"/>
              <w:jc w:val="center"/>
            </w:pPr>
            <w:r>
              <w:t>Projekt</w:t>
            </w:r>
          </w:p>
        </w:tc>
        <w:tc>
          <w:tcPr>
            <w:tcW w:w="1417" w:type="dxa"/>
          </w:tcPr>
          <w:p w14:paraId="49A4D8F3" w14:textId="7AB09DE9" w:rsidR="007717B2" w:rsidRDefault="007717B2" w:rsidP="00C64E10">
            <w:pPr>
              <w:spacing w:line="288" w:lineRule="auto"/>
              <w:jc w:val="center"/>
            </w:pPr>
            <w:r>
              <w:t>Lokacija</w:t>
            </w:r>
          </w:p>
        </w:tc>
        <w:tc>
          <w:tcPr>
            <w:tcW w:w="1843" w:type="dxa"/>
          </w:tcPr>
          <w:p w14:paraId="5423BE23" w14:textId="145FC438" w:rsidR="007717B2" w:rsidRDefault="00C64E10" w:rsidP="00C64E10">
            <w:pPr>
              <w:spacing w:line="288" w:lineRule="auto"/>
              <w:jc w:val="center"/>
            </w:pPr>
            <w:r>
              <w:t>Predvideno št. stanovanjskih enot</w:t>
            </w:r>
          </w:p>
        </w:tc>
        <w:tc>
          <w:tcPr>
            <w:tcW w:w="1979" w:type="dxa"/>
          </w:tcPr>
          <w:p w14:paraId="7A423913" w14:textId="47133F67" w:rsidR="007717B2" w:rsidRDefault="00C64E10" w:rsidP="00C64E10">
            <w:pPr>
              <w:spacing w:line="288" w:lineRule="auto"/>
              <w:jc w:val="center"/>
            </w:pPr>
            <w:r>
              <w:t xml:space="preserve">Skupna ocenjena vrednost investicije v mio </w:t>
            </w:r>
            <w:proofErr w:type="spellStart"/>
            <w:proofErr w:type="gramStart"/>
            <w:r>
              <w:t>Eur</w:t>
            </w:r>
            <w:proofErr w:type="spellEnd"/>
            <w:proofErr w:type="gramEnd"/>
          </w:p>
        </w:tc>
      </w:tr>
      <w:tr w:rsidR="007717B2" w14:paraId="19779FD6" w14:textId="77777777" w:rsidTr="00C64E10">
        <w:trPr>
          <w:trHeight w:val="424"/>
          <w:jc w:val="center"/>
        </w:trPr>
        <w:tc>
          <w:tcPr>
            <w:tcW w:w="421" w:type="dxa"/>
          </w:tcPr>
          <w:p w14:paraId="339DCDA9" w14:textId="2D59A010" w:rsidR="007717B2" w:rsidRDefault="00C64E10" w:rsidP="00F50B51">
            <w:pPr>
              <w:spacing w:line="288" w:lineRule="auto"/>
              <w:jc w:val="both"/>
            </w:pPr>
            <w:r>
              <w:t>1,</w:t>
            </w:r>
          </w:p>
        </w:tc>
        <w:tc>
          <w:tcPr>
            <w:tcW w:w="3402" w:type="dxa"/>
          </w:tcPr>
          <w:p w14:paraId="47E7AC27" w14:textId="257D1807" w:rsidR="007717B2" w:rsidRDefault="00082DAC" w:rsidP="00F50B51">
            <w:pPr>
              <w:spacing w:line="288" w:lineRule="auto"/>
              <w:jc w:val="both"/>
            </w:pPr>
            <w:r>
              <w:t>Podutik Glince 2. faza (faza B)</w:t>
            </w:r>
          </w:p>
        </w:tc>
        <w:tc>
          <w:tcPr>
            <w:tcW w:w="1417" w:type="dxa"/>
          </w:tcPr>
          <w:p w14:paraId="1DC43341" w14:textId="1EA236ED" w:rsidR="007717B2" w:rsidRDefault="00082DAC" w:rsidP="00F50B51">
            <w:pPr>
              <w:spacing w:line="288" w:lineRule="auto"/>
              <w:jc w:val="both"/>
            </w:pPr>
            <w:r w:rsidRPr="00082DAC">
              <w:t>Ljubljana</w:t>
            </w:r>
          </w:p>
        </w:tc>
        <w:tc>
          <w:tcPr>
            <w:tcW w:w="1843" w:type="dxa"/>
          </w:tcPr>
          <w:p w14:paraId="0AEF0B59" w14:textId="5D61DF68" w:rsidR="007717B2" w:rsidRDefault="00082DAC" w:rsidP="00F50B51">
            <w:pPr>
              <w:spacing w:line="288" w:lineRule="auto"/>
              <w:jc w:val="both"/>
            </w:pPr>
            <w:r w:rsidRPr="00082DAC">
              <w:t>202</w:t>
            </w:r>
          </w:p>
        </w:tc>
        <w:tc>
          <w:tcPr>
            <w:tcW w:w="1979" w:type="dxa"/>
          </w:tcPr>
          <w:p w14:paraId="0F931ACB" w14:textId="02EA5821" w:rsidR="007717B2" w:rsidRDefault="00082DAC" w:rsidP="00F50B51">
            <w:pPr>
              <w:spacing w:line="288" w:lineRule="auto"/>
              <w:jc w:val="both"/>
            </w:pPr>
            <w:r w:rsidRPr="00082DAC">
              <w:t>47,91</w:t>
            </w:r>
          </w:p>
        </w:tc>
      </w:tr>
      <w:tr w:rsidR="007717B2" w14:paraId="6DE9E4EE" w14:textId="77777777" w:rsidTr="00C64E10">
        <w:trPr>
          <w:trHeight w:val="402"/>
          <w:jc w:val="center"/>
        </w:trPr>
        <w:tc>
          <w:tcPr>
            <w:tcW w:w="421" w:type="dxa"/>
          </w:tcPr>
          <w:p w14:paraId="1D3B902A" w14:textId="55F64477" w:rsidR="007717B2" w:rsidRDefault="00C64E10" w:rsidP="00F50B51">
            <w:pPr>
              <w:spacing w:line="288" w:lineRule="auto"/>
              <w:jc w:val="both"/>
            </w:pPr>
            <w:r>
              <w:t>2.</w:t>
            </w:r>
          </w:p>
        </w:tc>
        <w:tc>
          <w:tcPr>
            <w:tcW w:w="3402" w:type="dxa"/>
          </w:tcPr>
          <w:p w14:paraId="1116504F" w14:textId="07C2B577" w:rsidR="007717B2" w:rsidRDefault="00082DAC" w:rsidP="00F50B51">
            <w:pPr>
              <w:spacing w:line="288" w:lineRule="auto"/>
              <w:jc w:val="both"/>
            </w:pPr>
            <w:r w:rsidRPr="00082DAC">
              <w:t>Novo Pobrežje (1. faza - 6 objektov)</w:t>
            </w:r>
          </w:p>
        </w:tc>
        <w:tc>
          <w:tcPr>
            <w:tcW w:w="1417" w:type="dxa"/>
          </w:tcPr>
          <w:p w14:paraId="2013B141" w14:textId="60B6C51A" w:rsidR="007717B2" w:rsidRDefault="00082DAC" w:rsidP="00F50B51">
            <w:pPr>
              <w:spacing w:line="288" w:lineRule="auto"/>
              <w:jc w:val="both"/>
            </w:pPr>
            <w:r w:rsidRPr="00082DAC">
              <w:t>Maribor</w:t>
            </w:r>
          </w:p>
        </w:tc>
        <w:tc>
          <w:tcPr>
            <w:tcW w:w="1843" w:type="dxa"/>
          </w:tcPr>
          <w:p w14:paraId="2E83DA30" w14:textId="5A71D1B8" w:rsidR="007717B2" w:rsidRDefault="00082DAC" w:rsidP="00F50B51">
            <w:pPr>
              <w:spacing w:line="288" w:lineRule="auto"/>
              <w:jc w:val="both"/>
            </w:pPr>
            <w:r w:rsidRPr="00082DAC">
              <w:t>182</w:t>
            </w:r>
          </w:p>
        </w:tc>
        <w:tc>
          <w:tcPr>
            <w:tcW w:w="1979" w:type="dxa"/>
          </w:tcPr>
          <w:p w14:paraId="13563988" w14:textId="4FD93E02" w:rsidR="007717B2" w:rsidRDefault="00082DAC" w:rsidP="00F50B51">
            <w:pPr>
              <w:spacing w:line="288" w:lineRule="auto"/>
              <w:jc w:val="both"/>
            </w:pPr>
            <w:r w:rsidRPr="00082DAC">
              <w:t>35,74</w:t>
            </w:r>
          </w:p>
        </w:tc>
      </w:tr>
      <w:tr w:rsidR="007717B2" w14:paraId="6CFD2E71" w14:textId="77777777" w:rsidTr="00C64E10">
        <w:trPr>
          <w:trHeight w:val="421"/>
          <w:jc w:val="center"/>
        </w:trPr>
        <w:tc>
          <w:tcPr>
            <w:tcW w:w="421" w:type="dxa"/>
          </w:tcPr>
          <w:p w14:paraId="41006616" w14:textId="0E98F163" w:rsidR="007717B2" w:rsidRDefault="00C64E10" w:rsidP="00F50B51">
            <w:pPr>
              <w:spacing w:line="288" w:lineRule="auto"/>
              <w:jc w:val="both"/>
            </w:pPr>
            <w:r>
              <w:t>3.</w:t>
            </w:r>
          </w:p>
        </w:tc>
        <w:tc>
          <w:tcPr>
            <w:tcW w:w="3402" w:type="dxa"/>
          </w:tcPr>
          <w:p w14:paraId="47593BEC" w14:textId="41A935CE" w:rsidR="007717B2" w:rsidRDefault="00082DAC" w:rsidP="00F50B51">
            <w:pPr>
              <w:spacing w:line="288" w:lineRule="auto"/>
              <w:jc w:val="both"/>
            </w:pPr>
            <w:r w:rsidRPr="00082DAC">
              <w:t>Ob Savi 2. faza</w:t>
            </w:r>
          </w:p>
        </w:tc>
        <w:tc>
          <w:tcPr>
            <w:tcW w:w="1417" w:type="dxa"/>
          </w:tcPr>
          <w:p w14:paraId="455CB615" w14:textId="76A143EB" w:rsidR="007717B2" w:rsidRDefault="00082DAC" w:rsidP="00F50B51">
            <w:pPr>
              <w:spacing w:line="288" w:lineRule="auto"/>
              <w:jc w:val="both"/>
            </w:pPr>
            <w:r w:rsidRPr="00082DAC">
              <w:t>Kranj</w:t>
            </w:r>
          </w:p>
        </w:tc>
        <w:tc>
          <w:tcPr>
            <w:tcW w:w="1843" w:type="dxa"/>
          </w:tcPr>
          <w:p w14:paraId="10C22C4F" w14:textId="24BDA01F" w:rsidR="007717B2" w:rsidRDefault="00082DAC" w:rsidP="00F50B51">
            <w:pPr>
              <w:spacing w:line="288" w:lineRule="auto"/>
              <w:jc w:val="both"/>
            </w:pPr>
            <w:r w:rsidRPr="00082DAC">
              <w:t>80</w:t>
            </w:r>
          </w:p>
        </w:tc>
        <w:tc>
          <w:tcPr>
            <w:tcW w:w="1979" w:type="dxa"/>
          </w:tcPr>
          <w:p w14:paraId="042A7CAA" w14:textId="31A4B0C5" w:rsidR="007717B2" w:rsidRDefault="00082DAC" w:rsidP="00F50B51">
            <w:pPr>
              <w:spacing w:line="288" w:lineRule="auto"/>
              <w:jc w:val="both"/>
            </w:pPr>
            <w:r w:rsidRPr="00082DAC">
              <w:t>15,40</w:t>
            </w:r>
          </w:p>
        </w:tc>
      </w:tr>
      <w:tr w:rsidR="007717B2" w14:paraId="6CD2D778" w14:textId="77777777" w:rsidTr="00C64E10">
        <w:trPr>
          <w:trHeight w:val="413"/>
          <w:jc w:val="center"/>
        </w:trPr>
        <w:tc>
          <w:tcPr>
            <w:tcW w:w="421" w:type="dxa"/>
          </w:tcPr>
          <w:p w14:paraId="47EB9717" w14:textId="38740A5D" w:rsidR="007717B2" w:rsidRDefault="00C64E10" w:rsidP="00F50B51">
            <w:pPr>
              <w:spacing w:line="288" w:lineRule="auto"/>
              <w:jc w:val="both"/>
            </w:pPr>
            <w:r>
              <w:t>4.</w:t>
            </w:r>
          </w:p>
        </w:tc>
        <w:tc>
          <w:tcPr>
            <w:tcW w:w="3402" w:type="dxa"/>
          </w:tcPr>
          <w:p w14:paraId="341038E1" w14:textId="3D0FDF9B" w:rsidR="007717B2" w:rsidRDefault="00082DAC" w:rsidP="00F50B51">
            <w:pPr>
              <w:spacing w:line="288" w:lineRule="auto"/>
              <w:jc w:val="both"/>
            </w:pPr>
            <w:r w:rsidRPr="00082DAC">
              <w:t>Novi trg</w:t>
            </w:r>
          </w:p>
        </w:tc>
        <w:tc>
          <w:tcPr>
            <w:tcW w:w="1417" w:type="dxa"/>
          </w:tcPr>
          <w:p w14:paraId="6D62DC50" w14:textId="102C24E3" w:rsidR="007717B2" w:rsidRDefault="00082DAC" w:rsidP="00F50B51">
            <w:pPr>
              <w:spacing w:line="288" w:lineRule="auto"/>
              <w:jc w:val="both"/>
            </w:pPr>
            <w:r w:rsidRPr="00082DAC">
              <w:t>Celje</w:t>
            </w:r>
          </w:p>
        </w:tc>
        <w:tc>
          <w:tcPr>
            <w:tcW w:w="1843" w:type="dxa"/>
          </w:tcPr>
          <w:p w14:paraId="04AADB55" w14:textId="694EB784" w:rsidR="007717B2" w:rsidRDefault="00082DAC" w:rsidP="00F50B51">
            <w:pPr>
              <w:spacing w:line="288" w:lineRule="auto"/>
              <w:jc w:val="both"/>
            </w:pPr>
            <w:r w:rsidRPr="00082DAC">
              <w:t>126</w:t>
            </w:r>
          </w:p>
        </w:tc>
        <w:tc>
          <w:tcPr>
            <w:tcW w:w="1979" w:type="dxa"/>
          </w:tcPr>
          <w:p w14:paraId="29ACFF82" w14:textId="5B4B438B" w:rsidR="007717B2" w:rsidRDefault="00082DAC" w:rsidP="00F50B51">
            <w:pPr>
              <w:spacing w:line="288" w:lineRule="auto"/>
              <w:jc w:val="both"/>
            </w:pPr>
            <w:r w:rsidRPr="00082DAC">
              <w:t>24,00</w:t>
            </w:r>
          </w:p>
        </w:tc>
      </w:tr>
      <w:tr w:rsidR="007717B2" w14:paraId="08807609" w14:textId="77777777" w:rsidTr="00C64E10">
        <w:trPr>
          <w:trHeight w:val="406"/>
          <w:jc w:val="center"/>
        </w:trPr>
        <w:tc>
          <w:tcPr>
            <w:tcW w:w="421" w:type="dxa"/>
          </w:tcPr>
          <w:p w14:paraId="6FA10E1A" w14:textId="0FFE7F12" w:rsidR="007717B2" w:rsidRDefault="007717B2" w:rsidP="00F50B51">
            <w:pPr>
              <w:spacing w:line="288" w:lineRule="auto"/>
              <w:jc w:val="both"/>
            </w:pPr>
          </w:p>
        </w:tc>
        <w:tc>
          <w:tcPr>
            <w:tcW w:w="3402" w:type="dxa"/>
          </w:tcPr>
          <w:p w14:paraId="10A6F0DC" w14:textId="4A3EAAD4" w:rsidR="007717B2" w:rsidRDefault="00082DAC" w:rsidP="00F50B51">
            <w:pPr>
              <w:spacing w:line="288" w:lineRule="auto"/>
              <w:jc w:val="both"/>
            </w:pPr>
            <w:r>
              <w:t xml:space="preserve">Skupaj 1 - 4 </w:t>
            </w:r>
          </w:p>
        </w:tc>
        <w:tc>
          <w:tcPr>
            <w:tcW w:w="1417" w:type="dxa"/>
          </w:tcPr>
          <w:p w14:paraId="6F72F3AC" w14:textId="77777777" w:rsidR="007717B2" w:rsidRDefault="007717B2" w:rsidP="00F50B51">
            <w:pPr>
              <w:spacing w:line="288" w:lineRule="auto"/>
              <w:jc w:val="both"/>
            </w:pPr>
          </w:p>
        </w:tc>
        <w:tc>
          <w:tcPr>
            <w:tcW w:w="1843" w:type="dxa"/>
          </w:tcPr>
          <w:p w14:paraId="27FAFFD4" w14:textId="3C8BA3C6" w:rsidR="007717B2" w:rsidRDefault="00082DAC" w:rsidP="00F50B51">
            <w:pPr>
              <w:spacing w:line="288" w:lineRule="auto"/>
              <w:jc w:val="both"/>
            </w:pPr>
            <w:r>
              <w:t>590</w:t>
            </w:r>
          </w:p>
        </w:tc>
        <w:tc>
          <w:tcPr>
            <w:tcW w:w="1979" w:type="dxa"/>
          </w:tcPr>
          <w:p w14:paraId="633522AF" w14:textId="043D61D6" w:rsidR="007717B2" w:rsidRDefault="00082DAC" w:rsidP="00F50B51">
            <w:pPr>
              <w:spacing w:line="288" w:lineRule="auto"/>
              <w:jc w:val="both"/>
            </w:pPr>
            <w:r w:rsidRPr="00082DAC">
              <w:t>123,06</w:t>
            </w:r>
          </w:p>
        </w:tc>
      </w:tr>
      <w:tr w:rsidR="007717B2" w14:paraId="73ADE919" w14:textId="77777777" w:rsidTr="00C64E10">
        <w:trPr>
          <w:trHeight w:val="425"/>
          <w:jc w:val="center"/>
        </w:trPr>
        <w:tc>
          <w:tcPr>
            <w:tcW w:w="421" w:type="dxa"/>
          </w:tcPr>
          <w:p w14:paraId="433CDE4F" w14:textId="51039188" w:rsidR="007717B2" w:rsidRDefault="00082DAC" w:rsidP="00F50B51">
            <w:pPr>
              <w:spacing w:line="288" w:lineRule="auto"/>
              <w:jc w:val="both"/>
            </w:pPr>
            <w:r>
              <w:t>5.</w:t>
            </w:r>
          </w:p>
        </w:tc>
        <w:tc>
          <w:tcPr>
            <w:tcW w:w="3402" w:type="dxa"/>
          </w:tcPr>
          <w:p w14:paraId="11294888" w14:textId="71F38F65" w:rsidR="007717B2" w:rsidRDefault="00082DAC" w:rsidP="00F50B51">
            <w:pPr>
              <w:spacing w:line="288" w:lineRule="auto"/>
              <w:jc w:val="both"/>
            </w:pPr>
            <w:r w:rsidRPr="00082DAC">
              <w:t>Podbreznik Enklava E1</w:t>
            </w:r>
          </w:p>
        </w:tc>
        <w:tc>
          <w:tcPr>
            <w:tcW w:w="1417" w:type="dxa"/>
          </w:tcPr>
          <w:p w14:paraId="77D035FC" w14:textId="568A56BB" w:rsidR="007717B2" w:rsidRDefault="00082DAC" w:rsidP="00F50B51">
            <w:pPr>
              <w:spacing w:line="288" w:lineRule="auto"/>
              <w:jc w:val="both"/>
            </w:pPr>
            <w:r w:rsidRPr="00082DAC">
              <w:t xml:space="preserve">Novo mesto </w:t>
            </w:r>
          </w:p>
        </w:tc>
        <w:tc>
          <w:tcPr>
            <w:tcW w:w="1843" w:type="dxa"/>
          </w:tcPr>
          <w:p w14:paraId="09B407AD" w14:textId="48ECF6CF" w:rsidR="007717B2" w:rsidRDefault="00082DAC" w:rsidP="00F50B51">
            <w:pPr>
              <w:spacing w:line="288" w:lineRule="auto"/>
              <w:jc w:val="both"/>
            </w:pPr>
            <w:r w:rsidRPr="00082DAC">
              <w:t>45</w:t>
            </w:r>
          </w:p>
        </w:tc>
        <w:tc>
          <w:tcPr>
            <w:tcW w:w="1979" w:type="dxa"/>
          </w:tcPr>
          <w:p w14:paraId="5A972687" w14:textId="648D6E25" w:rsidR="007717B2" w:rsidRDefault="00082DAC" w:rsidP="00F50B51">
            <w:pPr>
              <w:spacing w:line="288" w:lineRule="auto"/>
              <w:jc w:val="both"/>
            </w:pPr>
            <w:r w:rsidRPr="00082DAC">
              <w:t>9,00</w:t>
            </w:r>
          </w:p>
        </w:tc>
      </w:tr>
      <w:tr w:rsidR="007717B2" w14:paraId="177DAE9A" w14:textId="77777777" w:rsidTr="00C64E10">
        <w:trPr>
          <w:trHeight w:val="417"/>
          <w:jc w:val="center"/>
        </w:trPr>
        <w:tc>
          <w:tcPr>
            <w:tcW w:w="421" w:type="dxa"/>
          </w:tcPr>
          <w:p w14:paraId="71D45F09" w14:textId="53E991DB" w:rsidR="007717B2" w:rsidRDefault="00082DAC" w:rsidP="00F50B51">
            <w:pPr>
              <w:spacing w:line="288" w:lineRule="auto"/>
              <w:jc w:val="both"/>
            </w:pPr>
            <w:r>
              <w:t>6.</w:t>
            </w:r>
          </w:p>
        </w:tc>
        <w:tc>
          <w:tcPr>
            <w:tcW w:w="3402" w:type="dxa"/>
          </w:tcPr>
          <w:p w14:paraId="7B4EDF51" w14:textId="017DE89C" w:rsidR="007717B2" w:rsidRDefault="00082DAC" w:rsidP="00F50B51">
            <w:pPr>
              <w:spacing w:line="288" w:lineRule="auto"/>
              <w:jc w:val="both"/>
            </w:pPr>
            <w:r w:rsidRPr="00082DAC">
              <w:t>Lendava 2. faza</w:t>
            </w:r>
          </w:p>
        </w:tc>
        <w:tc>
          <w:tcPr>
            <w:tcW w:w="1417" w:type="dxa"/>
          </w:tcPr>
          <w:p w14:paraId="1BDA1ACB" w14:textId="24BB0CAF" w:rsidR="007717B2" w:rsidRDefault="00082DAC" w:rsidP="00F50B51">
            <w:pPr>
              <w:spacing w:line="288" w:lineRule="auto"/>
              <w:jc w:val="both"/>
            </w:pPr>
            <w:r w:rsidRPr="00082DAC">
              <w:t>Lendava</w:t>
            </w:r>
          </w:p>
        </w:tc>
        <w:tc>
          <w:tcPr>
            <w:tcW w:w="1843" w:type="dxa"/>
          </w:tcPr>
          <w:p w14:paraId="194294AC" w14:textId="20C2D22D" w:rsidR="007717B2" w:rsidRDefault="00082DAC" w:rsidP="00F50B51">
            <w:pPr>
              <w:spacing w:line="288" w:lineRule="auto"/>
              <w:jc w:val="both"/>
            </w:pPr>
            <w:r w:rsidRPr="00082DAC">
              <w:t>40</w:t>
            </w:r>
          </w:p>
        </w:tc>
        <w:tc>
          <w:tcPr>
            <w:tcW w:w="1979" w:type="dxa"/>
          </w:tcPr>
          <w:p w14:paraId="2A4E436E" w14:textId="39E588F3" w:rsidR="007717B2" w:rsidRDefault="00082DAC" w:rsidP="00F50B51">
            <w:pPr>
              <w:spacing w:line="288" w:lineRule="auto"/>
              <w:jc w:val="both"/>
            </w:pPr>
            <w:r w:rsidRPr="00082DAC">
              <w:t>5,47</w:t>
            </w:r>
          </w:p>
        </w:tc>
      </w:tr>
      <w:tr w:rsidR="007717B2" w14:paraId="18E4DCA4" w14:textId="77777777" w:rsidTr="00C64E10">
        <w:trPr>
          <w:trHeight w:val="409"/>
          <w:jc w:val="center"/>
        </w:trPr>
        <w:tc>
          <w:tcPr>
            <w:tcW w:w="421" w:type="dxa"/>
          </w:tcPr>
          <w:p w14:paraId="35DCD3A1" w14:textId="4639D38F" w:rsidR="007717B2" w:rsidRDefault="00082DAC" w:rsidP="00F50B51">
            <w:pPr>
              <w:spacing w:line="288" w:lineRule="auto"/>
              <w:jc w:val="both"/>
            </w:pPr>
            <w:r>
              <w:t>7.</w:t>
            </w:r>
          </w:p>
        </w:tc>
        <w:tc>
          <w:tcPr>
            <w:tcW w:w="3402" w:type="dxa"/>
          </w:tcPr>
          <w:p w14:paraId="73AFA1C6" w14:textId="071770C5" w:rsidR="007717B2" w:rsidRDefault="00082DAC" w:rsidP="00F50B51">
            <w:pPr>
              <w:spacing w:line="288" w:lineRule="auto"/>
              <w:jc w:val="both"/>
            </w:pPr>
            <w:r w:rsidRPr="00082DAC">
              <w:t>Mlaka</w:t>
            </w:r>
          </w:p>
        </w:tc>
        <w:tc>
          <w:tcPr>
            <w:tcW w:w="1417" w:type="dxa"/>
          </w:tcPr>
          <w:p w14:paraId="33DE246A" w14:textId="4A35B32E" w:rsidR="007717B2" w:rsidRDefault="00082DAC" w:rsidP="00F50B51">
            <w:pPr>
              <w:spacing w:line="288" w:lineRule="auto"/>
              <w:jc w:val="both"/>
            </w:pPr>
            <w:r w:rsidRPr="00082DAC">
              <w:t>Tržič</w:t>
            </w:r>
          </w:p>
        </w:tc>
        <w:tc>
          <w:tcPr>
            <w:tcW w:w="1843" w:type="dxa"/>
          </w:tcPr>
          <w:p w14:paraId="6C27B72B" w14:textId="0BB199F4" w:rsidR="007717B2" w:rsidRDefault="00082DAC" w:rsidP="00082DAC">
            <w:pPr>
              <w:spacing w:line="288" w:lineRule="auto"/>
            </w:pPr>
            <w:r w:rsidRPr="00082DAC">
              <w:t>6</w:t>
            </w:r>
          </w:p>
        </w:tc>
        <w:tc>
          <w:tcPr>
            <w:tcW w:w="1979" w:type="dxa"/>
          </w:tcPr>
          <w:p w14:paraId="4AAAE375" w14:textId="2BC7100C" w:rsidR="007717B2" w:rsidRDefault="00082DAC" w:rsidP="00F50B51">
            <w:pPr>
              <w:spacing w:line="288" w:lineRule="auto"/>
              <w:jc w:val="both"/>
            </w:pPr>
            <w:r w:rsidRPr="00082DAC">
              <w:t>1,70</w:t>
            </w:r>
          </w:p>
        </w:tc>
      </w:tr>
      <w:tr w:rsidR="007717B2" w14:paraId="74B5ADEB" w14:textId="77777777" w:rsidTr="00C64E10">
        <w:trPr>
          <w:trHeight w:val="429"/>
          <w:jc w:val="center"/>
        </w:trPr>
        <w:tc>
          <w:tcPr>
            <w:tcW w:w="421" w:type="dxa"/>
          </w:tcPr>
          <w:p w14:paraId="3D0FA882" w14:textId="77777777" w:rsidR="007717B2" w:rsidRDefault="007717B2" w:rsidP="00F50B51">
            <w:pPr>
              <w:spacing w:line="288" w:lineRule="auto"/>
              <w:jc w:val="both"/>
            </w:pPr>
          </w:p>
        </w:tc>
        <w:tc>
          <w:tcPr>
            <w:tcW w:w="3402" w:type="dxa"/>
          </w:tcPr>
          <w:p w14:paraId="1CC04C49" w14:textId="37351CAD" w:rsidR="007717B2" w:rsidRDefault="00082DAC" w:rsidP="00F50B51">
            <w:pPr>
              <w:spacing w:line="288" w:lineRule="auto"/>
              <w:jc w:val="both"/>
            </w:pPr>
            <w:r>
              <w:t xml:space="preserve">Skupaj 5 – 7 </w:t>
            </w:r>
          </w:p>
        </w:tc>
        <w:tc>
          <w:tcPr>
            <w:tcW w:w="1417" w:type="dxa"/>
          </w:tcPr>
          <w:p w14:paraId="183B43D2" w14:textId="77777777" w:rsidR="007717B2" w:rsidRDefault="007717B2" w:rsidP="00F50B51">
            <w:pPr>
              <w:spacing w:line="288" w:lineRule="auto"/>
              <w:jc w:val="both"/>
            </w:pPr>
          </w:p>
        </w:tc>
        <w:tc>
          <w:tcPr>
            <w:tcW w:w="1843" w:type="dxa"/>
          </w:tcPr>
          <w:p w14:paraId="34A584B7" w14:textId="010165A2" w:rsidR="007717B2" w:rsidRDefault="00082DAC" w:rsidP="00F50B51">
            <w:pPr>
              <w:spacing w:line="288" w:lineRule="auto"/>
              <w:jc w:val="both"/>
            </w:pPr>
            <w:r w:rsidRPr="00082DAC">
              <w:t>91</w:t>
            </w:r>
          </w:p>
        </w:tc>
        <w:tc>
          <w:tcPr>
            <w:tcW w:w="1979" w:type="dxa"/>
          </w:tcPr>
          <w:p w14:paraId="4CE12783" w14:textId="0CCA8B58" w:rsidR="007717B2" w:rsidRDefault="00082DAC" w:rsidP="00F50B51">
            <w:pPr>
              <w:spacing w:line="288" w:lineRule="auto"/>
              <w:jc w:val="both"/>
            </w:pPr>
            <w:r w:rsidRPr="00082DAC">
              <w:t>16,17</w:t>
            </w:r>
          </w:p>
        </w:tc>
      </w:tr>
      <w:tr w:rsidR="007717B2" w14:paraId="7CDC1AA5" w14:textId="77777777" w:rsidTr="00C64E10">
        <w:trPr>
          <w:trHeight w:val="408"/>
          <w:jc w:val="center"/>
        </w:trPr>
        <w:tc>
          <w:tcPr>
            <w:tcW w:w="421" w:type="dxa"/>
          </w:tcPr>
          <w:p w14:paraId="5ADF2143" w14:textId="77777777" w:rsidR="007717B2" w:rsidRDefault="007717B2" w:rsidP="00F50B51">
            <w:pPr>
              <w:spacing w:line="288" w:lineRule="auto"/>
              <w:jc w:val="both"/>
            </w:pPr>
          </w:p>
        </w:tc>
        <w:tc>
          <w:tcPr>
            <w:tcW w:w="3402" w:type="dxa"/>
          </w:tcPr>
          <w:p w14:paraId="3D0C0020" w14:textId="00527D79" w:rsidR="007717B2" w:rsidRDefault="00B07131" w:rsidP="00F50B51">
            <w:pPr>
              <w:spacing w:line="288" w:lineRule="auto"/>
              <w:jc w:val="both"/>
            </w:pPr>
            <w:r>
              <w:t xml:space="preserve">Skupaj 1 – 7 </w:t>
            </w:r>
          </w:p>
        </w:tc>
        <w:tc>
          <w:tcPr>
            <w:tcW w:w="1417" w:type="dxa"/>
          </w:tcPr>
          <w:p w14:paraId="106D9DF9" w14:textId="77777777" w:rsidR="007717B2" w:rsidRDefault="007717B2" w:rsidP="00F50B51">
            <w:pPr>
              <w:spacing w:line="288" w:lineRule="auto"/>
              <w:jc w:val="both"/>
            </w:pPr>
          </w:p>
        </w:tc>
        <w:tc>
          <w:tcPr>
            <w:tcW w:w="1843" w:type="dxa"/>
          </w:tcPr>
          <w:p w14:paraId="585224D5" w14:textId="76F0A23D" w:rsidR="007717B2" w:rsidRDefault="00B07131" w:rsidP="00F50B51">
            <w:pPr>
              <w:spacing w:line="288" w:lineRule="auto"/>
              <w:jc w:val="both"/>
            </w:pPr>
            <w:r w:rsidRPr="00B07131">
              <w:t>681</w:t>
            </w:r>
          </w:p>
        </w:tc>
        <w:tc>
          <w:tcPr>
            <w:tcW w:w="1979" w:type="dxa"/>
          </w:tcPr>
          <w:p w14:paraId="625BF53D" w14:textId="40982EB9" w:rsidR="007717B2" w:rsidRDefault="00B07131" w:rsidP="00F50B51">
            <w:pPr>
              <w:spacing w:line="288" w:lineRule="auto"/>
              <w:jc w:val="both"/>
            </w:pPr>
            <w:r w:rsidRPr="00B07131">
              <w:t>139,23</w:t>
            </w:r>
          </w:p>
        </w:tc>
      </w:tr>
    </w:tbl>
    <w:p w14:paraId="0819B8F0" w14:textId="77777777" w:rsidR="007717B2" w:rsidRDefault="007717B2" w:rsidP="00F50B51">
      <w:pPr>
        <w:spacing w:line="288" w:lineRule="auto"/>
        <w:jc w:val="both"/>
      </w:pPr>
    </w:p>
    <w:p w14:paraId="4DDA5598" w14:textId="46F16B83" w:rsidR="007717B2" w:rsidRDefault="00B07131" w:rsidP="00F50B51">
      <w:pPr>
        <w:spacing w:line="288" w:lineRule="auto"/>
        <w:jc w:val="both"/>
      </w:pPr>
      <w:r>
        <w:t>Vir: SSRS</w:t>
      </w:r>
      <w:r w:rsidR="00E929DC">
        <w:t xml:space="preserve"> </w:t>
      </w:r>
    </w:p>
    <w:p w14:paraId="551556AF" w14:textId="51AADD4A" w:rsidR="00AE09B7" w:rsidRDefault="00AE09B7" w:rsidP="00F50B51">
      <w:pPr>
        <w:spacing w:line="288" w:lineRule="auto"/>
        <w:jc w:val="both"/>
      </w:pPr>
    </w:p>
    <w:p w14:paraId="7AF46847" w14:textId="77777777" w:rsidR="00981649" w:rsidRDefault="00981649" w:rsidP="00F50B51">
      <w:pPr>
        <w:spacing w:line="288" w:lineRule="auto"/>
        <w:jc w:val="both"/>
      </w:pPr>
    </w:p>
    <w:p w14:paraId="093E3514" w14:textId="77777777" w:rsidR="00981649" w:rsidRDefault="00981649" w:rsidP="00F50B51">
      <w:pPr>
        <w:spacing w:line="288" w:lineRule="auto"/>
        <w:jc w:val="both"/>
      </w:pPr>
    </w:p>
    <w:p w14:paraId="2789D3A6" w14:textId="77777777" w:rsidR="00EC6CA4" w:rsidRDefault="00EC6CA4" w:rsidP="00760EB8">
      <w:pPr>
        <w:pStyle w:val="datumtevilka"/>
        <w:jc w:val="both"/>
        <w:rPr>
          <w:rFonts w:cs="Arial"/>
          <w:color w:val="FF0000"/>
        </w:rPr>
      </w:pPr>
    </w:p>
    <w:p w14:paraId="6D895FB8" w14:textId="77777777" w:rsidR="00EC6CA4" w:rsidRDefault="00EC6CA4" w:rsidP="00760EB8">
      <w:pPr>
        <w:pStyle w:val="datumtevilka"/>
        <w:jc w:val="both"/>
        <w:rPr>
          <w:rFonts w:cs="Arial"/>
          <w:color w:val="FF0000"/>
        </w:rPr>
      </w:pPr>
    </w:p>
    <w:p w14:paraId="4A29FC92" w14:textId="77777777" w:rsidR="00EC6CA4" w:rsidRDefault="00EC6CA4" w:rsidP="00760EB8">
      <w:pPr>
        <w:pStyle w:val="datumtevilka"/>
        <w:jc w:val="both"/>
        <w:rPr>
          <w:rFonts w:cs="Arial"/>
          <w:color w:val="FF0000"/>
        </w:rPr>
      </w:pPr>
    </w:p>
    <w:p w14:paraId="22EF65F8" w14:textId="77777777" w:rsidR="00760EB8" w:rsidRPr="002E34DE" w:rsidRDefault="00760EB8" w:rsidP="00702681">
      <w:pPr>
        <w:spacing w:line="288" w:lineRule="auto"/>
        <w:jc w:val="both"/>
        <w:rPr>
          <w:rFonts w:cs="Arial"/>
          <w:sz w:val="18"/>
          <w:szCs w:val="18"/>
        </w:rPr>
      </w:pPr>
    </w:p>
    <w:sectPr w:rsidR="00760EB8" w:rsidRPr="002E34DE" w:rsidSect="006F7F7D">
      <w:head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83A1" w14:textId="77777777" w:rsidR="0086384D" w:rsidRDefault="0086384D" w:rsidP="00BD6A1D">
      <w:pPr>
        <w:spacing w:after="0" w:line="240" w:lineRule="auto"/>
      </w:pPr>
      <w:r>
        <w:separator/>
      </w:r>
    </w:p>
  </w:endnote>
  <w:endnote w:type="continuationSeparator" w:id="0">
    <w:p w14:paraId="72D83668" w14:textId="77777777" w:rsidR="0086384D" w:rsidRDefault="0086384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AD23" w14:textId="77777777" w:rsidR="0086384D" w:rsidRDefault="0086384D" w:rsidP="00BD6A1D">
      <w:pPr>
        <w:spacing w:after="0" w:line="240" w:lineRule="auto"/>
      </w:pPr>
      <w:r>
        <w:separator/>
      </w:r>
    </w:p>
  </w:footnote>
  <w:footnote w:type="continuationSeparator" w:id="0">
    <w:p w14:paraId="68F9B7BB" w14:textId="77777777" w:rsidR="0086384D" w:rsidRDefault="0086384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AA5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0" locked="0" layoutInCell="1" allowOverlap="1" wp14:anchorId="2A245578" wp14:editId="4EEFB336">
          <wp:simplePos x="0" y="0"/>
          <wp:positionH relativeFrom="page">
            <wp:posOffset>-182880</wp:posOffset>
          </wp:positionH>
          <wp:positionV relativeFrom="page">
            <wp:posOffset>-91440</wp:posOffset>
          </wp:positionV>
          <wp:extent cx="3535200" cy="1083600"/>
          <wp:effectExtent l="0" t="0" r="0" b="0"/>
          <wp:wrapSquare wrapText="bothSides"/>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anchor>
      </w:drawing>
    </w:r>
  </w:p>
  <w:p w14:paraId="19EC4F03"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EBE72A6"/>
    <w:multiLevelType w:val="hybridMultilevel"/>
    <w:tmpl w:val="7062E6E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7C35AE"/>
    <w:multiLevelType w:val="hybridMultilevel"/>
    <w:tmpl w:val="7062E6EE"/>
    <w:lvl w:ilvl="0" w:tplc="6346F59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B472167"/>
    <w:multiLevelType w:val="hybridMultilevel"/>
    <w:tmpl w:val="C660E2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2C661E"/>
    <w:multiLevelType w:val="hybridMultilevel"/>
    <w:tmpl w:val="B0EE19D4"/>
    <w:lvl w:ilvl="0" w:tplc="2A88F39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A02E5"/>
    <w:multiLevelType w:val="singleLevel"/>
    <w:tmpl w:val="81B0CAEE"/>
    <w:lvl w:ilvl="0">
      <w:start w:val="1"/>
      <w:numFmt w:val="decimal"/>
      <w:lvlText w:val="%1."/>
      <w:legacy w:legacy="1" w:legacySpace="0" w:legacyIndent="350"/>
      <w:lvlJc w:val="left"/>
      <w:rPr>
        <w:rFonts w:ascii="Arial" w:hAnsi="Arial" w:cs="Arial" w:hint="default"/>
      </w:rPr>
    </w:lvl>
  </w:abstractNum>
  <w:abstractNum w:abstractNumId="12" w15:restartNumberingAfterBreak="0">
    <w:nsid w:val="7A5136D2"/>
    <w:multiLevelType w:val="hybridMultilevel"/>
    <w:tmpl w:val="EFBA5236"/>
    <w:lvl w:ilvl="0" w:tplc="AEC06A64">
      <w:start w:val="2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9141932">
    <w:abstractNumId w:val="0"/>
  </w:num>
  <w:num w:numId="2" w16cid:durableId="1452936816">
    <w:abstractNumId w:val="8"/>
  </w:num>
  <w:num w:numId="3" w16cid:durableId="1897350614">
    <w:abstractNumId w:val="7"/>
  </w:num>
  <w:num w:numId="4" w16cid:durableId="30158130">
    <w:abstractNumId w:val="10"/>
  </w:num>
  <w:num w:numId="5" w16cid:durableId="818963976">
    <w:abstractNumId w:val="13"/>
  </w:num>
  <w:num w:numId="6" w16cid:durableId="774055195">
    <w:abstractNumId w:val="3"/>
  </w:num>
  <w:num w:numId="7" w16cid:durableId="534080285">
    <w:abstractNumId w:val="1"/>
  </w:num>
  <w:num w:numId="8" w16cid:durableId="631712960">
    <w:abstractNumId w:val="4"/>
  </w:num>
  <w:num w:numId="9" w16cid:durableId="824859023">
    <w:abstractNumId w:val="5"/>
  </w:num>
  <w:num w:numId="10" w16cid:durableId="1403989770">
    <w:abstractNumId w:val="11"/>
  </w:num>
  <w:num w:numId="11" w16cid:durableId="63768164">
    <w:abstractNumId w:val="9"/>
  </w:num>
  <w:num w:numId="12" w16cid:durableId="1450851363">
    <w:abstractNumId w:val="12"/>
  </w:num>
  <w:num w:numId="13" w16cid:durableId="1810433752">
    <w:abstractNumId w:val="6"/>
  </w:num>
  <w:num w:numId="14" w16cid:durableId="131664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40"/>
    <w:rsid w:val="00005D4B"/>
    <w:rsid w:val="00006A51"/>
    <w:rsid w:val="00016653"/>
    <w:rsid w:val="00023EFD"/>
    <w:rsid w:val="000260D8"/>
    <w:rsid w:val="00031D62"/>
    <w:rsid w:val="00032AD4"/>
    <w:rsid w:val="00032C91"/>
    <w:rsid w:val="00033B69"/>
    <w:rsid w:val="000370A4"/>
    <w:rsid w:val="00037137"/>
    <w:rsid w:val="00037530"/>
    <w:rsid w:val="000412CF"/>
    <w:rsid w:val="00041646"/>
    <w:rsid w:val="00043EE2"/>
    <w:rsid w:val="000469EA"/>
    <w:rsid w:val="00047F8B"/>
    <w:rsid w:val="00053AD0"/>
    <w:rsid w:val="00063047"/>
    <w:rsid w:val="00064C6A"/>
    <w:rsid w:val="00070EF5"/>
    <w:rsid w:val="00072E58"/>
    <w:rsid w:val="00080890"/>
    <w:rsid w:val="00082DAC"/>
    <w:rsid w:val="000831CE"/>
    <w:rsid w:val="0008543D"/>
    <w:rsid w:val="00086470"/>
    <w:rsid w:val="00092441"/>
    <w:rsid w:val="00094804"/>
    <w:rsid w:val="000A200B"/>
    <w:rsid w:val="000A355D"/>
    <w:rsid w:val="000A6D92"/>
    <w:rsid w:val="000B0226"/>
    <w:rsid w:val="000B0965"/>
    <w:rsid w:val="000B1D20"/>
    <w:rsid w:val="000B4182"/>
    <w:rsid w:val="000B7566"/>
    <w:rsid w:val="000C327A"/>
    <w:rsid w:val="000C35AB"/>
    <w:rsid w:val="000C7B50"/>
    <w:rsid w:val="000D0A51"/>
    <w:rsid w:val="000D0F4D"/>
    <w:rsid w:val="000D4B53"/>
    <w:rsid w:val="000D5D7F"/>
    <w:rsid w:val="000D6646"/>
    <w:rsid w:val="000D7761"/>
    <w:rsid w:val="000E0AB5"/>
    <w:rsid w:val="000E1DE5"/>
    <w:rsid w:val="000F2CE1"/>
    <w:rsid w:val="0010209E"/>
    <w:rsid w:val="00103C03"/>
    <w:rsid w:val="00105499"/>
    <w:rsid w:val="001106BB"/>
    <w:rsid w:val="00110E51"/>
    <w:rsid w:val="00111994"/>
    <w:rsid w:val="00113D22"/>
    <w:rsid w:val="00123A17"/>
    <w:rsid w:val="00123DEC"/>
    <w:rsid w:val="00133E4A"/>
    <w:rsid w:val="00134190"/>
    <w:rsid w:val="001362D8"/>
    <w:rsid w:val="00144C7E"/>
    <w:rsid w:val="00145D9D"/>
    <w:rsid w:val="001509FD"/>
    <w:rsid w:val="00152D3A"/>
    <w:rsid w:val="001536A5"/>
    <w:rsid w:val="00156D5F"/>
    <w:rsid w:val="00167E50"/>
    <w:rsid w:val="001703CE"/>
    <w:rsid w:val="00171198"/>
    <w:rsid w:val="00171378"/>
    <w:rsid w:val="00173A3F"/>
    <w:rsid w:val="00177722"/>
    <w:rsid w:val="0018481C"/>
    <w:rsid w:val="00187143"/>
    <w:rsid w:val="001872B1"/>
    <w:rsid w:val="00191468"/>
    <w:rsid w:val="001930E5"/>
    <w:rsid w:val="00195F0E"/>
    <w:rsid w:val="001973E4"/>
    <w:rsid w:val="001A161B"/>
    <w:rsid w:val="001A18FF"/>
    <w:rsid w:val="001A1F7D"/>
    <w:rsid w:val="001A736C"/>
    <w:rsid w:val="001A7EF4"/>
    <w:rsid w:val="001B52C8"/>
    <w:rsid w:val="001B5D01"/>
    <w:rsid w:val="001C6E7D"/>
    <w:rsid w:val="001C7F58"/>
    <w:rsid w:val="001D18A1"/>
    <w:rsid w:val="001D3B84"/>
    <w:rsid w:val="001D4243"/>
    <w:rsid w:val="001E5463"/>
    <w:rsid w:val="001E63EF"/>
    <w:rsid w:val="001E772B"/>
    <w:rsid w:val="001F3A9B"/>
    <w:rsid w:val="001F3E1E"/>
    <w:rsid w:val="001F5801"/>
    <w:rsid w:val="00201360"/>
    <w:rsid w:val="00203834"/>
    <w:rsid w:val="00205037"/>
    <w:rsid w:val="002050C4"/>
    <w:rsid w:val="0021132C"/>
    <w:rsid w:val="002139CD"/>
    <w:rsid w:val="00231AE9"/>
    <w:rsid w:val="00232054"/>
    <w:rsid w:val="0023299A"/>
    <w:rsid w:val="002334E1"/>
    <w:rsid w:val="002366C7"/>
    <w:rsid w:val="002435DC"/>
    <w:rsid w:val="00243BA1"/>
    <w:rsid w:val="00247A34"/>
    <w:rsid w:val="00252CBD"/>
    <w:rsid w:val="00257158"/>
    <w:rsid w:val="00263A02"/>
    <w:rsid w:val="002741EC"/>
    <w:rsid w:val="00275877"/>
    <w:rsid w:val="002808C0"/>
    <w:rsid w:val="00280D65"/>
    <w:rsid w:val="00281FD3"/>
    <w:rsid w:val="00282EDF"/>
    <w:rsid w:val="00283214"/>
    <w:rsid w:val="00283E8B"/>
    <w:rsid w:val="00285701"/>
    <w:rsid w:val="002861D6"/>
    <w:rsid w:val="0029363A"/>
    <w:rsid w:val="00293E0B"/>
    <w:rsid w:val="00295634"/>
    <w:rsid w:val="00296A2A"/>
    <w:rsid w:val="002975CC"/>
    <w:rsid w:val="00297B7C"/>
    <w:rsid w:val="002A0D94"/>
    <w:rsid w:val="002B0452"/>
    <w:rsid w:val="002B4B7D"/>
    <w:rsid w:val="002B7793"/>
    <w:rsid w:val="002C0ECF"/>
    <w:rsid w:val="002C32B9"/>
    <w:rsid w:val="002C4185"/>
    <w:rsid w:val="002C4311"/>
    <w:rsid w:val="002C4776"/>
    <w:rsid w:val="002C515C"/>
    <w:rsid w:val="002D0E49"/>
    <w:rsid w:val="002E32ED"/>
    <w:rsid w:val="002E34DE"/>
    <w:rsid w:val="002E3A7B"/>
    <w:rsid w:val="002E579F"/>
    <w:rsid w:val="002F4BDE"/>
    <w:rsid w:val="002F5E23"/>
    <w:rsid w:val="002F7626"/>
    <w:rsid w:val="003000D7"/>
    <w:rsid w:val="003006B7"/>
    <w:rsid w:val="00301AE3"/>
    <w:rsid w:val="0030223A"/>
    <w:rsid w:val="003045F4"/>
    <w:rsid w:val="0030553A"/>
    <w:rsid w:val="00305DF9"/>
    <w:rsid w:val="00306464"/>
    <w:rsid w:val="00306956"/>
    <w:rsid w:val="0031070E"/>
    <w:rsid w:val="00310B8F"/>
    <w:rsid w:val="003113EF"/>
    <w:rsid w:val="00313172"/>
    <w:rsid w:val="00313CD2"/>
    <w:rsid w:val="00313DD0"/>
    <w:rsid w:val="00317B62"/>
    <w:rsid w:val="00321A64"/>
    <w:rsid w:val="0032406F"/>
    <w:rsid w:val="00334783"/>
    <w:rsid w:val="00335B51"/>
    <w:rsid w:val="00341BFD"/>
    <w:rsid w:val="00341ED5"/>
    <w:rsid w:val="0034328E"/>
    <w:rsid w:val="00343E82"/>
    <w:rsid w:val="00344D41"/>
    <w:rsid w:val="00352B66"/>
    <w:rsid w:val="00353A01"/>
    <w:rsid w:val="003553D3"/>
    <w:rsid w:val="00363341"/>
    <w:rsid w:val="0036376C"/>
    <w:rsid w:val="003666A5"/>
    <w:rsid w:val="003711D9"/>
    <w:rsid w:val="00374331"/>
    <w:rsid w:val="00376F08"/>
    <w:rsid w:val="003779C8"/>
    <w:rsid w:val="00377E70"/>
    <w:rsid w:val="003812A7"/>
    <w:rsid w:val="0038183F"/>
    <w:rsid w:val="00387CA1"/>
    <w:rsid w:val="00392A56"/>
    <w:rsid w:val="00392F8A"/>
    <w:rsid w:val="00394038"/>
    <w:rsid w:val="003A75A7"/>
    <w:rsid w:val="003B2DA8"/>
    <w:rsid w:val="003B47ED"/>
    <w:rsid w:val="003C03A2"/>
    <w:rsid w:val="003C0EB9"/>
    <w:rsid w:val="003C474A"/>
    <w:rsid w:val="003C5297"/>
    <w:rsid w:val="003C55F1"/>
    <w:rsid w:val="003D14F8"/>
    <w:rsid w:val="003D69DD"/>
    <w:rsid w:val="003D7DBE"/>
    <w:rsid w:val="003E108B"/>
    <w:rsid w:val="003E368D"/>
    <w:rsid w:val="003E39CB"/>
    <w:rsid w:val="003E7D86"/>
    <w:rsid w:val="003F2783"/>
    <w:rsid w:val="004001ED"/>
    <w:rsid w:val="00400A84"/>
    <w:rsid w:val="004010F5"/>
    <w:rsid w:val="004039AD"/>
    <w:rsid w:val="00404136"/>
    <w:rsid w:val="004044DB"/>
    <w:rsid w:val="00405D58"/>
    <w:rsid w:val="004106B9"/>
    <w:rsid w:val="00410DC1"/>
    <w:rsid w:val="00424243"/>
    <w:rsid w:val="00425EE2"/>
    <w:rsid w:val="00430892"/>
    <w:rsid w:val="0043352E"/>
    <w:rsid w:val="00436151"/>
    <w:rsid w:val="00437B22"/>
    <w:rsid w:val="00440D4B"/>
    <w:rsid w:val="00441CE5"/>
    <w:rsid w:val="00441E82"/>
    <w:rsid w:val="00441F9F"/>
    <w:rsid w:val="00442482"/>
    <w:rsid w:val="00443FAC"/>
    <w:rsid w:val="004449FB"/>
    <w:rsid w:val="00450BA6"/>
    <w:rsid w:val="004526CF"/>
    <w:rsid w:val="00455560"/>
    <w:rsid w:val="00457F52"/>
    <w:rsid w:val="00464ECF"/>
    <w:rsid w:val="00464FD0"/>
    <w:rsid w:val="00465007"/>
    <w:rsid w:val="00465339"/>
    <w:rsid w:val="0046655C"/>
    <w:rsid w:val="00471985"/>
    <w:rsid w:val="00471FD3"/>
    <w:rsid w:val="00474D9C"/>
    <w:rsid w:val="004818F7"/>
    <w:rsid w:val="00487446"/>
    <w:rsid w:val="004875BD"/>
    <w:rsid w:val="0049580C"/>
    <w:rsid w:val="00495E33"/>
    <w:rsid w:val="004A508F"/>
    <w:rsid w:val="004A642E"/>
    <w:rsid w:val="004A6AE1"/>
    <w:rsid w:val="004B34EA"/>
    <w:rsid w:val="004B4898"/>
    <w:rsid w:val="004D26F7"/>
    <w:rsid w:val="004D2EE1"/>
    <w:rsid w:val="004D5B5F"/>
    <w:rsid w:val="004D681D"/>
    <w:rsid w:val="004E0399"/>
    <w:rsid w:val="004E1309"/>
    <w:rsid w:val="004E1F41"/>
    <w:rsid w:val="004E419B"/>
    <w:rsid w:val="004E5809"/>
    <w:rsid w:val="004F0E41"/>
    <w:rsid w:val="004F1894"/>
    <w:rsid w:val="004F3EAF"/>
    <w:rsid w:val="00501B78"/>
    <w:rsid w:val="00502070"/>
    <w:rsid w:val="00503E36"/>
    <w:rsid w:val="005047DD"/>
    <w:rsid w:val="0050606B"/>
    <w:rsid w:val="00510206"/>
    <w:rsid w:val="005103E9"/>
    <w:rsid w:val="005113DC"/>
    <w:rsid w:val="00516080"/>
    <w:rsid w:val="005169EB"/>
    <w:rsid w:val="00517027"/>
    <w:rsid w:val="00517F7D"/>
    <w:rsid w:val="00522F38"/>
    <w:rsid w:val="00523FE0"/>
    <w:rsid w:val="005304D1"/>
    <w:rsid w:val="00530740"/>
    <w:rsid w:val="00530D9D"/>
    <w:rsid w:val="0053551E"/>
    <w:rsid w:val="005404B4"/>
    <w:rsid w:val="00541200"/>
    <w:rsid w:val="00542A26"/>
    <w:rsid w:val="00542F8F"/>
    <w:rsid w:val="00546279"/>
    <w:rsid w:val="00550775"/>
    <w:rsid w:val="00550D86"/>
    <w:rsid w:val="005543A1"/>
    <w:rsid w:val="00554E6F"/>
    <w:rsid w:val="0055795E"/>
    <w:rsid w:val="0056065B"/>
    <w:rsid w:val="0056092E"/>
    <w:rsid w:val="00561BCF"/>
    <w:rsid w:val="005626B4"/>
    <w:rsid w:val="005628CE"/>
    <w:rsid w:val="005631BF"/>
    <w:rsid w:val="00566CBA"/>
    <w:rsid w:val="00566E0B"/>
    <w:rsid w:val="00572875"/>
    <w:rsid w:val="00577616"/>
    <w:rsid w:val="005806CA"/>
    <w:rsid w:val="00594BAB"/>
    <w:rsid w:val="005950D8"/>
    <w:rsid w:val="0059582E"/>
    <w:rsid w:val="00596C43"/>
    <w:rsid w:val="00597972"/>
    <w:rsid w:val="00597BDE"/>
    <w:rsid w:val="005A0491"/>
    <w:rsid w:val="005B0728"/>
    <w:rsid w:val="005C0301"/>
    <w:rsid w:val="005C3D84"/>
    <w:rsid w:val="005C5929"/>
    <w:rsid w:val="005D0B8D"/>
    <w:rsid w:val="005D6299"/>
    <w:rsid w:val="005D662A"/>
    <w:rsid w:val="005E050F"/>
    <w:rsid w:val="005E481A"/>
    <w:rsid w:val="005F0AB5"/>
    <w:rsid w:val="005F1706"/>
    <w:rsid w:val="005F2D29"/>
    <w:rsid w:val="005F576A"/>
    <w:rsid w:val="005F6744"/>
    <w:rsid w:val="005F6B31"/>
    <w:rsid w:val="006006CD"/>
    <w:rsid w:val="00611C9F"/>
    <w:rsid w:val="00613ECD"/>
    <w:rsid w:val="00615352"/>
    <w:rsid w:val="00630363"/>
    <w:rsid w:val="006472A3"/>
    <w:rsid w:val="00650B1D"/>
    <w:rsid w:val="00652C9D"/>
    <w:rsid w:val="00657592"/>
    <w:rsid w:val="006576EB"/>
    <w:rsid w:val="00660293"/>
    <w:rsid w:val="00662BEC"/>
    <w:rsid w:val="006644BE"/>
    <w:rsid w:val="00666542"/>
    <w:rsid w:val="00672DE9"/>
    <w:rsid w:val="00680A10"/>
    <w:rsid w:val="00681489"/>
    <w:rsid w:val="00683232"/>
    <w:rsid w:val="00683295"/>
    <w:rsid w:val="006834B0"/>
    <w:rsid w:val="00685757"/>
    <w:rsid w:val="006869E1"/>
    <w:rsid w:val="00686ECB"/>
    <w:rsid w:val="006872F1"/>
    <w:rsid w:val="0068769C"/>
    <w:rsid w:val="006901A0"/>
    <w:rsid w:val="00692BA6"/>
    <w:rsid w:val="00694D20"/>
    <w:rsid w:val="00695EC3"/>
    <w:rsid w:val="00697AC1"/>
    <w:rsid w:val="006A0B81"/>
    <w:rsid w:val="006A369E"/>
    <w:rsid w:val="006A3A96"/>
    <w:rsid w:val="006A41F8"/>
    <w:rsid w:val="006A7EA4"/>
    <w:rsid w:val="006B026B"/>
    <w:rsid w:val="006B6101"/>
    <w:rsid w:val="006C04F0"/>
    <w:rsid w:val="006C2E8B"/>
    <w:rsid w:val="006C4DDD"/>
    <w:rsid w:val="006D2817"/>
    <w:rsid w:val="006E0BD3"/>
    <w:rsid w:val="006E1AAF"/>
    <w:rsid w:val="006F1DE8"/>
    <w:rsid w:val="006F3366"/>
    <w:rsid w:val="006F4B5D"/>
    <w:rsid w:val="006F6E40"/>
    <w:rsid w:val="006F7F7D"/>
    <w:rsid w:val="00700B6E"/>
    <w:rsid w:val="00702681"/>
    <w:rsid w:val="0070516C"/>
    <w:rsid w:val="007102F1"/>
    <w:rsid w:val="00710FD5"/>
    <w:rsid w:val="007117D8"/>
    <w:rsid w:val="00712EE1"/>
    <w:rsid w:val="00713049"/>
    <w:rsid w:val="00717E7D"/>
    <w:rsid w:val="007208EE"/>
    <w:rsid w:val="00722283"/>
    <w:rsid w:val="0072392C"/>
    <w:rsid w:val="00724171"/>
    <w:rsid w:val="00736FA9"/>
    <w:rsid w:val="007400D0"/>
    <w:rsid w:val="007472FB"/>
    <w:rsid w:val="00747D51"/>
    <w:rsid w:val="007517FA"/>
    <w:rsid w:val="00751C13"/>
    <w:rsid w:val="00752A4E"/>
    <w:rsid w:val="00753C89"/>
    <w:rsid w:val="00760471"/>
    <w:rsid w:val="00760EB8"/>
    <w:rsid w:val="0076102D"/>
    <w:rsid w:val="007648F7"/>
    <w:rsid w:val="00765F81"/>
    <w:rsid w:val="00766FC4"/>
    <w:rsid w:val="007717B2"/>
    <w:rsid w:val="00772B96"/>
    <w:rsid w:val="00780E12"/>
    <w:rsid w:val="007825EA"/>
    <w:rsid w:val="00791772"/>
    <w:rsid w:val="007917F7"/>
    <w:rsid w:val="0079182D"/>
    <w:rsid w:val="00791E76"/>
    <w:rsid w:val="00792F9D"/>
    <w:rsid w:val="00794550"/>
    <w:rsid w:val="00794D3E"/>
    <w:rsid w:val="00794F45"/>
    <w:rsid w:val="00794FF6"/>
    <w:rsid w:val="00795202"/>
    <w:rsid w:val="007969B8"/>
    <w:rsid w:val="00796FA8"/>
    <w:rsid w:val="007A1D86"/>
    <w:rsid w:val="007A3E6F"/>
    <w:rsid w:val="007A745A"/>
    <w:rsid w:val="007B3CE7"/>
    <w:rsid w:val="007B5944"/>
    <w:rsid w:val="007B707B"/>
    <w:rsid w:val="007C275C"/>
    <w:rsid w:val="007C2FFC"/>
    <w:rsid w:val="007C6FDF"/>
    <w:rsid w:val="007C7E12"/>
    <w:rsid w:val="007D1FFC"/>
    <w:rsid w:val="007D2FDE"/>
    <w:rsid w:val="007D329E"/>
    <w:rsid w:val="007D4C46"/>
    <w:rsid w:val="007D628C"/>
    <w:rsid w:val="007D6E2D"/>
    <w:rsid w:val="007E7A89"/>
    <w:rsid w:val="007F1424"/>
    <w:rsid w:val="007F2270"/>
    <w:rsid w:val="007F359B"/>
    <w:rsid w:val="007F3D31"/>
    <w:rsid w:val="007F3D99"/>
    <w:rsid w:val="007F50D0"/>
    <w:rsid w:val="007F5210"/>
    <w:rsid w:val="0080153B"/>
    <w:rsid w:val="00802C4A"/>
    <w:rsid w:val="00804B91"/>
    <w:rsid w:val="008059E5"/>
    <w:rsid w:val="00813E4F"/>
    <w:rsid w:val="00815794"/>
    <w:rsid w:val="00817A2C"/>
    <w:rsid w:val="0082208C"/>
    <w:rsid w:val="00823A09"/>
    <w:rsid w:val="008257EB"/>
    <w:rsid w:val="008320E6"/>
    <w:rsid w:val="00832100"/>
    <w:rsid w:val="008359B5"/>
    <w:rsid w:val="008404F5"/>
    <w:rsid w:val="00840F12"/>
    <w:rsid w:val="00850D20"/>
    <w:rsid w:val="00853F6F"/>
    <w:rsid w:val="00855965"/>
    <w:rsid w:val="00857188"/>
    <w:rsid w:val="0086384D"/>
    <w:rsid w:val="00871A9E"/>
    <w:rsid w:val="00872EE3"/>
    <w:rsid w:val="00873CAC"/>
    <w:rsid w:val="00873DEB"/>
    <w:rsid w:val="00874372"/>
    <w:rsid w:val="00874E6D"/>
    <w:rsid w:val="008758B5"/>
    <w:rsid w:val="008771F3"/>
    <w:rsid w:val="008816EF"/>
    <w:rsid w:val="00881F5D"/>
    <w:rsid w:val="0088253B"/>
    <w:rsid w:val="00882C3C"/>
    <w:rsid w:val="00890396"/>
    <w:rsid w:val="00891217"/>
    <w:rsid w:val="0089600B"/>
    <w:rsid w:val="008A01D8"/>
    <w:rsid w:val="008A0A69"/>
    <w:rsid w:val="008A25A5"/>
    <w:rsid w:val="008A3FEF"/>
    <w:rsid w:val="008A73B1"/>
    <w:rsid w:val="008B0472"/>
    <w:rsid w:val="008B0C91"/>
    <w:rsid w:val="008B1171"/>
    <w:rsid w:val="008B7318"/>
    <w:rsid w:val="008C78D1"/>
    <w:rsid w:val="008D2923"/>
    <w:rsid w:val="008D4DB9"/>
    <w:rsid w:val="008D7B27"/>
    <w:rsid w:val="008E13F6"/>
    <w:rsid w:val="008E2F44"/>
    <w:rsid w:val="008E3607"/>
    <w:rsid w:val="008E3F2C"/>
    <w:rsid w:val="008E66DE"/>
    <w:rsid w:val="008E74A7"/>
    <w:rsid w:val="008E7D5F"/>
    <w:rsid w:val="008F210F"/>
    <w:rsid w:val="008F5654"/>
    <w:rsid w:val="008F7206"/>
    <w:rsid w:val="008F75F3"/>
    <w:rsid w:val="009002EC"/>
    <w:rsid w:val="00900E14"/>
    <w:rsid w:val="0090196F"/>
    <w:rsid w:val="00902CB0"/>
    <w:rsid w:val="009152F5"/>
    <w:rsid w:val="009208B4"/>
    <w:rsid w:val="0092732F"/>
    <w:rsid w:val="00927A46"/>
    <w:rsid w:val="00930048"/>
    <w:rsid w:val="00932ECD"/>
    <w:rsid w:val="009334EF"/>
    <w:rsid w:val="00933C2B"/>
    <w:rsid w:val="00935C84"/>
    <w:rsid w:val="009434D9"/>
    <w:rsid w:val="009466E1"/>
    <w:rsid w:val="00950CEF"/>
    <w:rsid w:val="00955EF1"/>
    <w:rsid w:val="00957BF2"/>
    <w:rsid w:val="00960D7B"/>
    <w:rsid w:val="00962ED5"/>
    <w:rsid w:val="00963186"/>
    <w:rsid w:val="009679D0"/>
    <w:rsid w:val="0097108F"/>
    <w:rsid w:val="0097197A"/>
    <w:rsid w:val="00974C9F"/>
    <w:rsid w:val="009750C9"/>
    <w:rsid w:val="0098067D"/>
    <w:rsid w:val="009806BD"/>
    <w:rsid w:val="00981649"/>
    <w:rsid w:val="0098604B"/>
    <w:rsid w:val="00990888"/>
    <w:rsid w:val="00994792"/>
    <w:rsid w:val="00996CD5"/>
    <w:rsid w:val="009A0932"/>
    <w:rsid w:val="009A1574"/>
    <w:rsid w:val="009A2836"/>
    <w:rsid w:val="009A307B"/>
    <w:rsid w:val="009A4855"/>
    <w:rsid w:val="009B2063"/>
    <w:rsid w:val="009B36F6"/>
    <w:rsid w:val="009C0E87"/>
    <w:rsid w:val="009C7D22"/>
    <w:rsid w:val="009D1CD9"/>
    <w:rsid w:val="009D63BF"/>
    <w:rsid w:val="009E2E85"/>
    <w:rsid w:val="009E35E9"/>
    <w:rsid w:val="009E3CA8"/>
    <w:rsid w:val="009E5A53"/>
    <w:rsid w:val="009F4030"/>
    <w:rsid w:val="009F4B7A"/>
    <w:rsid w:val="009F5FFF"/>
    <w:rsid w:val="009F64A3"/>
    <w:rsid w:val="00A053FA"/>
    <w:rsid w:val="00A06F18"/>
    <w:rsid w:val="00A1170B"/>
    <w:rsid w:val="00A11D54"/>
    <w:rsid w:val="00A134F7"/>
    <w:rsid w:val="00A13746"/>
    <w:rsid w:val="00A1687A"/>
    <w:rsid w:val="00A17AD1"/>
    <w:rsid w:val="00A17F54"/>
    <w:rsid w:val="00A2305B"/>
    <w:rsid w:val="00A26FE2"/>
    <w:rsid w:val="00A27F1A"/>
    <w:rsid w:val="00A330BC"/>
    <w:rsid w:val="00A36BD5"/>
    <w:rsid w:val="00A4066B"/>
    <w:rsid w:val="00A429BD"/>
    <w:rsid w:val="00A5059B"/>
    <w:rsid w:val="00A51134"/>
    <w:rsid w:val="00A5215A"/>
    <w:rsid w:val="00A6229C"/>
    <w:rsid w:val="00A640B8"/>
    <w:rsid w:val="00A65A46"/>
    <w:rsid w:val="00A711FA"/>
    <w:rsid w:val="00A7324A"/>
    <w:rsid w:val="00A75EB1"/>
    <w:rsid w:val="00A76C72"/>
    <w:rsid w:val="00A83104"/>
    <w:rsid w:val="00A9050A"/>
    <w:rsid w:val="00A97302"/>
    <w:rsid w:val="00AA4B42"/>
    <w:rsid w:val="00AA4C77"/>
    <w:rsid w:val="00AA7734"/>
    <w:rsid w:val="00AA7CFE"/>
    <w:rsid w:val="00AB0D1D"/>
    <w:rsid w:val="00AB23BA"/>
    <w:rsid w:val="00AB2A4F"/>
    <w:rsid w:val="00AB7253"/>
    <w:rsid w:val="00AC3338"/>
    <w:rsid w:val="00AC3FF4"/>
    <w:rsid w:val="00AC4A1F"/>
    <w:rsid w:val="00AC4C8A"/>
    <w:rsid w:val="00AC594C"/>
    <w:rsid w:val="00AD0810"/>
    <w:rsid w:val="00AD2F63"/>
    <w:rsid w:val="00AD3071"/>
    <w:rsid w:val="00AD4BAA"/>
    <w:rsid w:val="00AD7FC0"/>
    <w:rsid w:val="00AE09B7"/>
    <w:rsid w:val="00AE0F38"/>
    <w:rsid w:val="00AE1656"/>
    <w:rsid w:val="00AE16F8"/>
    <w:rsid w:val="00AE1F83"/>
    <w:rsid w:val="00AF4A40"/>
    <w:rsid w:val="00B012E0"/>
    <w:rsid w:val="00B05775"/>
    <w:rsid w:val="00B06397"/>
    <w:rsid w:val="00B07131"/>
    <w:rsid w:val="00B0740C"/>
    <w:rsid w:val="00B1099B"/>
    <w:rsid w:val="00B12E51"/>
    <w:rsid w:val="00B133E5"/>
    <w:rsid w:val="00B17CEF"/>
    <w:rsid w:val="00B17F52"/>
    <w:rsid w:val="00B20BCF"/>
    <w:rsid w:val="00B24F3B"/>
    <w:rsid w:val="00B26269"/>
    <w:rsid w:val="00B30846"/>
    <w:rsid w:val="00B33D20"/>
    <w:rsid w:val="00B35482"/>
    <w:rsid w:val="00B379A0"/>
    <w:rsid w:val="00B40128"/>
    <w:rsid w:val="00B4224F"/>
    <w:rsid w:val="00B45E38"/>
    <w:rsid w:val="00B47848"/>
    <w:rsid w:val="00B47C21"/>
    <w:rsid w:val="00B506DE"/>
    <w:rsid w:val="00B51A08"/>
    <w:rsid w:val="00B62918"/>
    <w:rsid w:val="00B63BF9"/>
    <w:rsid w:val="00B74247"/>
    <w:rsid w:val="00B745B4"/>
    <w:rsid w:val="00B75324"/>
    <w:rsid w:val="00B80348"/>
    <w:rsid w:val="00B80402"/>
    <w:rsid w:val="00B835A6"/>
    <w:rsid w:val="00B83CDA"/>
    <w:rsid w:val="00B84B5A"/>
    <w:rsid w:val="00B84E65"/>
    <w:rsid w:val="00B85E59"/>
    <w:rsid w:val="00B93CC2"/>
    <w:rsid w:val="00B97869"/>
    <w:rsid w:val="00BA22EC"/>
    <w:rsid w:val="00BA2BF5"/>
    <w:rsid w:val="00BA4D38"/>
    <w:rsid w:val="00BB4254"/>
    <w:rsid w:val="00BC1355"/>
    <w:rsid w:val="00BD0AE7"/>
    <w:rsid w:val="00BD5D3B"/>
    <w:rsid w:val="00BD6A1D"/>
    <w:rsid w:val="00BE61DE"/>
    <w:rsid w:val="00C06CE2"/>
    <w:rsid w:val="00C12103"/>
    <w:rsid w:val="00C12AA2"/>
    <w:rsid w:val="00C16373"/>
    <w:rsid w:val="00C17D1A"/>
    <w:rsid w:val="00C228A1"/>
    <w:rsid w:val="00C2415E"/>
    <w:rsid w:val="00C24825"/>
    <w:rsid w:val="00C24B2C"/>
    <w:rsid w:val="00C25AEE"/>
    <w:rsid w:val="00C30648"/>
    <w:rsid w:val="00C34006"/>
    <w:rsid w:val="00C34CA0"/>
    <w:rsid w:val="00C35846"/>
    <w:rsid w:val="00C35CED"/>
    <w:rsid w:val="00C37180"/>
    <w:rsid w:val="00C44C5F"/>
    <w:rsid w:val="00C463C7"/>
    <w:rsid w:val="00C4759F"/>
    <w:rsid w:val="00C56723"/>
    <w:rsid w:val="00C56E00"/>
    <w:rsid w:val="00C62FBF"/>
    <w:rsid w:val="00C63D49"/>
    <w:rsid w:val="00C64E10"/>
    <w:rsid w:val="00C65144"/>
    <w:rsid w:val="00C65226"/>
    <w:rsid w:val="00C67AD0"/>
    <w:rsid w:val="00C70C2C"/>
    <w:rsid w:val="00C81CA6"/>
    <w:rsid w:val="00C90ABB"/>
    <w:rsid w:val="00C9741B"/>
    <w:rsid w:val="00CB1F91"/>
    <w:rsid w:val="00CB49B6"/>
    <w:rsid w:val="00CC1DF2"/>
    <w:rsid w:val="00CC3A00"/>
    <w:rsid w:val="00CC5598"/>
    <w:rsid w:val="00CD02DE"/>
    <w:rsid w:val="00CD13A9"/>
    <w:rsid w:val="00CD552F"/>
    <w:rsid w:val="00CD612F"/>
    <w:rsid w:val="00CE39C8"/>
    <w:rsid w:val="00CE675B"/>
    <w:rsid w:val="00CF6512"/>
    <w:rsid w:val="00D04881"/>
    <w:rsid w:val="00D0580B"/>
    <w:rsid w:val="00D05E13"/>
    <w:rsid w:val="00D05F7C"/>
    <w:rsid w:val="00D06888"/>
    <w:rsid w:val="00D124E7"/>
    <w:rsid w:val="00D1358D"/>
    <w:rsid w:val="00D22823"/>
    <w:rsid w:val="00D25CE5"/>
    <w:rsid w:val="00D25FC9"/>
    <w:rsid w:val="00D26142"/>
    <w:rsid w:val="00D3221C"/>
    <w:rsid w:val="00D343DA"/>
    <w:rsid w:val="00D3492C"/>
    <w:rsid w:val="00D41D6F"/>
    <w:rsid w:val="00D42B9C"/>
    <w:rsid w:val="00D508D8"/>
    <w:rsid w:val="00D51502"/>
    <w:rsid w:val="00D5445A"/>
    <w:rsid w:val="00D56067"/>
    <w:rsid w:val="00D575A9"/>
    <w:rsid w:val="00D7180C"/>
    <w:rsid w:val="00D73D11"/>
    <w:rsid w:val="00D74241"/>
    <w:rsid w:val="00D74917"/>
    <w:rsid w:val="00D77320"/>
    <w:rsid w:val="00D91990"/>
    <w:rsid w:val="00DA0383"/>
    <w:rsid w:val="00DA244F"/>
    <w:rsid w:val="00DA2CE0"/>
    <w:rsid w:val="00DA3DFA"/>
    <w:rsid w:val="00DA7DF3"/>
    <w:rsid w:val="00DB092C"/>
    <w:rsid w:val="00DB1DD4"/>
    <w:rsid w:val="00DB2A2B"/>
    <w:rsid w:val="00DB5094"/>
    <w:rsid w:val="00DC1FEB"/>
    <w:rsid w:val="00DC36AB"/>
    <w:rsid w:val="00DC6D4A"/>
    <w:rsid w:val="00DD71C5"/>
    <w:rsid w:val="00DE3185"/>
    <w:rsid w:val="00DE392A"/>
    <w:rsid w:val="00DE3DBC"/>
    <w:rsid w:val="00DE4687"/>
    <w:rsid w:val="00DE6225"/>
    <w:rsid w:val="00DF162E"/>
    <w:rsid w:val="00DF4290"/>
    <w:rsid w:val="00E00063"/>
    <w:rsid w:val="00E04DF6"/>
    <w:rsid w:val="00E06B44"/>
    <w:rsid w:val="00E1620A"/>
    <w:rsid w:val="00E20A3F"/>
    <w:rsid w:val="00E23726"/>
    <w:rsid w:val="00E24658"/>
    <w:rsid w:val="00E261E6"/>
    <w:rsid w:val="00E31D86"/>
    <w:rsid w:val="00E34570"/>
    <w:rsid w:val="00E35143"/>
    <w:rsid w:val="00E3754A"/>
    <w:rsid w:val="00E4047B"/>
    <w:rsid w:val="00E412E8"/>
    <w:rsid w:val="00E51D56"/>
    <w:rsid w:val="00E54664"/>
    <w:rsid w:val="00E5475C"/>
    <w:rsid w:val="00E55816"/>
    <w:rsid w:val="00E646BD"/>
    <w:rsid w:val="00E67320"/>
    <w:rsid w:val="00E73D20"/>
    <w:rsid w:val="00E8007B"/>
    <w:rsid w:val="00E80999"/>
    <w:rsid w:val="00E82342"/>
    <w:rsid w:val="00E85AF5"/>
    <w:rsid w:val="00E917FD"/>
    <w:rsid w:val="00E9240F"/>
    <w:rsid w:val="00E929DC"/>
    <w:rsid w:val="00E95A2A"/>
    <w:rsid w:val="00E97665"/>
    <w:rsid w:val="00EA12FD"/>
    <w:rsid w:val="00EA3F17"/>
    <w:rsid w:val="00EA3FC2"/>
    <w:rsid w:val="00EA56B1"/>
    <w:rsid w:val="00EC0ADC"/>
    <w:rsid w:val="00EC1D01"/>
    <w:rsid w:val="00EC4BBD"/>
    <w:rsid w:val="00EC6CA4"/>
    <w:rsid w:val="00ED001F"/>
    <w:rsid w:val="00ED0CCD"/>
    <w:rsid w:val="00ED1A2A"/>
    <w:rsid w:val="00ED371F"/>
    <w:rsid w:val="00ED6299"/>
    <w:rsid w:val="00ED7841"/>
    <w:rsid w:val="00EE3928"/>
    <w:rsid w:val="00EE49A6"/>
    <w:rsid w:val="00EE6F0D"/>
    <w:rsid w:val="00EE70CA"/>
    <w:rsid w:val="00EF168C"/>
    <w:rsid w:val="00EF37D9"/>
    <w:rsid w:val="00EF4A9E"/>
    <w:rsid w:val="00EF4E1D"/>
    <w:rsid w:val="00EF674A"/>
    <w:rsid w:val="00EF6986"/>
    <w:rsid w:val="00EF7F00"/>
    <w:rsid w:val="00F02EA5"/>
    <w:rsid w:val="00F050D5"/>
    <w:rsid w:val="00F11DAC"/>
    <w:rsid w:val="00F1555E"/>
    <w:rsid w:val="00F16961"/>
    <w:rsid w:val="00F20E8C"/>
    <w:rsid w:val="00F21295"/>
    <w:rsid w:val="00F2251E"/>
    <w:rsid w:val="00F270F8"/>
    <w:rsid w:val="00F40805"/>
    <w:rsid w:val="00F42075"/>
    <w:rsid w:val="00F420EF"/>
    <w:rsid w:val="00F4304D"/>
    <w:rsid w:val="00F50B51"/>
    <w:rsid w:val="00F51CC2"/>
    <w:rsid w:val="00F569A3"/>
    <w:rsid w:val="00F62328"/>
    <w:rsid w:val="00F62994"/>
    <w:rsid w:val="00F82DE5"/>
    <w:rsid w:val="00F97901"/>
    <w:rsid w:val="00FA325C"/>
    <w:rsid w:val="00FA46CA"/>
    <w:rsid w:val="00FB397B"/>
    <w:rsid w:val="00FB3E3E"/>
    <w:rsid w:val="00FB439C"/>
    <w:rsid w:val="00FB43B0"/>
    <w:rsid w:val="00FB4D1B"/>
    <w:rsid w:val="00FB6FF0"/>
    <w:rsid w:val="00FC17BC"/>
    <w:rsid w:val="00FC6EC9"/>
    <w:rsid w:val="00FC7849"/>
    <w:rsid w:val="00FD0488"/>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0B0D"/>
  <w15:docId w15:val="{D2097952-40DD-4725-8022-06E8E9F4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580B"/>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razreenaomemba1">
    <w:name w:val="Nerazrešena omemba1"/>
    <w:basedOn w:val="Privzetapisavaodstavka"/>
    <w:uiPriority w:val="99"/>
    <w:semiHidden/>
    <w:unhideWhenUsed/>
    <w:rsid w:val="00683232"/>
    <w:rPr>
      <w:color w:val="605E5C"/>
      <w:shd w:val="clear" w:color="auto" w:fill="E1DFDD"/>
    </w:rPr>
  </w:style>
  <w:style w:type="paragraph" w:styleId="Odstavekseznama">
    <w:name w:val="List Paragraph"/>
    <w:basedOn w:val="Navaden"/>
    <w:uiPriority w:val="34"/>
    <w:qFormat/>
    <w:rsid w:val="00C65226"/>
    <w:pPr>
      <w:ind w:left="720"/>
      <w:contextualSpacing/>
    </w:pPr>
  </w:style>
  <w:style w:type="paragraph" w:customStyle="1" w:styleId="Style3">
    <w:name w:val="Style3"/>
    <w:basedOn w:val="Navaden"/>
    <w:uiPriority w:val="99"/>
    <w:rsid w:val="00D0580B"/>
    <w:pPr>
      <w:widowControl w:val="0"/>
      <w:autoSpaceDE w:val="0"/>
      <w:autoSpaceDN w:val="0"/>
      <w:adjustRightInd w:val="0"/>
      <w:spacing w:after="0" w:line="269" w:lineRule="exact"/>
      <w:jc w:val="both"/>
    </w:pPr>
    <w:rPr>
      <w:rFonts w:ascii="Tahoma" w:eastAsia="Times New Roman" w:hAnsi="Tahoma" w:cs="Tahoma"/>
      <w:sz w:val="24"/>
      <w:szCs w:val="24"/>
      <w:lang w:eastAsia="sl-SI"/>
    </w:rPr>
  </w:style>
  <w:style w:type="character" w:customStyle="1" w:styleId="FontStyle12">
    <w:name w:val="Font Style12"/>
    <w:uiPriority w:val="99"/>
    <w:rsid w:val="00D0580B"/>
    <w:rPr>
      <w:rFonts w:ascii="Tahoma" w:hAnsi="Tahoma" w:cs="Tahoma"/>
      <w:sz w:val="20"/>
      <w:szCs w:val="20"/>
    </w:rPr>
  </w:style>
  <w:style w:type="paragraph" w:styleId="Revizija">
    <w:name w:val="Revision"/>
    <w:hidden/>
    <w:uiPriority w:val="99"/>
    <w:semiHidden/>
    <w:rsid w:val="001E63EF"/>
    <w:pPr>
      <w:spacing w:after="0" w:line="240" w:lineRule="auto"/>
    </w:pPr>
    <w:rPr>
      <w:rFonts w:ascii="Arial" w:eastAsia="Calibri" w:hAnsi="Arial" w:cs="Times New Roman"/>
      <w:sz w:val="20"/>
    </w:rPr>
  </w:style>
  <w:style w:type="paragraph" w:customStyle="1" w:styleId="Poglavje">
    <w:name w:val="Poglavje"/>
    <w:basedOn w:val="Navaden"/>
    <w:qFormat/>
    <w:rsid w:val="00DA0383"/>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character" w:styleId="Pripombasklic">
    <w:name w:val="annotation reference"/>
    <w:basedOn w:val="Privzetapisavaodstavka"/>
    <w:uiPriority w:val="99"/>
    <w:semiHidden/>
    <w:unhideWhenUsed/>
    <w:rsid w:val="00C16373"/>
    <w:rPr>
      <w:sz w:val="16"/>
      <w:szCs w:val="16"/>
    </w:rPr>
  </w:style>
  <w:style w:type="paragraph" w:styleId="Pripombabesedilo">
    <w:name w:val="annotation text"/>
    <w:basedOn w:val="Navaden"/>
    <w:link w:val="PripombabesediloZnak"/>
    <w:uiPriority w:val="99"/>
    <w:unhideWhenUsed/>
    <w:rsid w:val="00C16373"/>
    <w:pPr>
      <w:spacing w:line="240" w:lineRule="auto"/>
    </w:pPr>
    <w:rPr>
      <w:szCs w:val="20"/>
    </w:rPr>
  </w:style>
  <w:style w:type="character" w:customStyle="1" w:styleId="PripombabesediloZnak">
    <w:name w:val="Pripomba – besedilo Znak"/>
    <w:basedOn w:val="Privzetapisavaodstavka"/>
    <w:link w:val="Pripombabesedilo"/>
    <w:uiPriority w:val="99"/>
    <w:rsid w:val="00C16373"/>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16373"/>
    <w:rPr>
      <w:b/>
      <w:bCs/>
    </w:rPr>
  </w:style>
  <w:style w:type="character" w:customStyle="1" w:styleId="ZadevapripombeZnak">
    <w:name w:val="Zadeva pripombe Znak"/>
    <w:basedOn w:val="PripombabesediloZnak"/>
    <w:link w:val="Zadevapripombe"/>
    <w:uiPriority w:val="99"/>
    <w:semiHidden/>
    <w:rsid w:val="00C16373"/>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6E0B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0BD3"/>
    <w:rPr>
      <w:rFonts w:ascii="Segoe UI" w:eastAsia="Calibri" w:hAnsi="Segoe UI" w:cs="Segoe UI"/>
      <w:sz w:val="18"/>
      <w:szCs w:val="18"/>
    </w:rPr>
  </w:style>
  <w:style w:type="table" w:styleId="Tabelamrea">
    <w:name w:val="Table Grid"/>
    <w:basedOn w:val="Navadnatabela"/>
    <w:uiPriority w:val="39"/>
    <w:rsid w:val="0023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760EB8"/>
    <w:pPr>
      <w:tabs>
        <w:tab w:val="left" w:pos="1701"/>
      </w:tabs>
      <w:spacing w:after="0" w:line="260" w:lineRule="atLeast"/>
    </w:pPr>
    <w:rPr>
      <w:rFonts w:eastAsia="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04821">
      <w:bodyDiv w:val="1"/>
      <w:marLeft w:val="0"/>
      <w:marRight w:val="0"/>
      <w:marTop w:val="0"/>
      <w:marBottom w:val="0"/>
      <w:divBdr>
        <w:top w:val="none" w:sz="0" w:space="0" w:color="auto"/>
        <w:left w:val="none" w:sz="0" w:space="0" w:color="auto"/>
        <w:bottom w:val="none" w:sz="0" w:space="0" w:color="auto"/>
        <w:right w:val="none" w:sz="0" w:space="0" w:color="auto"/>
      </w:divBdr>
    </w:div>
    <w:div w:id="983003559">
      <w:bodyDiv w:val="1"/>
      <w:marLeft w:val="0"/>
      <w:marRight w:val="0"/>
      <w:marTop w:val="0"/>
      <w:marBottom w:val="0"/>
      <w:divBdr>
        <w:top w:val="none" w:sz="0" w:space="0" w:color="auto"/>
        <w:left w:val="none" w:sz="0" w:space="0" w:color="auto"/>
        <w:bottom w:val="none" w:sz="0" w:space="0" w:color="auto"/>
        <w:right w:val="none" w:sz="0" w:space="0" w:color="auto"/>
      </w:divBdr>
    </w:div>
    <w:div w:id="14557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84566A-AC34-459B-B6AA-944561C5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2255</Words>
  <Characters>12856</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Ploštajner</dc:creator>
  <cp:lastModifiedBy>Andrej Grdiša</cp:lastModifiedBy>
  <cp:revision>24</cp:revision>
  <cp:lastPrinted>2025-05-13T08:17:00Z</cp:lastPrinted>
  <dcterms:created xsi:type="dcterms:W3CDTF">2025-05-13T11:00:00Z</dcterms:created>
  <dcterms:modified xsi:type="dcterms:W3CDTF">2025-05-21T12:25:00Z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