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7D57" w14:textId="77777777" w:rsidR="003E3ED9" w:rsidRPr="00F60B42" w:rsidRDefault="003E3ED9" w:rsidP="003E3ED9">
      <w:pPr>
        <w:rPr>
          <w:rFonts w:cs="Arial"/>
          <w:b/>
          <w:szCs w:val="20"/>
        </w:rPr>
      </w:pPr>
      <w:r w:rsidRPr="00830439">
        <w:rPr>
          <w:rFonts w:cs="Arial"/>
          <w:noProof/>
          <w:szCs w:val="20"/>
          <w:lang w:eastAsia="sl-SI"/>
        </w:rPr>
        <mc:AlternateContent>
          <mc:Choice Requires="wps">
            <w:drawing>
              <wp:anchor distT="360045" distB="540385" distL="0" distR="0" simplePos="0" relativeHeight="251660288" behindDoc="0" locked="0" layoutInCell="1" allowOverlap="0" wp14:anchorId="58CE331F" wp14:editId="798C0E44">
                <wp:simplePos x="0" y="0"/>
                <wp:positionH relativeFrom="page">
                  <wp:posOffset>1079500</wp:posOffset>
                </wp:positionH>
                <wp:positionV relativeFrom="page">
                  <wp:posOffset>2159000</wp:posOffset>
                </wp:positionV>
                <wp:extent cx="2520315" cy="476250"/>
                <wp:effectExtent l="0" t="0" r="13335"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0AEC" w14:textId="77777777" w:rsidR="003E3ED9" w:rsidRPr="005B1ECA" w:rsidRDefault="003E3ED9" w:rsidP="003E3ED9">
                            <w:pPr>
                              <w:jc w:val="both"/>
                              <w:rPr>
                                <w:rFonts w:cs="Arial"/>
                                <w:szCs w:val="20"/>
                              </w:rPr>
                            </w:pPr>
                            <w:r>
                              <w:rPr>
                                <w:rFonts w:cs="Arial"/>
                                <w:szCs w:val="20"/>
                              </w:rPr>
                              <w:t xml:space="preserve">Številka: </w:t>
                            </w:r>
                            <w:r>
                              <w:rPr>
                                <w:rFonts w:cs="Arial"/>
                                <w:szCs w:val="20"/>
                              </w:rPr>
                              <w:tab/>
                              <w:t>303-11/2023/99</w:t>
                            </w:r>
                          </w:p>
                          <w:p w14:paraId="1761BAB5" w14:textId="77777777" w:rsidR="003E3ED9" w:rsidRPr="00EA42DB" w:rsidRDefault="003E3ED9" w:rsidP="003E3ED9"/>
                          <w:p w14:paraId="1B44635C" w14:textId="77777777" w:rsidR="003E3ED9" w:rsidRPr="003E1C74" w:rsidRDefault="003E3ED9" w:rsidP="003E3E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331F" id="_x0000_t202" coordsize="21600,21600" o:spt="202" path="m,l,21600r21600,l21600,xe">
                <v:stroke joinstyle="miter"/>
                <v:path gradientshapeok="t" o:connecttype="rect"/>
              </v:shapetype>
              <v:shape id="Text Box 2" o:spid="_x0000_s1026" type="#_x0000_t202" alt="&quot;&quot;" style="position:absolute;margin-left:85pt;margin-top:170pt;width:198.45pt;height:37.5pt;z-index:25166028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" o:allowoverlap="f" filled="f" stroked="f">
                <v:textbox inset="0,0,0,0">
                  <w:txbxContent>
                    <w:p w14:paraId="165A0AEC" w14:textId="77777777" w:rsidR="003E3ED9" w:rsidRPr="005B1ECA" w:rsidRDefault="003E3ED9" w:rsidP="003E3ED9">
                      <w:pPr>
                        <w:jc w:val="both"/>
                        <w:rPr>
                          <w:rFonts w:cs="Arial"/>
                          <w:szCs w:val="20"/>
                        </w:rPr>
                      </w:pPr>
                      <w:r>
                        <w:rPr>
                          <w:rFonts w:cs="Arial"/>
                          <w:szCs w:val="20"/>
                        </w:rPr>
                        <w:t xml:space="preserve">Številka: </w:t>
                      </w:r>
                      <w:r>
                        <w:rPr>
                          <w:rFonts w:cs="Arial"/>
                          <w:szCs w:val="20"/>
                        </w:rPr>
                        <w:tab/>
                        <w:t>303-11/2023/99</w:t>
                      </w:r>
                    </w:p>
                    <w:p w14:paraId="1761BAB5" w14:textId="77777777" w:rsidR="003E3ED9" w:rsidRPr="00EA42DB" w:rsidRDefault="003E3ED9" w:rsidP="003E3ED9"/>
                    <w:p w14:paraId="1B44635C" w14:textId="77777777" w:rsidR="003E3ED9" w:rsidRPr="003E1C74" w:rsidRDefault="003E3ED9" w:rsidP="003E3ED9"/>
                  </w:txbxContent>
                </v:textbox>
                <w10:wrap type="topAndBottom" anchorx="page" anchory="page"/>
              </v:shape>
            </w:pict>
          </mc:Fallback>
        </mc:AlternateContent>
      </w:r>
      <w:r w:rsidRPr="002A1F16">
        <w:rPr>
          <w:rFonts w:cs="Arial"/>
          <w:szCs w:val="20"/>
          <w:u w:val="single"/>
        </w:rPr>
        <w:t>Priloga 1:</w:t>
      </w:r>
      <w:r w:rsidRPr="002A1F16">
        <w:rPr>
          <w:rFonts w:cs="Arial"/>
          <w:szCs w:val="20"/>
        </w:rPr>
        <w:t xml:space="preserve"> </w:t>
      </w:r>
      <w:r w:rsidRPr="00830439">
        <w:rPr>
          <w:rFonts w:cs="Arial"/>
          <w:b/>
          <w:szCs w:val="20"/>
        </w:rPr>
        <w:t>Ključni</w:t>
      </w:r>
      <w:r w:rsidRPr="00F60B42">
        <w:rPr>
          <w:rFonts w:cs="Arial"/>
          <w:b/>
          <w:szCs w:val="20"/>
        </w:rPr>
        <w:t xml:space="preserve"> element</w:t>
      </w:r>
      <w:r>
        <w:rPr>
          <w:rFonts w:cs="Arial"/>
          <w:b/>
          <w:szCs w:val="20"/>
        </w:rPr>
        <w:t>i</w:t>
      </w:r>
      <w:r w:rsidRPr="00F60B42">
        <w:rPr>
          <w:rFonts w:cs="Arial"/>
          <w:b/>
          <w:szCs w:val="20"/>
        </w:rPr>
        <w:t xml:space="preserve"> finančnih instrumentov v programskem obdobju 2014-2020, različica 1.</w:t>
      </w:r>
      <w:r>
        <w:rPr>
          <w:rFonts w:cs="Arial"/>
          <w:b/>
          <w:szCs w:val="20"/>
        </w:rPr>
        <w:t>5</w:t>
      </w:r>
      <w:r w:rsidRPr="00F60B42">
        <w:rPr>
          <w:rFonts w:cs="Arial"/>
          <w:b/>
          <w:szCs w:val="20"/>
        </w:rPr>
        <w:t xml:space="preserve">, </w:t>
      </w:r>
      <w:r>
        <w:rPr>
          <w:rFonts w:cs="Arial"/>
          <w:b/>
          <w:szCs w:val="20"/>
        </w:rPr>
        <w:t xml:space="preserve">september </w:t>
      </w:r>
      <w:r w:rsidRPr="00F60B42">
        <w:rPr>
          <w:rFonts w:cs="Arial"/>
          <w:b/>
          <w:szCs w:val="20"/>
        </w:rPr>
        <w:t>2023</w:t>
      </w:r>
    </w:p>
    <w:p w14:paraId="26693FEF" w14:textId="77777777" w:rsidR="003E3ED9" w:rsidRPr="00F60B42" w:rsidRDefault="003E3ED9" w:rsidP="003E3ED9">
      <w:pPr>
        <w:tabs>
          <w:tab w:val="left" w:pos="7200"/>
        </w:tabs>
        <w:spacing w:line="260" w:lineRule="exact"/>
        <w:jc w:val="both"/>
        <w:rPr>
          <w:rFonts w:cs="Arial"/>
          <w:szCs w:val="20"/>
        </w:rPr>
      </w:pPr>
      <w:r w:rsidRPr="00830439">
        <w:rPr>
          <w:rFonts w:cs="Arial"/>
          <w:szCs w:val="20"/>
        </w:rPr>
        <w:tab/>
      </w:r>
    </w:p>
    <w:p w14:paraId="2EC678AF" w14:textId="77777777" w:rsidR="003E3ED9" w:rsidRPr="00830439" w:rsidRDefault="003E3ED9" w:rsidP="003E3ED9">
      <w:pPr>
        <w:tabs>
          <w:tab w:val="left" w:pos="1701"/>
        </w:tabs>
        <w:spacing w:line="260" w:lineRule="exact"/>
        <w:jc w:val="both"/>
        <w:rPr>
          <w:rFonts w:cs="Arial"/>
          <w:color w:val="D9D9D9"/>
          <w:szCs w:val="20"/>
        </w:rPr>
      </w:pPr>
      <w:r w:rsidRPr="00830439">
        <w:rPr>
          <w:rFonts w:cs="Arial"/>
          <w:noProof/>
          <w:szCs w:val="20"/>
          <w:lang w:eastAsia="sl-SI"/>
        </w:rPr>
        <w:drawing>
          <wp:anchor distT="0" distB="0" distL="114300" distR="114300" simplePos="0" relativeHeight="251659264" behindDoc="0" locked="1" layoutInCell="1" allowOverlap="0" wp14:anchorId="0D0C3706" wp14:editId="28A79F72">
            <wp:simplePos x="0" y="0"/>
            <wp:positionH relativeFrom="column">
              <wp:posOffset>-533400</wp:posOffset>
            </wp:positionH>
            <wp:positionV relativeFrom="page">
              <wp:posOffset>563880</wp:posOffset>
            </wp:positionV>
            <wp:extent cx="309245" cy="345440"/>
            <wp:effectExtent l="0" t="0" r="0" b="0"/>
            <wp:wrapNone/>
            <wp:docPr id="9" name="Slika 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45" cy="345440"/>
                    </a:xfrm>
                    <a:prstGeom prst="rect">
                      <a:avLst/>
                    </a:prstGeom>
                    <a:noFill/>
                  </pic:spPr>
                </pic:pic>
              </a:graphicData>
            </a:graphic>
            <wp14:sizeRelH relativeFrom="margin">
              <wp14:pctWidth>0</wp14:pctWidth>
            </wp14:sizeRelH>
            <wp14:sizeRelV relativeFrom="margin">
              <wp14:pctHeight>0</wp14:pctHeight>
            </wp14:sizeRelV>
          </wp:anchor>
        </w:drawing>
      </w:r>
    </w:p>
    <w:p w14:paraId="0F10A8A5" w14:textId="77777777" w:rsidR="003E3ED9" w:rsidRPr="00F60B42" w:rsidRDefault="003E3ED9" w:rsidP="003E3ED9">
      <w:pPr>
        <w:tabs>
          <w:tab w:val="left" w:pos="1701"/>
        </w:tabs>
        <w:spacing w:after="260" w:line="312" w:lineRule="auto"/>
        <w:rPr>
          <w:rFonts w:cs="Arial"/>
          <w:szCs w:val="20"/>
        </w:rPr>
      </w:pPr>
    </w:p>
    <w:p w14:paraId="0D2277F8" w14:textId="77777777" w:rsidR="003E3ED9" w:rsidRPr="002A1F16" w:rsidRDefault="003E3ED9" w:rsidP="003E3ED9">
      <w:pPr>
        <w:tabs>
          <w:tab w:val="left" w:pos="1701"/>
          <w:tab w:val="left" w:pos="3402"/>
        </w:tabs>
        <w:jc w:val="center"/>
        <w:rPr>
          <w:rFonts w:cs="Arial"/>
          <w:b/>
          <w:szCs w:val="20"/>
        </w:rPr>
      </w:pPr>
      <w:r w:rsidRPr="002A1F16">
        <w:rPr>
          <w:rFonts w:cs="Arial"/>
          <w:b/>
          <w:szCs w:val="20"/>
        </w:rPr>
        <w:t>KLJUČNI ELEMENTI</w:t>
      </w:r>
    </w:p>
    <w:p w14:paraId="7E611724" w14:textId="77777777" w:rsidR="003E3ED9" w:rsidRPr="002A1F16" w:rsidRDefault="003E3ED9" w:rsidP="003E3ED9">
      <w:pPr>
        <w:tabs>
          <w:tab w:val="left" w:pos="1701"/>
          <w:tab w:val="left" w:pos="3402"/>
        </w:tabs>
        <w:jc w:val="center"/>
        <w:rPr>
          <w:rFonts w:cs="Arial"/>
          <w:b/>
          <w:szCs w:val="20"/>
        </w:rPr>
      </w:pPr>
      <w:r w:rsidRPr="002A1F16">
        <w:rPr>
          <w:rFonts w:cs="Arial"/>
          <w:b/>
          <w:szCs w:val="20"/>
        </w:rPr>
        <w:t>FINANČNIH INSTRUMENTOV</w:t>
      </w:r>
    </w:p>
    <w:p w14:paraId="6DC1CD2A" w14:textId="77777777" w:rsidR="003E3ED9" w:rsidRPr="002A1F16" w:rsidRDefault="003E3ED9" w:rsidP="003E3ED9">
      <w:pPr>
        <w:tabs>
          <w:tab w:val="left" w:pos="1701"/>
          <w:tab w:val="left" w:pos="3402"/>
        </w:tabs>
        <w:jc w:val="center"/>
        <w:rPr>
          <w:rFonts w:cs="Arial"/>
          <w:b/>
          <w:szCs w:val="20"/>
        </w:rPr>
      </w:pPr>
      <w:r w:rsidRPr="002A1F16">
        <w:rPr>
          <w:rFonts w:cs="Arial"/>
          <w:b/>
          <w:szCs w:val="20"/>
        </w:rPr>
        <w:t>V PROGRAMSKEM OBDOBJU 2014-2020</w:t>
      </w:r>
    </w:p>
    <w:p w14:paraId="3EE8C5A9" w14:textId="77777777" w:rsidR="003E3ED9" w:rsidRPr="002A1F16" w:rsidRDefault="003E3ED9" w:rsidP="003E3ED9">
      <w:pPr>
        <w:tabs>
          <w:tab w:val="left" w:pos="1701"/>
          <w:tab w:val="left" w:pos="3402"/>
        </w:tabs>
        <w:jc w:val="center"/>
        <w:rPr>
          <w:rFonts w:cs="Arial"/>
          <w:b/>
          <w:szCs w:val="20"/>
        </w:rPr>
      </w:pPr>
    </w:p>
    <w:p w14:paraId="02F3B28C" w14:textId="77777777" w:rsidR="003E3ED9" w:rsidRPr="00830439" w:rsidRDefault="003E3ED9" w:rsidP="003E3ED9">
      <w:pPr>
        <w:tabs>
          <w:tab w:val="left" w:pos="1701"/>
          <w:tab w:val="left" w:pos="3402"/>
        </w:tabs>
        <w:jc w:val="center"/>
        <w:rPr>
          <w:rFonts w:cs="Arial"/>
          <w:b/>
          <w:szCs w:val="20"/>
        </w:rPr>
      </w:pPr>
    </w:p>
    <w:p w14:paraId="5A1569A4" w14:textId="77777777" w:rsidR="003E3ED9" w:rsidRPr="00F60B42" w:rsidRDefault="003E3ED9" w:rsidP="003E3ED9">
      <w:pPr>
        <w:tabs>
          <w:tab w:val="left" w:pos="3402"/>
        </w:tabs>
        <w:rPr>
          <w:rFonts w:cs="Arial"/>
          <w:color w:val="A6A6A6"/>
          <w:szCs w:val="20"/>
        </w:rPr>
      </w:pPr>
    </w:p>
    <w:p w14:paraId="0282AF0C" w14:textId="77777777" w:rsidR="003E3ED9" w:rsidRPr="00F60B42" w:rsidRDefault="003E3ED9" w:rsidP="003E3ED9">
      <w:pPr>
        <w:tabs>
          <w:tab w:val="left" w:pos="3402"/>
        </w:tabs>
        <w:rPr>
          <w:rFonts w:cs="Arial"/>
          <w:color w:val="A6A6A6"/>
          <w:szCs w:val="20"/>
        </w:rPr>
      </w:pPr>
    </w:p>
    <w:p w14:paraId="6A820A24" w14:textId="77777777" w:rsidR="003E3ED9" w:rsidRPr="00830439" w:rsidRDefault="003E3ED9" w:rsidP="003E3ED9">
      <w:pPr>
        <w:tabs>
          <w:tab w:val="left" w:pos="3402"/>
        </w:tabs>
        <w:rPr>
          <w:rFonts w:cs="Arial"/>
          <w:color w:val="A6A6A6"/>
          <w:szCs w:val="20"/>
        </w:rPr>
      </w:pPr>
    </w:p>
    <w:p w14:paraId="19CBFC6C" w14:textId="77777777" w:rsidR="003E3ED9" w:rsidRPr="00830439" w:rsidRDefault="003E3ED9" w:rsidP="003E3ED9">
      <w:pPr>
        <w:tabs>
          <w:tab w:val="left" w:pos="3402"/>
        </w:tabs>
        <w:rPr>
          <w:rFonts w:cs="Arial"/>
          <w:color w:val="A6A6A6"/>
          <w:szCs w:val="20"/>
        </w:rPr>
      </w:pPr>
    </w:p>
    <w:p w14:paraId="419F7095" w14:textId="77777777" w:rsidR="003E3ED9" w:rsidRPr="00830439" w:rsidRDefault="003E3ED9" w:rsidP="003E3ED9">
      <w:pPr>
        <w:tabs>
          <w:tab w:val="left" w:pos="3402"/>
        </w:tabs>
        <w:rPr>
          <w:rFonts w:cs="Arial"/>
          <w:color w:val="A6A6A6"/>
          <w:szCs w:val="20"/>
        </w:rPr>
      </w:pPr>
    </w:p>
    <w:p w14:paraId="1CAEEA8F" w14:textId="77777777" w:rsidR="003E3ED9" w:rsidRPr="00830439" w:rsidRDefault="003E3ED9" w:rsidP="003E3ED9">
      <w:pPr>
        <w:tabs>
          <w:tab w:val="left" w:pos="3402"/>
        </w:tabs>
        <w:rPr>
          <w:rFonts w:cs="Arial"/>
          <w:color w:val="A6A6A6"/>
          <w:szCs w:val="20"/>
        </w:rPr>
      </w:pPr>
    </w:p>
    <w:p w14:paraId="7D692F09" w14:textId="77777777" w:rsidR="003E3ED9" w:rsidRPr="00830439" w:rsidRDefault="003E3ED9" w:rsidP="003E3ED9">
      <w:pPr>
        <w:tabs>
          <w:tab w:val="left" w:pos="3402"/>
        </w:tabs>
        <w:rPr>
          <w:rFonts w:cs="Arial"/>
          <w:color w:val="A6A6A6"/>
          <w:szCs w:val="20"/>
        </w:rPr>
      </w:pPr>
    </w:p>
    <w:p w14:paraId="473E6A39" w14:textId="77777777" w:rsidR="003E3ED9" w:rsidRPr="00830439" w:rsidRDefault="003E3ED9" w:rsidP="003E3ED9">
      <w:pPr>
        <w:tabs>
          <w:tab w:val="left" w:pos="3402"/>
        </w:tabs>
        <w:rPr>
          <w:rFonts w:cs="Arial"/>
          <w:color w:val="A6A6A6"/>
          <w:szCs w:val="20"/>
        </w:rPr>
      </w:pPr>
    </w:p>
    <w:p w14:paraId="407DF395" w14:textId="77777777" w:rsidR="003E3ED9" w:rsidRPr="00830439" w:rsidRDefault="003E3ED9" w:rsidP="003E3ED9">
      <w:pPr>
        <w:tabs>
          <w:tab w:val="left" w:pos="3402"/>
        </w:tabs>
        <w:rPr>
          <w:rFonts w:cs="Arial"/>
          <w:color w:val="A6A6A6"/>
          <w:szCs w:val="20"/>
        </w:rPr>
      </w:pPr>
    </w:p>
    <w:p w14:paraId="3AF68407" w14:textId="77777777" w:rsidR="003E3ED9" w:rsidRPr="00830439" w:rsidRDefault="003E3ED9" w:rsidP="003E3ED9">
      <w:pPr>
        <w:tabs>
          <w:tab w:val="left" w:pos="3402"/>
        </w:tabs>
        <w:rPr>
          <w:rFonts w:cs="Arial"/>
          <w:color w:val="A6A6A6"/>
          <w:szCs w:val="20"/>
        </w:rPr>
      </w:pPr>
    </w:p>
    <w:p w14:paraId="1E33E5C6" w14:textId="77777777" w:rsidR="003E3ED9" w:rsidRPr="00830439" w:rsidRDefault="003E3ED9" w:rsidP="003E3ED9">
      <w:pPr>
        <w:tabs>
          <w:tab w:val="left" w:pos="3402"/>
        </w:tabs>
        <w:rPr>
          <w:rFonts w:cs="Arial"/>
          <w:color w:val="A6A6A6"/>
          <w:szCs w:val="20"/>
        </w:rPr>
      </w:pPr>
    </w:p>
    <w:p w14:paraId="48029F9E" w14:textId="77777777" w:rsidR="003E3ED9" w:rsidRPr="00830439" w:rsidRDefault="003E3ED9" w:rsidP="003E3ED9">
      <w:pPr>
        <w:tabs>
          <w:tab w:val="left" w:pos="3402"/>
        </w:tabs>
        <w:rPr>
          <w:rFonts w:cs="Arial"/>
          <w:color w:val="A6A6A6"/>
          <w:szCs w:val="20"/>
        </w:rPr>
      </w:pPr>
    </w:p>
    <w:p w14:paraId="27B23D34" w14:textId="77777777" w:rsidR="003E3ED9" w:rsidRPr="00830439" w:rsidRDefault="003E3ED9" w:rsidP="003E3ED9">
      <w:pPr>
        <w:tabs>
          <w:tab w:val="left" w:pos="3402"/>
        </w:tabs>
        <w:rPr>
          <w:rFonts w:cs="Arial"/>
          <w:color w:val="A6A6A6"/>
          <w:szCs w:val="20"/>
        </w:rPr>
      </w:pPr>
    </w:p>
    <w:p w14:paraId="7BE2AE55" w14:textId="77777777" w:rsidR="003E3ED9" w:rsidRPr="00830439" w:rsidRDefault="003E3ED9" w:rsidP="003E3ED9">
      <w:pPr>
        <w:tabs>
          <w:tab w:val="left" w:pos="3402"/>
        </w:tabs>
        <w:rPr>
          <w:rFonts w:cs="Arial"/>
          <w:color w:val="A6A6A6"/>
          <w:szCs w:val="20"/>
        </w:rPr>
      </w:pPr>
    </w:p>
    <w:p w14:paraId="4246E6CB" w14:textId="77777777" w:rsidR="003E3ED9" w:rsidRPr="00830439" w:rsidRDefault="003E3ED9" w:rsidP="003E3ED9">
      <w:pPr>
        <w:tabs>
          <w:tab w:val="left" w:pos="3402"/>
        </w:tabs>
        <w:rPr>
          <w:rFonts w:cs="Arial"/>
          <w:color w:val="A6A6A6"/>
          <w:szCs w:val="20"/>
        </w:rPr>
      </w:pPr>
    </w:p>
    <w:p w14:paraId="3510D396" w14:textId="77777777" w:rsidR="003E3ED9" w:rsidRPr="00830439" w:rsidRDefault="003E3ED9" w:rsidP="003E3ED9">
      <w:pPr>
        <w:tabs>
          <w:tab w:val="left" w:pos="3402"/>
        </w:tabs>
        <w:rPr>
          <w:rFonts w:cs="Arial"/>
          <w:color w:val="A6A6A6"/>
          <w:szCs w:val="20"/>
        </w:rPr>
      </w:pPr>
    </w:p>
    <w:p w14:paraId="6191F32A" w14:textId="77777777" w:rsidR="003E3ED9" w:rsidRPr="00830439" w:rsidRDefault="003E3ED9" w:rsidP="003E3ED9">
      <w:pPr>
        <w:tabs>
          <w:tab w:val="left" w:pos="3402"/>
        </w:tabs>
        <w:rPr>
          <w:rFonts w:cs="Arial"/>
          <w:color w:val="A6A6A6"/>
          <w:szCs w:val="20"/>
        </w:rPr>
      </w:pPr>
    </w:p>
    <w:p w14:paraId="372A6BA6" w14:textId="77777777" w:rsidR="003E3ED9" w:rsidRPr="00830439" w:rsidRDefault="003E3ED9" w:rsidP="003E3ED9">
      <w:pPr>
        <w:tabs>
          <w:tab w:val="left" w:pos="3402"/>
        </w:tabs>
        <w:rPr>
          <w:rFonts w:cs="Arial"/>
          <w:color w:val="A6A6A6"/>
          <w:szCs w:val="20"/>
        </w:rPr>
      </w:pPr>
    </w:p>
    <w:p w14:paraId="71708D87" w14:textId="77777777" w:rsidR="003E3ED9" w:rsidRPr="00830439" w:rsidRDefault="003E3ED9" w:rsidP="003E3ED9">
      <w:pPr>
        <w:tabs>
          <w:tab w:val="left" w:pos="3402"/>
        </w:tabs>
        <w:rPr>
          <w:rFonts w:cs="Arial"/>
          <w:color w:val="A6A6A6"/>
          <w:szCs w:val="20"/>
        </w:rPr>
      </w:pPr>
    </w:p>
    <w:p w14:paraId="05F2662A" w14:textId="77777777" w:rsidR="003E3ED9" w:rsidRPr="00830439" w:rsidRDefault="003E3ED9" w:rsidP="003E3ED9">
      <w:pPr>
        <w:tabs>
          <w:tab w:val="left" w:pos="3402"/>
        </w:tabs>
        <w:rPr>
          <w:rFonts w:cs="Arial"/>
          <w:color w:val="A6A6A6"/>
          <w:szCs w:val="20"/>
        </w:rPr>
      </w:pPr>
    </w:p>
    <w:p w14:paraId="3F45FEF2" w14:textId="77777777" w:rsidR="003E3ED9" w:rsidRPr="00830439" w:rsidRDefault="003E3ED9" w:rsidP="003E3ED9">
      <w:pPr>
        <w:tabs>
          <w:tab w:val="left" w:pos="3402"/>
        </w:tabs>
        <w:rPr>
          <w:rFonts w:cs="Arial"/>
          <w:color w:val="A6A6A6"/>
          <w:szCs w:val="20"/>
        </w:rPr>
      </w:pPr>
    </w:p>
    <w:p w14:paraId="7B5271C3" w14:textId="77777777" w:rsidR="003E3ED9" w:rsidRPr="00830439" w:rsidRDefault="003E3ED9" w:rsidP="003E3ED9">
      <w:pPr>
        <w:tabs>
          <w:tab w:val="left" w:pos="3402"/>
        </w:tabs>
        <w:rPr>
          <w:rFonts w:cs="Arial"/>
          <w:color w:val="A6A6A6"/>
          <w:szCs w:val="20"/>
        </w:rPr>
      </w:pPr>
    </w:p>
    <w:p w14:paraId="24E33C9A" w14:textId="77777777" w:rsidR="003E3ED9" w:rsidRPr="00830439" w:rsidRDefault="003E3ED9" w:rsidP="003E3ED9">
      <w:pPr>
        <w:tabs>
          <w:tab w:val="left" w:pos="3402"/>
        </w:tabs>
        <w:rPr>
          <w:rFonts w:cs="Arial"/>
          <w:color w:val="A6A6A6"/>
          <w:szCs w:val="20"/>
        </w:rPr>
      </w:pPr>
    </w:p>
    <w:p w14:paraId="3C98B60A" w14:textId="77777777" w:rsidR="003E3ED9" w:rsidRPr="00830439" w:rsidRDefault="003E3ED9" w:rsidP="003E3ED9">
      <w:pPr>
        <w:tabs>
          <w:tab w:val="left" w:pos="3402"/>
        </w:tabs>
        <w:rPr>
          <w:rFonts w:cs="Arial"/>
          <w:color w:val="A6A6A6"/>
          <w:szCs w:val="20"/>
        </w:rPr>
      </w:pPr>
    </w:p>
    <w:p w14:paraId="498C6C28" w14:textId="77777777" w:rsidR="003E3ED9" w:rsidRPr="00830439" w:rsidRDefault="003E3ED9" w:rsidP="003E3ED9">
      <w:pPr>
        <w:tabs>
          <w:tab w:val="left" w:pos="3402"/>
        </w:tabs>
        <w:rPr>
          <w:rFonts w:cs="Arial"/>
          <w:color w:val="A6A6A6"/>
          <w:szCs w:val="20"/>
        </w:rPr>
      </w:pPr>
    </w:p>
    <w:p w14:paraId="2B1E2229" w14:textId="77777777" w:rsidR="003E3ED9" w:rsidRPr="00830439" w:rsidRDefault="003E3ED9" w:rsidP="003E3ED9">
      <w:pPr>
        <w:tabs>
          <w:tab w:val="left" w:pos="3402"/>
        </w:tabs>
        <w:rPr>
          <w:rFonts w:cs="Arial"/>
          <w:color w:val="A6A6A6"/>
          <w:szCs w:val="20"/>
        </w:rPr>
      </w:pPr>
    </w:p>
    <w:p w14:paraId="3E113A63" w14:textId="77777777" w:rsidR="003E3ED9" w:rsidRDefault="003E3ED9" w:rsidP="003E3ED9">
      <w:pPr>
        <w:tabs>
          <w:tab w:val="left" w:pos="3402"/>
        </w:tabs>
        <w:rPr>
          <w:rFonts w:cs="Arial"/>
          <w:color w:val="000000"/>
          <w:szCs w:val="20"/>
        </w:rPr>
      </w:pPr>
      <w:r w:rsidRPr="00830439">
        <w:rPr>
          <w:rFonts w:cs="Arial"/>
          <w:color w:val="000000"/>
          <w:szCs w:val="20"/>
        </w:rPr>
        <w:t xml:space="preserve">Ljubljana, </w:t>
      </w:r>
      <w:r>
        <w:rPr>
          <w:rFonts w:cs="Arial"/>
          <w:color w:val="000000"/>
          <w:szCs w:val="20"/>
        </w:rPr>
        <w:t xml:space="preserve">september </w:t>
      </w:r>
      <w:r w:rsidRPr="00830439">
        <w:rPr>
          <w:rFonts w:cs="Arial"/>
          <w:color w:val="000000"/>
          <w:szCs w:val="20"/>
        </w:rPr>
        <w:t>2023</w:t>
      </w:r>
    </w:p>
    <w:p w14:paraId="35F9CA59" w14:textId="77777777" w:rsidR="003E3ED9" w:rsidRDefault="003E3ED9" w:rsidP="003E3ED9">
      <w:pPr>
        <w:tabs>
          <w:tab w:val="left" w:pos="3402"/>
        </w:tabs>
        <w:rPr>
          <w:rFonts w:cs="Arial"/>
          <w:color w:val="000000"/>
          <w:szCs w:val="20"/>
        </w:rPr>
      </w:pPr>
      <w:r>
        <w:rPr>
          <w:rFonts w:cs="Arial"/>
          <w:color w:val="000000"/>
          <w:szCs w:val="20"/>
        </w:rPr>
        <w:t>različica 1.5</w:t>
      </w:r>
    </w:p>
    <w:p w14:paraId="4AD47EC4" w14:textId="77777777" w:rsidR="003E3ED9" w:rsidRPr="00830439" w:rsidRDefault="003E3ED9" w:rsidP="003E3ED9">
      <w:pPr>
        <w:tabs>
          <w:tab w:val="left" w:pos="3402"/>
        </w:tabs>
        <w:rPr>
          <w:rFonts w:cs="Arial"/>
          <w:color w:val="000000"/>
          <w:szCs w:val="20"/>
        </w:rPr>
      </w:pPr>
      <w:r w:rsidRPr="00830439">
        <w:rPr>
          <w:rFonts w:cs="Arial"/>
          <w:color w:val="000000"/>
          <w:szCs w:val="20"/>
        </w:rPr>
        <w:tab/>
      </w:r>
      <w:r w:rsidRPr="00830439">
        <w:rPr>
          <w:rFonts w:cs="Arial"/>
          <w:color w:val="000000"/>
          <w:szCs w:val="20"/>
        </w:rPr>
        <w:tab/>
      </w:r>
      <w:r w:rsidRPr="00830439">
        <w:rPr>
          <w:rFonts w:cs="Arial"/>
          <w:color w:val="000000"/>
          <w:szCs w:val="20"/>
        </w:rPr>
        <w:tab/>
        <w:t xml:space="preserve">                 </w:t>
      </w:r>
      <w:r w:rsidRPr="00830439">
        <w:rPr>
          <w:rFonts w:cs="Arial"/>
          <w:color w:val="000000"/>
          <w:szCs w:val="20"/>
        </w:rPr>
        <w:tab/>
      </w:r>
      <w:r w:rsidRPr="00830439">
        <w:rPr>
          <w:rFonts w:cs="Arial"/>
          <w:color w:val="000000"/>
          <w:szCs w:val="20"/>
        </w:rPr>
        <w:tab/>
      </w:r>
      <w:r w:rsidRPr="00830439">
        <w:rPr>
          <w:rFonts w:cs="Arial"/>
          <w:color w:val="000000"/>
          <w:szCs w:val="20"/>
        </w:rPr>
        <w:tab/>
        <w:t xml:space="preserve"> </w:t>
      </w:r>
      <w:r w:rsidRPr="00830439">
        <w:rPr>
          <w:rFonts w:cs="Arial"/>
          <w:color w:val="000000"/>
          <w:szCs w:val="20"/>
        </w:rPr>
        <w:tab/>
      </w:r>
      <w:r w:rsidRPr="00830439">
        <w:rPr>
          <w:rFonts w:cs="Arial"/>
          <w:color w:val="000000"/>
          <w:szCs w:val="20"/>
        </w:rPr>
        <w:tab/>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1207"/>
        <w:gridCol w:w="1763"/>
        <w:gridCol w:w="1486"/>
        <w:gridCol w:w="3110"/>
      </w:tblGrid>
      <w:tr w:rsidR="003E3ED9" w:rsidRPr="00830439" w14:paraId="2C36A68A" w14:textId="77777777" w:rsidTr="00E8716B">
        <w:trPr>
          <w:trHeight w:val="429"/>
          <w:jc w:val="center"/>
        </w:trPr>
        <w:tc>
          <w:tcPr>
            <w:tcW w:w="997" w:type="dxa"/>
            <w:vAlign w:val="center"/>
          </w:tcPr>
          <w:p w14:paraId="550FF527" w14:textId="77777777" w:rsidR="003E3ED9" w:rsidRPr="00830439" w:rsidRDefault="003E3ED9" w:rsidP="00E8716B">
            <w:pPr>
              <w:jc w:val="center"/>
              <w:rPr>
                <w:rFonts w:cs="Arial"/>
                <w:b/>
                <w:bCs/>
                <w:szCs w:val="20"/>
              </w:rPr>
            </w:pPr>
            <w:r w:rsidRPr="00830439">
              <w:rPr>
                <w:rFonts w:cs="Arial"/>
                <w:szCs w:val="20"/>
              </w:rPr>
              <w:lastRenderedPageBreak/>
              <w:br w:type="page"/>
            </w:r>
            <w:r w:rsidRPr="00830439">
              <w:rPr>
                <w:rFonts w:cs="Arial"/>
                <w:b/>
                <w:bCs/>
                <w:szCs w:val="20"/>
              </w:rPr>
              <w:t>Različica</w:t>
            </w:r>
          </w:p>
        </w:tc>
        <w:tc>
          <w:tcPr>
            <w:tcW w:w="1207" w:type="dxa"/>
            <w:vAlign w:val="center"/>
          </w:tcPr>
          <w:p w14:paraId="603CABBD" w14:textId="77777777" w:rsidR="003E3ED9" w:rsidRPr="00830439" w:rsidRDefault="003E3ED9" w:rsidP="00E8716B">
            <w:pPr>
              <w:jc w:val="center"/>
              <w:rPr>
                <w:rFonts w:cs="Arial"/>
                <w:b/>
                <w:bCs/>
                <w:szCs w:val="20"/>
              </w:rPr>
            </w:pPr>
            <w:r w:rsidRPr="00830439">
              <w:rPr>
                <w:rFonts w:cs="Arial"/>
                <w:b/>
                <w:bCs/>
                <w:szCs w:val="20"/>
              </w:rPr>
              <w:t>Datum dokumenta</w:t>
            </w:r>
          </w:p>
        </w:tc>
        <w:tc>
          <w:tcPr>
            <w:tcW w:w="1763" w:type="dxa"/>
            <w:vAlign w:val="center"/>
          </w:tcPr>
          <w:p w14:paraId="129551F2" w14:textId="77777777" w:rsidR="003E3ED9" w:rsidRPr="00830439" w:rsidRDefault="003E3ED9" w:rsidP="00E8716B">
            <w:pPr>
              <w:jc w:val="center"/>
              <w:rPr>
                <w:rFonts w:cs="Arial"/>
                <w:b/>
                <w:bCs/>
                <w:szCs w:val="20"/>
              </w:rPr>
            </w:pPr>
            <w:r w:rsidRPr="00830439">
              <w:rPr>
                <w:rFonts w:cs="Arial"/>
                <w:b/>
                <w:bCs/>
                <w:szCs w:val="20"/>
              </w:rPr>
              <w:t>Opis/sprememba poglavja</w:t>
            </w:r>
          </w:p>
        </w:tc>
        <w:tc>
          <w:tcPr>
            <w:tcW w:w="1486" w:type="dxa"/>
            <w:vAlign w:val="center"/>
          </w:tcPr>
          <w:p w14:paraId="0575740E" w14:textId="77777777" w:rsidR="003E3ED9" w:rsidRPr="00830439" w:rsidRDefault="003E3ED9" w:rsidP="00E8716B">
            <w:pPr>
              <w:jc w:val="center"/>
              <w:rPr>
                <w:rFonts w:cs="Arial"/>
                <w:b/>
                <w:bCs/>
                <w:szCs w:val="20"/>
              </w:rPr>
            </w:pPr>
            <w:r w:rsidRPr="00830439">
              <w:rPr>
                <w:rFonts w:cs="Arial"/>
                <w:b/>
                <w:bCs/>
                <w:szCs w:val="20"/>
              </w:rPr>
              <w:t>Potrjeno na Vladi RS</w:t>
            </w:r>
          </w:p>
        </w:tc>
        <w:tc>
          <w:tcPr>
            <w:tcW w:w="3110" w:type="dxa"/>
            <w:vAlign w:val="center"/>
          </w:tcPr>
          <w:p w14:paraId="05F1E6FA" w14:textId="77777777" w:rsidR="003E3ED9" w:rsidRPr="00830439" w:rsidRDefault="003E3ED9" w:rsidP="00E8716B">
            <w:pPr>
              <w:jc w:val="center"/>
              <w:rPr>
                <w:rFonts w:cs="Arial"/>
                <w:b/>
                <w:bCs/>
                <w:szCs w:val="20"/>
              </w:rPr>
            </w:pPr>
            <w:r w:rsidRPr="00830439">
              <w:rPr>
                <w:rFonts w:cs="Arial"/>
                <w:b/>
                <w:bCs/>
                <w:szCs w:val="20"/>
              </w:rPr>
              <w:t>Komentar</w:t>
            </w:r>
          </w:p>
        </w:tc>
      </w:tr>
      <w:tr w:rsidR="003E3ED9" w:rsidRPr="00830439" w14:paraId="31C9A8DE" w14:textId="77777777" w:rsidTr="00E8716B">
        <w:trPr>
          <w:trHeight w:val="476"/>
          <w:jc w:val="center"/>
        </w:trPr>
        <w:tc>
          <w:tcPr>
            <w:tcW w:w="997" w:type="dxa"/>
            <w:vAlign w:val="center"/>
          </w:tcPr>
          <w:p w14:paraId="479FCBEE" w14:textId="77777777" w:rsidR="003E3ED9" w:rsidRPr="00F60B42" w:rsidRDefault="003E3ED9" w:rsidP="00E8716B">
            <w:pPr>
              <w:jc w:val="center"/>
              <w:rPr>
                <w:rFonts w:cs="Arial"/>
                <w:szCs w:val="20"/>
              </w:rPr>
            </w:pPr>
            <w:r w:rsidRPr="00830439">
              <w:rPr>
                <w:rFonts w:cs="Arial"/>
                <w:szCs w:val="20"/>
              </w:rPr>
              <w:t>1.0</w:t>
            </w:r>
          </w:p>
        </w:tc>
        <w:tc>
          <w:tcPr>
            <w:tcW w:w="1207" w:type="dxa"/>
            <w:shd w:val="clear" w:color="auto" w:fill="auto"/>
            <w:vAlign w:val="center"/>
          </w:tcPr>
          <w:p w14:paraId="585F5475" w14:textId="77777777" w:rsidR="003E3ED9" w:rsidRPr="00F60B42" w:rsidRDefault="003E3ED9" w:rsidP="00E8716B">
            <w:pPr>
              <w:jc w:val="center"/>
              <w:rPr>
                <w:rFonts w:cs="Arial"/>
                <w:szCs w:val="20"/>
              </w:rPr>
            </w:pPr>
            <w:r w:rsidRPr="00F60B42">
              <w:rPr>
                <w:rFonts w:cs="Arial"/>
                <w:szCs w:val="20"/>
              </w:rPr>
              <w:t>12. 6. 2017</w:t>
            </w:r>
          </w:p>
        </w:tc>
        <w:tc>
          <w:tcPr>
            <w:tcW w:w="1763" w:type="dxa"/>
            <w:vAlign w:val="center"/>
          </w:tcPr>
          <w:p w14:paraId="5C37F507" w14:textId="77777777" w:rsidR="003E3ED9" w:rsidRPr="00830439" w:rsidRDefault="003E3ED9" w:rsidP="00E8716B">
            <w:pPr>
              <w:jc w:val="center"/>
              <w:rPr>
                <w:rFonts w:cs="Arial"/>
                <w:szCs w:val="20"/>
              </w:rPr>
            </w:pPr>
            <w:r w:rsidRPr="00830439">
              <w:rPr>
                <w:rFonts w:cs="Arial"/>
                <w:szCs w:val="20"/>
              </w:rPr>
              <w:t>Osnovna različica dokumenta</w:t>
            </w:r>
          </w:p>
        </w:tc>
        <w:tc>
          <w:tcPr>
            <w:tcW w:w="1486" w:type="dxa"/>
            <w:vAlign w:val="center"/>
          </w:tcPr>
          <w:p w14:paraId="69BFF64A" w14:textId="77777777" w:rsidR="003E3ED9" w:rsidRPr="00830439" w:rsidRDefault="003E3ED9" w:rsidP="00E8716B">
            <w:pPr>
              <w:jc w:val="center"/>
              <w:rPr>
                <w:rFonts w:cs="Arial"/>
                <w:bCs/>
                <w:szCs w:val="20"/>
              </w:rPr>
            </w:pPr>
            <w:r w:rsidRPr="00830439">
              <w:rPr>
                <w:rFonts w:cs="Arial"/>
                <w:bCs/>
                <w:szCs w:val="20"/>
              </w:rPr>
              <w:t>15.6.2017</w:t>
            </w:r>
          </w:p>
          <w:p w14:paraId="0458728B" w14:textId="77777777" w:rsidR="003E3ED9" w:rsidRPr="00830439" w:rsidRDefault="003E3ED9" w:rsidP="00E8716B">
            <w:pPr>
              <w:jc w:val="center"/>
              <w:rPr>
                <w:rFonts w:cs="Arial"/>
                <w:bCs/>
                <w:szCs w:val="20"/>
              </w:rPr>
            </w:pPr>
            <w:r w:rsidRPr="00830439">
              <w:rPr>
                <w:rFonts w:cs="Arial"/>
                <w:bCs/>
                <w:szCs w:val="20"/>
              </w:rPr>
              <w:t>(sklep št. 30300-4/2017/4)</w:t>
            </w:r>
          </w:p>
        </w:tc>
        <w:tc>
          <w:tcPr>
            <w:tcW w:w="3110" w:type="dxa"/>
            <w:vAlign w:val="center"/>
          </w:tcPr>
          <w:p w14:paraId="502EE30F" w14:textId="77777777" w:rsidR="003E3ED9" w:rsidRPr="00830439" w:rsidRDefault="003E3ED9" w:rsidP="00E8716B">
            <w:pPr>
              <w:rPr>
                <w:rFonts w:cs="Arial"/>
                <w:szCs w:val="20"/>
              </w:rPr>
            </w:pPr>
            <w:r w:rsidRPr="00830439">
              <w:rPr>
                <w:rFonts w:cs="Arial"/>
                <w:szCs w:val="20"/>
              </w:rPr>
              <w:t>KEFI so osnova za pričetek postopka izbora upravljavca sklada skladov za operacijo finančni instrumenti v programskem obdobju 2014-2020</w:t>
            </w:r>
          </w:p>
        </w:tc>
      </w:tr>
      <w:tr w:rsidR="003E3ED9" w:rsidRPr="00830439" w14:paraId="4E1B27FF" w14:textId="77777777" w:rsidTr="00E8716B">
        <w:trPr>
          <w:trHeight w:val="476"/>
          <w:jc w:val="center"/>
        </w:trPr>
        <w:tc>
          <w:tcPr>
            <w:tcW w:w="997" w:type="dxa"/>
            <w:vAlign w:val="center"/>
          </w:tcPr>
          <w:p w14:paraId="20600E23" w14:textId="77777777" w:rsidR="003E3ED9" w:rsidRPr="00F60B42" w:rsidRDefault="003E3ED9" w:rsidP="00E8716B">
            <w:pPr>
              <w:jc w:val="center"/>
              <w:rPr>
                <w:rFonts w:cs="Arial"/>
                <w:szCs w:val="20"/>
              </w:rPr>
            </w:pPr>
            <w:r w:rsidRPr="00830439">
              <w:rPr>
                <w:rFonts w:cs="Arial"/>
                <w:szCs w:val="20"/>
              </w:rPr>
              <w:t>1.1</w:t>
            </w:r>
          </w:p>
        </w:tc>
        <w:tc>
          <w:tcPr>
            <w:tcW w:w="1207" w:type="dxa"/>
            <w:shd w:val="clear" w:color="auto" w:fill="auto"/>
            <w:vAlign w:val="center"/>
          </w:tcPr>
          <w:p w14:paraId="200B251D" w14:textId="77777777" w:rsidR="003E3ED9" w:rsidRPr="00F60B42" w:rsidRDefault="003E3ED9" w:rsidP="00E8716B">
            <w:pPr>
              <w:jc w:val="center"/>
              <w:rPr>
                <w:rFonts w:cs="Arial"/>
                <w:szCs w:val="20"/>
              </w:rPr>
            </w:pPr>
            <w:r w:rsidRPr="00F60B42">
              <w:rPr>
                <w:rFonts w:cs="Arial"/>
                <w:szCs w:val="20"/>
              </w:rPr>
              <w:t>24. 8. 2017</w:t>
            </w:r>
          </w:p>
        </w:tc>
        <w:tc>
          <w:tcPr>
            <w:tcW w:w="1763" w:type="dxa"/>
            <w:vAlign w:val="center"/>
          </w:tcPr>
          <w:p w14:paraId="669B9F8D" w14:textId="77777777" w:rsidR="003E3ED9" w:rsidRPr="00830439" w:rsidRDefault="003E3ED9" w:rsidP="00E8716B">
            <w:pPr>
              <w:jc w:val="center"/>
              <w:rPr>
                <w:rFonts w:cs="Arial"/>
                <w:szCs w:val="20"/>
              </w:rPr>
            </w:pPr>
            <w:r w:rsidRPr="00830439">
              <w:rPr>
                <w:rFonts w:cs="Arial"/>
                <w:szCs w:val="20"/>
              </w:rPr>
              <w:t>Spremeni se Tabela 10: Finančna sredstva za FI po letih in kohezijskih regijah.</w:t>
            </w:r>
          </w:p>
        </w:tc>
        <w:tc>
          <w:tcPr>
            <w:tcW w:w="1486" w:type="dxa"/>
            <w:vAlign w:val="center"/>
          </w:tcPr>
          <w:p w14:paraId="7B44D224" w14:textId="77777777" w:rsidR="003E3ED9" w:rsidRPr="00830439" w:rsidRDefault="003E3ED9" w:rsidP="00E8716B">
            <w:pPr>
              <w:jc w:val="center"/>
              <w:rPr>
                <w:rFonts w:cs="Arial"/>
                <w:bCs/>
                <w:szCs w:val="20"/>
              </w:rPr>
            </w:pPr>
            <w:r w:rsidRPr="00830439">
              <w:rPr>
                <w:rFonts w:cs="Arial"/>
                <w:bCs/>
                <w:szCs w:val="20"/>
              </w:rPr>
              <w:t>28.9.2017</w:t>
            </w:r>
          </w:p>
          <w:p w14:paraId="1A3E9AD4" w14:textId="77777777" w:rsidR="003E3ED9" w:rsidRPr="00830439" w:rsidRDefault="003E3ED9" w:rsidP="00E8716B">
            <w:pPr>
              <w:jc w:val="center"/>
              <w:rPr>
                <w:rFonts w:cs="Arial"/>
                <w:bCs/>
                <w:szCs w:val="20"/>
              </w:rPr>
            </w:pPr>
            <w:r w:rsidRPr="00830439">
              <w:rPr>
                <w:rFonts w:cs="Arial"/>
                <w:bCs/>
                <w:szCs w:val="20"/>
              </w:rPr>
              <w:t>(sklep št. 30300-4/2017/8)</w:t>
            </w:r>
          </w:p>
        </w:tc>
        <w:tc>
          <w:tcPr>
            <w:tcW w:w="3110" w:type="dxa"/>
            <w:vAlign w:val="center"/>
          </w:tcPr>
          <w:p w14:paraId="6EC67248" w14:textId="77777777" w:rsidR="003E3ED9" w:rsidRPr="00830439" w:rsidRDefault="003E3ED9" w:rsidP="00E8716B">
            <w:pPr>
              <w:rPr>
                <w:rFonts w:cs="Arial"/>
                <w:szCs w:val="20"/>
              </w:rPr>
            </w:pPr>
            <w:r w:rsidRPr="00830439">
              <w:rPr>
                <w:rFonts w:cs="Arial"/>
                <w:szCs w:val="20"/>
              </w:rPr>
              <w:t>Spremembe zaradi uskladitve razdelitve finančnih sredstev med Vzhodno in Zahodno kohezijsko regijo na prednostnih naložbah 1.2 in 3.1, glede na predlog spremembe Operativnega programa za izvajanje evropske kohezijske politike v obdobju 2014-2020 Evropski komisiji (“</w:t>
            </w:r>
            <w:proofErr w:type="spellStart"/>
            <w:r w:rsidRPr="00830439">
              <w:rPr>
                <w:rFonts w:cs="Arial"/>
                <w:szCs w:val="20"/>
              </w:rPr>
              <w:t>Amendment</w:t>
            </w:r>
            <w:proofErr w:type="spellEnd"/>
            <w:r w:rsidRPr="00830439">
              <w:rPr>
                <w:rFonts w:cs="Arial"/>
                <w:szCs w:val="20"/>
              </w:rPr>
              <w:t xml:space="preserve"> </w:t>
            </w:r>
            <w:proofErr w:type="spellStart"/>
            <w:r w:rsidRPr="00830439">
              <w:rPr>
                <w:rFonts w:cs="Arial"/>
                <w:szCs w:val="20"/>
              </w:rPr>
              <w:t>of</w:t>
            </w:r>
            <w:proofErr w:type="spellEnd"/>
            <w:r w:rsidRPr="00830439">
              <w:rPr>
                <w:rFonts w:cs="Arial"/>
                <w:szCs w:val="20"/>
              </w:rPr>
              <w:t xml:space="preserve"> </w:t>
            </w:r>
            <w:proofErr w:type="spellStart"/>
            <w:r w:rsidRPr="00830439">
              <w:rPr>
                <w:rFonts w:cs="Arial"/>
                <w:szCs w:val="20"/>
              </w:rPr>
              <w:t>the</w:t>
            </w:r>
            <w:proofErr w:type="spellEnd"/>
            <w:r w:rsidRPr="00830439">
              <w:rPr>
                <w:rFonts w:cs="Arial"/>
                <w:szCs w:val="20"/>
              </w:rPr>
              <w:t xml:space="preserve"> </w:t>
            </w:r>
            <w:proofErr w:type="spellStart"/>
            <w:r w:rsidRPr="00830439">
              <w:rPr>
                <w:rFonts w:cs="Arial"/>
                <w:szCs w:val="20"/>
              </w:rPr>
              <w:t>Operational</w:t>
            </w:r>
            <w:proofErr w:type="spellEnd"/>
            <w:r w:rsidRPr="00830439">
              <w:rPr>
                <w:rFonts w:cs="Arial"/>
                <w:szCs w:val="20"/>
              </w:rPr>
              <w:t xml:space="preserve"> </w:t>
            </w:r>
            <w:proofErr w:type="spellStart"/>
            <w:r w:rsidRPr="00830439">
              <w:rPr>
                <w:rFonts w:cs="Arial"/>
                <w:szCs w:val="20"/>
              </w:rPr>
              <w:t>Programme</w:t>
            </w:r>
            <w:proofErr w:type="spellEnd"/>
            <w:r w:rsidRPr="00830439">
              <w:rPr>
                <w:rFonts w:cs="Arial"/>
                <w:szCs w:val="20"/>
              </w:rPr>
              <w:t xml:space="preserve"> </w:t>
            </w:r>
            <w:proofErr w:type="spellStart"/>
            <w:r w:rsidRPr="00830439">
              <w:rPr>
                <w:rFonts w:cs="Arial"/>
                <w:szCs w:val="20"/>
              </w:rPr>
              <w:t>for</w:t>
            </w:r>
            <w:proofErr w:type="spellEnd"/>
            <w:r w:rsidRPr="00830439">
              <w:rPr>
                <w:rFonts w:cs="Arial"/>
                <w:szCs w:val="20"/>
              </w:rPr>
              <w:t xml:space="preserve"> </w:t>
            </w:r>
            <w:proofErr w:type="spellStart"/>
            <w:r w:rsidRPr="00830439">
              <w:rPr>
                <w:rFonts w:cs="Arial"/>
                <w:szCs w:val="20"/>
              </w:rPr>
              <w:t>the</w:t>
            </w:r>
            <w:proofErr w:type="spellEnd"/>
            <w:r w:rsidRPr="00830439">
              <w:rPr>
                <w:rFonts w:cs="Arial"/>
                <w:szCs w:val="20"/>
              </w:rPr>
              <w:t xml:space="preserve"> </w:t>
            </w:r>
            <w:proofErr w:type="spellStart"/>
            <w:r w:rsidRPr="00830439">
              <w:rPr>
                <w:rFonts w:cs="Arial"/>
                <w:szCs w:val="20"/>
              </w:rPr>
              <w:t>Implementation</w:t>
            </w:r>
            <w:proofErr w:type="spellEnd"/>
            <w:r w:rsidRPr="00830439">
              <w:rPr>
                <w:rFonts w:cs="Arial"/>
                <w:szCs w:val="20"/>
              </w:rPr>
              <w:t xml:space="preserve"> </w:t>
            </w:r>
            <w:proofErr w:type="spellStart"/>
            <w:r w:rsidRPr="00830439">
              <w:rPr>
                <w:rFonts w:cs="Arial"/>
                <w:szCs w:val="20"/>
              </w:rPr>
              <w:t>of</w:t>
            </w:r>
            <w:proofErr w:type="spellEnd"/>
            <w:r w:rsidRPr="00830439">
              <w:rPr>
                <w:rFonts w:cs="Arial"/>
                <w:szCs w:val="20"/>
              </w:rPr>
              <w:t xml:space="preserve"> </w:t>
            </w:r>
            <w:proofErr w:type="spellStart"/>
            <w:r w:rsidRPr="00830439">
              <w:rPr>
                <w:rFonts w:cs="Arial"/>
                <w:szCs w:val="20"/>
              </w:rPr>
              <w:t>the</w:t>
            </w:r>
            <w:proofErr w:type="spellEnd"/>
            <w:r w:rsidRPr="00830439">
              <w:rPr>
                <w:rFonts w:cs="Arial"/>
                <w:szCs w:val="20"/>
              </w:rPr>
              <w:t xml:space="preserve"> </w:t>
            </w:r>
            <w:proofErr w:type="spellStart"/>
            <w:r w:rsidRPr="00830439">
              <w:rPr>
                <w:rFonts w:cs="Arial"/>
                <w:szCs w:val="20"/>
              </w:rPr>
              <w:t>European</w:t>
            </w:r>
            <w:proofErr w:type="spellEnd"/>
            <w:r w:rsidRPr="00830439">
              <w:rPr>
                <w:rFonts w:cs="Arial"/>
                <w:szCs w:val="20"/>
              </w:rPr>
              <w:t xml:space="preserve"> </w:t>
            </w:r>
            <w:proofErr w:type="spellStart"/>
            <w:r w:rsidRPr="00830439">
              <w:rPr>
                <w:rFonts w:cs="Arial"/>
                <w:szCs w:val="20"/>
              </w:rPr>
              <w:t>Cohesion</w:t>
            </w:r>
            <w:proofErr w:type="spellEnd"/>
            <w:r w:rsidRPr="00830439">
              <w:rPr>
                <w:rFonts w:cs="Arial"/>
                <w:szCs w:val="20"/>
              </w:rPr>
              <w:t xml:space="preserve"> </w:t>
            </w:r>
            <w:proofErr w:type="spellStart"/>
            <w:r w:rsidRPr="00830439">
              <w:rPr>
                <w:rFonts w:cs="Arial"/>
                <w:szCs w:val="20"/>
              </w:rPr>
              <w:t>Policy</w:t>
            </w:r>
            <w:proofErr w:type="spellEnd"/>
            <w:r w:rsidRPr="00830439">
              <w:rPr>
                <w:rFonts w:cs="Arial"/>
                <w:szCs w:val="20"/>
              </w:rPr>
              <w:t xml:space="preserve"> in </w:t>
            </w:r>
            <w:proofErr w:type="spellStart"/>
            <w:r w:rsidRPr="00830439">
              <w:rPr>
                <w:rFonts w:cs="Arial"/>
                <w:szCs w:val="20"/>
              </w:rPr>
              <w:t>the</w:t>
            </w:r>
            <w:proofErr w:type="spellEnd"/>
            <w:r w:rsidRPr="00830439">
              <w:rPr>
                <w:rFonts w:cs="Arial"/>
                <w:szCs w:val="20"/>
              </w:rPr>
              <w:t xml:space="preserve"> Period 2014-2020” z dne 11. 7. 2017), ki ga je Služba Vlade Republike Slovenije za razvoj in evropsko kohezijsko politiko, na podlagi sklepa št. 9 4. seje Odbora za spremljanje Operativnega programa za izvajanje evropske kohezijske politike v obdobju 2014-2020 (dokument št. 303-8/2015-258 z dne 13. 6. 2017), posredovala Evropski komisiji.</w:t>
            </w:r>
          </w:p>
        </w:tc>
      </w:tr>
      <w:tr w:rsidR="003E3ED9" w:rsidRPr="00830439" w14:paraId="064DE5AC" w14:textId="77777777" w:rsidTr="00E8716B">
        <w:trPr>
          <w:trHeight w:val="476"/>
          <w:jc w:val="center"/>
        </w:trPr>
        <w:tc>
          <w:tcPr>
            <w:tcW w:w="997" w:type="dxa"/>
            <w:vAlign w:val="center"/>
          </w:tcPr>
          <w:p w14:paraId="02DA3496" w14:textId="77777777" w:rsidR="003E3ED9" w:rsidRPr="00F60B42" w:rsidRDefault="003E3ED9" w:rsidP="00E8716B">
            <w:pPr>
              <w:jc w:val="center"/>
              <w:rPr>
                <w:rFonts w:cs="Arial"/>
                <w:szCs w:val="20"/>
              </w:rPr>
            </w:pPr>
            <w:r w:rsidRPr="00830439">
              <w:rPr>
                <w:rFonts w:cs="Arial"/>
                <w:szCs w:val="20"/>
              </w:rPr>
              <w:t>1.2</w:t>
            </w:r>
          </w:p>
        </w:tc>
        <w:tc>
          <w:tcPr>
            <w:tcW w:w="1207" w:type="dxa"/>
            <w:shd w:val="clear" w:color="auto" w:fill="auto"/>
            <w:vAlign w:val="center"/>
          </w:tcPr>
          <w:p w14:paraId="082014E5" w14:textId="77777777" w:rsidR="003E3ED9" w:rsidRPr="00F60B42" w:rsidRDefault="003E3ED9" w:rsidP="00E8716B">
            <w:pPr>
              <w:jc w:val="center"/>
              <w:rPr>
                <w:rFonts w:cs="Arial"/>
                <w:szCs w:val="20"/>
                <w:highlight w:val="yellow"/>
              </w:rPr>
            </w:pPr>
            <w:r w:rsidRPr="00F60B42">
              <w:rPr>
                <w:rFonts w:cs="Arial"/>
                <w:szCs w:val="20"/>
              </w:rPr>
              <w:t>marec 2021</w:t>
            </w:r>
          </w:p>
        </w:tc>
        <w:tc>
          <w:tcPr>
            <w:tcW w:w="1763" w:type="dxa"/>
            <w:vAlign w:val="center"/>
          </w:tcPr>
          <w:p w14:paraId="51CE43B9" w14:textId="77777777" w:rsidR="003E3ED9" w:rsidRPr="00830439" w:rsidRDefault="003E3ED9" w:rsidP="00E8716B">
            <w:pPr>
              <w:jc w:val="center"/>
              <w:rPr>
                <w:rFonts w:cs="Arial"/>
                <w:szCs w:val="20"/>
              </w:rPr>
            </w:pPr>
            <w:r w:rsidRPr="00830439">
              <w:rPr>
                <w:rFonts w:cs="Arial"/>
                <w:szCs w:val="20"/>
              </w:rPr>
              <w:t>Povzetek se dopolni z izvedenimi aktivnostmi do datuma dokumenta.</w:t>
            </w:r>
          </w:p>
          <w:p w14:paraId="7108F952" w14:textId="77777777" w:rsidR="003E3ED9" w:rsidRPr="00830439" w:rsidRDefault="003E3ED9" w:rsidP="00E8716B">
            <w:pPr>
              <w:jc w:val="center"/>
              <w:rPr>
                <w:rFonts w:cs="Arial"/>
                <w:szCs w:val="20"/>
              </w:rPr>
            </w:pPr>
          </w:p>
          <w:p w14:paraId="0051A9A4" w14:textId="77777777" w:rsidR="003E3ED9" w:rsidRPr="00830439" w:rsidRDefault="003E3ED9" w:rsidP="00E8716B">
            <w:pPr>
              <w:jc w:val="center"/>
              <w:rPr>
                <w:rFonts w:cs="Arial"/>
                <w:szCs w:val="20"/>
              </w:rPr>
            </w:pPr>
            <w:r w:rsidRPr="00830439">
              <w:rPr>
                <w:rFonts w:cs="Arial"/>
                <w:szCs w:val="20"/>
              </w:rPr>
              <w:t>Spremenita se poglavji 3.2.1.1 in 3.2.1.2.</w:t>
            </w:r>
          </w:p>
          <w:p w14:paraId="57E5ACF4" w14:textId="77777777" w:rsidR="003E3ED9" w:rsidRPr="00830439" w:rsidRDefault="003E3ED9" w:rsidP="00E8716B">
            <w:pPr>
              <w:jc w:val="center"/>
              <w:rPr>
                <w:rFonts w:cs="Arial"/>
                <w:szCs w:val="20"/>
              </w:rPr>
            </w:pPr>
          </w:p>
          <w:p w14:paraId="2128E536" w14:textId="77777777" w:rsidR="003E3ED9" w:rsidRPr="00830439" w:rsidRDefault="003E3ED9" w:rsidP="00E8716B">
            <w:pPr>
              <w:jc w:val="center"/>
              <w:rPr>
                <w:rFonts w:cs="Arial"/>
                <w:szCs w:val="20"/>
              </w:rPr>
            </w:pPr>
            <w:r w:rsidRPr="00830439">
              <w:rPr>
                <w:rFonts w:cs="Arial"/>
                <w:szCs w:val="20"/>
              </w:rPr>
              <w:t>Spremenita se tabeli 9 in 14.</w:t>
            </w:r>
          </w:p>
          <w:p w14:paraId="38EDFEF1" w14:textId="77777777" w:rsidR="003E3ED9" w:rsidRPr="00830439" w:rsidRDefault="003E3ED9" w:rsidP="00E8716B">
            <w:pPr>
              <w:jc w:val="center"/>
              <w:rPr>
                <w:rFonts w:cs="Arial"/>
                <w:szCs w:val="20"/>
              </w:rPr>
            </w:pPr>
          </w:p>
          <w:p w14:paraId="1D5A317B" w14:textId="77777777" w:rsidR="003E3ED9" w:rsidRPr="00830439" w:rsidRDefault="003E3ED9" w:rsidP="00E8716B">
            <w:pPr>
              <w:jc w:val="center"/>
              <w:rPr>
                <w:rFonts w:cs="Arial"/>
                <w:szCs w:val="20"/>
              </w:rPr>
            </w:pPr>
            <w:r w:rsidRPr="00830439">
              <w:rPr>
                <w:rFonts w:cs="Arial"/>
                <w:szCs w:val="20"/>
              </w:rPr>
              <w:t>Izvedejo se manjši pravopisni popravki.</w:t>
            </w:r>
          </w:p>
        </w:tc>
        <w:tc>
          <w:tcPr>
            <w:tcW w:w="1486" w:type="dxa"/>
            <w:vAlign w:val="center"/>
          </w:tcPr>
          <w:p w14:paraId="2828EB91" w14:textId="77777777" w:rsidR="003E3ED9" w:rsidRPr="00830439" w:rsidRDefault="003E3ED9" w:rsidP="00E8716B">
            <w:pPr>
              <w:jc w:val="center"/>
              <w:rPr>
                <w:rFonts w:cs="Arial"/>
                <w:bCs/>
                <w:szCs w:val="20"/>
              </w:rPr>
            </w:pPr>
            <w:r w:rsidRPr="00830439">
              <w:rPr>
                <w:rFonts w:cs="Arial"/>
                <w:bCs/>
                <w:szCs w:val="20"/>
              </w:rPr>
              <w:t>28. 4. 2021</w:t>
            </w:r>
          </w:p>
          <w:p w14:paraId="44E1CFC6" w14:textId="77777777" w:rsidR="003E3ED9" w:rsidRPr="00830439" w:rsidRDefault="003E3ED9" w:rsidP="00E8716B">
            <w:pPr>
              <w:jc w:val="center"/>
              <w:rPr>
                <w:rFonts w:cs="Arial"/>
                <w:bCs/>
                <w:szCs w:val="20"/>
              </w:rPr>
            </w:pPr>
            <w:r w:rsidRPr="00830439">
              <w:rPr>
                <w:rFonts w:cs="Arial"/>
                <w:bCs/>
                <w:szCs w:val="20"/>
              </w:rPr>
              <w:t>(sklep št. 30300-3/2020/7)</w:t>
            </w:r>
          </w:p>
        </w:tc>
        <w:tc>
          <w:tcPr>
            <w:tcW w:w="3110" w:type="dxa"/>
            <w:vAlign w:val="center"/>
          </w:tcPr>
          <w:p w14:paraId="25ECBE51" w14:textId="77777777" w:rsidR="003E3ED9" w:rsidRPr="00830439" w:rsidRDefault="003E3ED9" w:rsidP="00E8716B">
            <w:pPr>
              <w:rPr>
                <w:rFonts w:cs="Arial"/>
                <w:szCs w:val="20"/>
              </w:rPr>
            </w:pPr>
            <w:r w:rsidRPr="00830439">
              <w:rPr>
                <w:rFonts w:cs="Arial"/>
                <w:szCs w:val="20"/>
              </w:rPr>
              <w:t xml:space="preserve">Sprememba KEFI zaradi trajne dodelitve sredstev (iz finančnega produkta </w:t>
            </w:r>
            <w:proofErr w:type="spellStart"/>
            <w:r w:rsidRPr="00830439">
              <w:rPr>
                <w:rFonts w:cs="Arial"/>
                <w:szCs w:val="20"/>
              </w:rPr>
              <w:t>portfeljske</w:t>
            </w:r>
            <w:proofErr w:type="spellEnd"/>
            <w:r w:rsidRPr="00830439">
              <w:rPr>
                <w:rFonts w:cs="Arial"/>
                <w:szCs w:val="20"/>
              </w:rPr>
              <w:t xml:space="preserve"> garancije za RRI za velika podjetja) na finančni produkt posojila za RRI v celotni kvoti 10 mio EUR (EU del) zaradi </w:t>
            </w:r>
            <w:proofErr w:type="spellStart"/>
            <w:r w:rsidRPr="00830439">
              <w:rPr>
                <w:rFonts w:cs="Arial"/>
                <w:szCs w:val="20"/>
              </w:rPr>
              <w:t>neinteresa</w:t>
            </w:r>
            <w:proofErr w:type="spellEnd"/>
            <w:r w:rsidRPr="00830439">
              <w:rPr>
                <w:rFonts w:cs="Arial"/>
                <w:szCs w:val="20"/>
              </w:rPr>
              <w:t xml:space="preserve"> finančnih institucij za izvajanje finančnega produkta. Spremeni se kazalnik CO01 po finančnih produktih (posojila za RRI, </w:t>
            </w:r>
            <w:proofErr w:type="spellStart"/>
            <w:r w:rsidRPr="00830439">
              <w:rPr>
                <w:rFonts w:cs="Arial"/>
                <w:szCs w:val="20"/>
              </w:rPr>
              <w:t>portfeljske</w:t>
            </w:r>
            <w:proofErr w:type="spellEnd"/>
            <w:r w:rsidRPr="00830439">
              <w:rPr>
                <w:rFonts w:cs="Arial"/>
                <w:szCs w:val="20"/>
              </w:rPr>
              <w:t xml:space="preserve"> garancije za RRI za velika podjetja) na PN1.2, pri čemer ostaja kazalnik CO03 za PN1.2 nespremenjen.</w:t>
            </w:r>
          </w:p>
        </w:tc>
      </w:tr>
      <w:tr w:rsidR="003E3ED9" w:rsidRPr="00830439" w14:paraId="707AC5BA" w14:textId="77777777" w:rsidTr="00E8716B">
        <w:trPr>
          <w:trHeight w:val="476"/>
          <w:jc w:val="center"/>
        </w:trPr>
        <w:tc>
          <w:tcPr>
            <w:tcW w:w="997" w:type="dxa"/>
            <w:vAlign w:val="center"/>
          </w:tcPr>
          <w:p w14:paraId="7570AC75" w14:textId="77777777" w:rsidR="003E3ED9" w:rsidRPr="00F60B42" w:rsidRDefault="003E3ED9" w:rsidP="00E8716B">
            <w:pPr>
              <w:jc w:val="center"/>
              <w:rPr>
                <w:rFonts w:cs="Arial"/>
                <w:szCs w:val="20"/>
              </w:rPr>
            </w:pPr>
            <w:r w:rsidRPr="00830439">
              <w:rPr>
                <w:rFonts w:cs="Arial"/>
                <w:szCs w:val="20"/>
              </w:rPr>
              <w:t>1.3</w:t>
            </w:r>
          </w:p>
        </w:tc>
        <w:tc>
          <w:tcPr>
            <w:tcW w:w="1207" w:type="dxa"/>
            <w:shd w:val="clear" w:color="auto" w:fill="auto"/>
            <w:vAlign w:val="center"/>
          </w:tcPr>
          <w:p w14:paraId="7E94EE73" w14:textId="77777777" w:rsidR="003E3ED9" w:rsidRPr="00F60B42" w:rsidRDefault="003E3ED9" w:rsidP="00E8716B">
            <w:pPr>
              <w:jc w:val="center"/>
              <w:rPr>
                <w:rFonts w:cs="Arial"/>
                <w:szCs w:val="20"/>
              </w:rPr>
            </w:pPr>
            <w:r w:rsidRPr="00F60B42">
              <w:rPr>
                <w:rFonts w:cs="Arial"/>
                <w:szCs w:val="20"/>
              </w:rPr>
              <w:t>maj 2022</w:t>
            </w:r>
          </w:p>
        </w:tc>
        <w:tc>
          <w:tcPr>
            <w:tcW w:w="1763" w:type="dxa"/>
            <w:vAlign w:val="center"/>
          </w:tcPr>
          <w:p w14:paraId="328CABFD" w14:textId="77777777" w:rsidR="003E3ED9" w:rsidRPr="00830439" w:rsidRDefault="003E3ED9" w:rsidP="00E8716B">
            <w:pPr>
              <w:jc w:val="center"/>
              <w:rPr>
                <w:rFonts w:cs="Arial"/>
                <w:szCs w:val="20"/>
              </w:rPr>
            </w:pPr>
            <w:r w:rsidRPr="00830439">
              <w:rPr>
                <w:rFonts w:cs="Arial"/>
                <w:szCs w:val="20"/>
              </w:rPr>
              <w:t>Znižanje podpore EU v delu FI za PN 4.1 EE.</w:t>
            </w:r>
          </w:p>
          <w:p w14:paraId="59AEC646" w14:textId="77777777" w:rsidR="003E3ED9" w:rsidRPr="00830439" w:rsidRDefault="003E3ED9" w:rsidP="00E8716B">
            <w:pPr>
              <w:jc w:val="center"/>
              <w:rPr>
                <w:rFonts w:cs="Arial"/>
                <w:szCs w:val="20"/>
              </w:rPr>
            </w:pPr>
          </w:p>
          <w:p w14:paraId="20F96291" w14:textId="77777777" w:rsidR="003E3ED9" w:rsidRPr="00830439" w:rsidRDefault="003E3ED9" w:rsidP="00E8716B">
            <w:pPr>
              <w:jc w:val="center"/>
              <w:rPr>
                <w:rFonts w:cs="Arial"/>
                <w:szCs w:val="20"/>
              </w:rPr>
            </w:pPr>
            <w:r w:rsidRPr="00830439">
              <w:rPr>
                <w:rFonts w:cs="Arial"/>
                <w:szCs w:val="20"/>
              </w:rPr>
              <w:lastRenderedPageBreak/>
              <w:t>Sprememba pristopa k spremljanju kazalnikov za projekte EE podprte s FI in nepovratnimi sredstvi.</w:t>
            </w:r>
          </w:p>
          <w:p w14:paraId="1A47272D" w14:textId="77777777" w:rsidR="003E3ED9" w:rsidRPr="00830439" w:rsidRDefault="003E3ED9" w:rsidP="00E8716B">
            <w:pPr>
              <w:jc w:val="center"/>
              <w:rPr>
                <w:rFonts w:cs="Arial"/>
                <w:szCs w:val="20"/>
              </w:rPr>
            </w:pPr>
          </w:p>
          <w:p w14:paraId="36B69C4D" w14:textId="77777777" w:rsidR="003E3ED9" w:rsidRPr="00830439" w:rsidRDefault="003E3ED9" w:rsidP="00E8716B">
            <w:pPr>
              <w:jc w:val="center"/>
              <w:rPr>
                <w:rFonts w:cs="Arial"/>
                <w:szCs w:val="20"/>
              </w:rPr>
            </w:pPr>
            <w:r w:rsidRPr="00830439">
              <w:rPr>
                <w:rFonts w:cs="Arial"/>
                <w:szCs w:val="20"/>
              </w:rPr>
              <w:t>Uskladitev kazalnikov za spremljanje EE z zadnjim stanjem v OP.</w:t>
            </w:r>
          </w:p>
          <w:p w14:paraId="1696FD3B" w14:textId="77777777" w:rsidR="003E3ED9" w:rsidRPr="00830439" w:rsidRDefault="003E3ED9" w:rsidP="00E8716B">
            <w:pPr>
              <w:jc w:val="center"/>
              <w:rPr>
                <w:rFonts w:cs="Arial"/>
                <w:szCs w:val="20"/>
              </w:rPr>
            </w:pPr>
          </w:p>
          <w:p w14:paraId="397D904F" w14:textId="77777777" w:rsidR="003E3ED9" w:rsidRPr="00830439" w:rsidRDefault="003E3ED9" w:rsidP="00E8716B">
            <w:pPr>
              <w:jc w:val="center"/>
              <w:rPr>
                <w:rFonts w:cs="Arial"/>
                <w:szCs w:val="20"/>
              </w:rPr>
            </w:pPr>
            <w:r w:rsidRPr="00830439">
              <w:rPr>
                <w:rFonts w:cs="Arial"/>
                <w:szCs w:val="20"/>
              </w:rPr>
              <w:t>Izvedejo se manjši pravopisni popravki.</w:t>
            </w:r>
          </w:p>
        </w:tc>
        <w:tc>
          <w:tcPr>
            <w:tcW w:w="1486" w:type="dxa"/>
            <w:vAlign w:val="center"/>
          </w:tcPr>
          <w:p w14:paraId="2115F24E" w14:textId="77777777" w:rsidR="003E3ED9" w:rsidRPr="00830439" w:rsidRDefault="003E3ED9" w:rsidP="00E8716B">
            <w:pPr>
              <w:jc w:val="center"/>
              <w:rPr>
                <w:rFonts w:cs="Arial"/>
                <w:bCs/>
                <w:szCs w:val="20"/>
              </w:rPr>
            </w:pPr>
            <w:r w:rsidRPr="00830439">
              <w:rPr>
                <w:rFonts w:cs="Arial"/>
                <w:bCs/>
                <w:szCs w:val="20"/>
              </w:rPr>
              <w:lastRenderedPageBreak/>
              <w:t>28. 7. 2022</w:t>
            </w:r>
          </w:p>
          <w:p w14:paraId="61FD5860" w14:textId="77777777" w:rsidR="003E3ED9" w:rsidRPr="00830439" w:rsidRDefault="003E3ED9" w:rsidP="00E8716B">
            <w:pPr>
              <w:jc w:val="center"/>
              <w:rPr>
                <w:rFonts w:cs="Arial"/>
                <w:bCs/>
                <w:szCs w:val="20"/>
              </w:rPr>
            </w:pPr>
            <w:r w:rsidRPr="00830439">
              <w:rPr>
                <w:rFonts w:cs="Arial"/>
                <w:bCs/>
                <w:szCs w:val="20"/>
              </w:rPr>
              <w:t>(sklep št. 30300-1/2022/5)</w:t>
            </w:r>
          </w:p>
        </w:tc>
        <w:tc>
          <w:tcPr>
            <w:tcW w:w="3110" w:type="dxa"/>
          </w:tcPr>
          <w:p w14:paraId="4F344400" w14:textId="77777777" w:rsidR="003E3ED9" w:rsidRPr="00830439" w:rsidRDefault="003E3ED9" w:rsidP="00E8716B">
            <w:pPr>
              <w:rPr>
                <w:rFonts w:cs="Arial"/>
                <w:szCs w:val="20"/>
              </w:rPr>
            </w:pPr>
            <w:r w:rsidRPr="00830439">
              <w:rPr>
                <w:rFonts w:cs="Arial"/>
                <w:szCs w:val="20"/>
              </w:rPr>
              <w:t xml:space="preserve">Zniža se podpora EU s FI za PN 4.1 EE iz 25 mio EUR na 6,73 mio EUR (spremembe poglavij 3.2, 3.2.3, preglednice na str. 8 in </w:t>
            </w:r>
            <w:r w:rsidRPr="00830439">
              <w:rPr>
                <w:rFonts w:cs="Arial"/>
                <w:szCs w:val="20"/>
              </w:rPr>
              <w:lastRenderedPageBreak/>
              <w:t>tabel 10, 11; dodana je tabela 10a).</w:t>
            </w:r>
          </w:p>
          <w:p w14:paraId="232187C6" w14:textId="77777777" w:rsidR="003E3ED9" w:rsidRPr="00830439" w:rsidRDefault="003E3ED9" w:rsidP="00E8716B">
            <w:pPr>
              <w:rPr>
                <w:rFonts w:cs="Arial"/>
                <w:szCs w:val="20"/>
              </w:rPr>
            </w:pPr>
          </w:p>
          <w:p w14:paraId="58626D40" w14:textId="77777777" w:rsidR="003E3ED9" w:rsidRPr="00830439" w:rsidRDefault="003E3ED9" w:rsidP="00E8716B">
            <w:pPr>
              <w:rPr>
                <w:rFonts w:cs="Arial"/>
                <w:szCs w:val="20"/>
              </w:rPr>
            </w:pPr>
            <w:r w:rsidRPr="00830439">
              <w:rPr>
                <w:rFonts w:cs="Arial"/>
                <w:szCs w:val="20"/>
              </w:rPr>
              <w:t>V izogib podvajanju kazalnikov se spremeni pristop k spremljanju kazalnikov za projekte EE podprte tako s FI kot z nepovratnimi sredstvi (sprememba poglavja 9.5 in tabele 14).</w:t>
            </w:r>
          </w:p>
          <w:p w14:paraId="5306248A" w14:textId="77777777" w:rsidR="003E3ED9" w:rsidRPr="00830439" w:rsidRDefault="003E3ED9" w:rsidP="00E8716B">
            <w:pPr>
              <w:rPr>
                <w:rFonts w:cs="Arial"/>
                <w:szCs w:val="20"/>
              </w:rPr>
            </w:pPr>
          </w:p>
          <w:p w14:paraId="2DB49860" w14:textId="77777777" w:rsidR="003E3ED9" w:rsidRPr="00830439" w:rsidRDefault="003E3ED9" w:rsidP="00E8716B">
            <w:pPr>
              <w:rPr>
                <w:rFonts w:cs="Arial"/>
                <w:szCs w:val="20"/>
              </w:rPr>
            </w:pPr>
            <w:r w:rsidRPr="00830439">
              <w:rPr>
                <w:rFonts w:cs="Arial"/>
                <w:szCs w:val="20"/>
              </w:rPr>
              <w:t>Z namenom uskladitve s spremembo Operativnega programa iz leta 2019 se izvede tehnični popravek kazalnika 4.4 v kazalnik 4.41. v tabeli 14.</w:t>
            </w:r>
          </w:p>
          <w:p w14:paraId="04467757" w14:textId="77777777" w:rsidR="003E3ED9" w:rsidRPr="00830439" w:rsidRDefault="003E3ED9" w:rsidP="00E8716B">
            <w:pPr>
              <w:rPr>
                <w:rFonts w:cs="Arial"/>
                <w:szCs w:val="20"/>
              </w:rPr>
            </w:pPr>
          </w:p>
          <w:p w14:paraId="1E5CFDA1" w14:textId="77777777" w:rsidR="003E3ED9" w:rsidRPr="00830439" w:rsidRDefault="003E3ED9" w:rsidP="00E8716B">
            <w:pPr>
              <w:rPr>
                <w:rFonts w:cs="Arial"/>
                <w:szCs w:val="20"/>
              </w:rPr>
            </w:pPr>
            <w:r w:rsidRPr="00830439">
              <w:rPr>
                <w:rFonts w:cs="Arial"/>
                <w:szCs w:val="20"/>
              </w:rPr>
              <w:t>V poglavju 3.2.4.1 se dodajo kazalniki za spremljanje projektov na PN 6.3 UR, ki so sicer že dogovorjeni z veljavnim sporazumom o financiranju.</w:t>
            </w:r>
          </w:p>
        </w:tc>
      </w:tr>
      <w:tr w:rsidR="003E3ED9" w:rsidRPr="00830439" w14:paraId="2A6BA6DC" w14:textId="77777777" w:rsidTr="00E8716B">
        <w:trPr>
          <w:trHeight w:val="476"/>
          <w:jc w:val="center"/>
        </w:trPr>
        <w:tc>
          <w:tcPr>
            <w:tcW w:w="997" w:type="dxa"/>
            <w:vAlign w:val="center"/>
          </w:tcPr>
          <w:p w14:paraId="31007246" w14:textId="77777777" w:rsidR="003E3ED9" w:rsidRPr="00F60B42" w:rsidRDefault="003E3ED9" w:rsidP="00E8716B">
            <w:pPr>
              <w:jc w:val="center"/>
              <w:rPr>
                <w:rFonts w:cs="Arial"/>
                <w:szCs w:val="20"/>
              </w:rPr>
            </w:pPr>
            <w:r w:rsidRPr="00830439">
              <w:rPr>
                <w:rFonts w:cs="Arial"/>
                <w:szCs w:val="20"/>
              </w:rPr>
              <w:lastRenderedPageBreak/>
              <w:t>1.4</w:t>
            </w:r>
          </w:p>
        </w:tc>
        <w:tc>
          <w:tcPr>
            <w:tcW w:w="1207" w:type="dxa"/>
            <w:shd w:val="clear" w:color="auto" w:fill="auto"/>
            <w:vAlign w:val="center"/>
          </w:tcPr>
          <w:p w14:paraId="792CAB16" w14:textId="77777777" w:rsidR="003E3ED9" w:rsidRPr="00F60B42" w:rsidRDefault="003E3ED9" w:rsidP="00E8716B">
            <w:pPr>
              <w:jc w:val="center"/>
              <w:rPr>
                <w:rFonts w:cs="Arial"/>
                <w:szCs w:val="20"/>
              </w:rPr>
            </w:pPr>
            <w:r w:rsidRPr="00F60B42">
              <w:rPr>
                <w:rFonts w:cs="Arial"/>
                <w:szCs w:val="20"/>
              </w:rPr>
              <w:t>marec 2023</w:t>
            </w:r>
          </w:p>
        </w:tc>
        <w:tc>
          <w:tcPr>
            <w:tcW w:w="1763" w:type="dxa"/>
            <w:vAlign w:val="center"/>
          </w:tcPr>
          <w:p w14:paraId="41AC6C05" w14:textId="77777777" w:rsidR="003E3ED9" w:rsidRPr="00830439" w:rsidRDefault="003E3ED9" w:rsidP="00E8716B">
            <w:pPr>
              <w:jc w:val="center"/>
              <w:rPr>
                <w:rFonts w:cs="Arial"/>
                <w:szCs w:val="20"/>
              </w:rPr>
            </w:pPr>
            <w:r w:rsidRPr="00830439">
              <w:rPr>
                <w:rFonts w:cs="Arial"/>
                <w:szCs w:val="20"/>
              </w:rPr>
              <w:t>Posodobijo se podatki v tabeli v poglavju POVZETEK.</w:t>
            </w:r>
          </w:p>
          <w:p w14:paraId="0EB8CD91" w14:textId="77777777" w:rsidR="003E3ED9" w:rsidRPr="00830439" w:rsidRDefault="003E3ED9" w:rsidP="00E8716B">
            <w:pPr>
              <w:jc w:val="center"/>
              <w:rPr>
                <w:rFonts w:cs="Arial"/>
                <w:szCs w:val="20"/>
              </w:rPr>
            </w:pPr>
            <w:r w:rsidRPr="00830439">
              <w:rPr>
                <w:rFonts w:cs="Arial"/>
                <w:szCs w:val="20"/>
              </w:rPr>
              <w:t>Izvede se preštevilčenje tabel (tabela 10a postane tabela 11, nadaljnje tabele se ustrezno preštevilčijo).</w:t>
            </w:r>
          </w:p>
          <w:p w14:paraId="62B2EDAB" w14:textId="77777777" w:rsidR="003E3ED9" w:rsidRPr="00830439" w:rsidRDefault="003E3ED9" w:rsidP="00E8716B">
            <w:pPr>
              <w:jc w:val="center"/>
              <w:rPr>
                <w:rFonts w:cs="Arial"/>
                <w:szCs w:val="20"/>
              </w:rPr>
            </w:pPr>
          </w:p>
          <w:p w14:paraId="0554A998" w14:textId="77777777" w:rsidR="003E3ED9" w:rsidRPr="00830439" w:rsidRDefault="003E3ED9" w:rsidP="00E8716B">
            <w:pPr>
              <w:jc w:val="center"/>
              <w:rPr>
                <w:rFonts w:cs="Arial"/>
                <w:szCs w:val="20"/>
              </w:rPr>
            </w:pPr>
            <w:r w:rsidRPr="00830439">
              <w:rPr>
                <w:rFonts w:cs="Arial"/>
                <w:szCs w:val="20"/>
              </w:rPr>
              <w:t xml:space="preserve">Izvedejo se manjši pravopisni popravki in potrebne spremembe vezane na pravno nasledstvo MGTŠ. </w:t>
            </w:r>
          </w:p>
        </w:tc>
        <w:tc>
          <w:tcPr>
            <w:tcW w:w="1486" w:type="dxa"/>
            <w:vAlign w:val="center"/>
          </w:tcPr>
          <w:p w14:paraId="1BFAD1FC" w14:textId="77777777" w:rsidR="003E3ED9" w:rsidRPr="00830439" w:rsidRDefault="003E3ED9" w:rsidP="00E8716B">
            <w:pPr>
              <w:jc w:val="center"/>
              <w:rPr>
                <w:rFonts w:cs="Arial"/>
                <w:bCs/>
                <w:szCs w:val="20"/>
              </w:rPr>
            </w:pPr>
            <w:r w:rsidRPr="00830439">
              <w:rPr>
                <w:rFonts w:cs="Arial"/>
                <w:bCs/>
                <w:szCs w:val="20"/>
              </w:rPr>
              <w:t>…. 2023</w:t>
            </w:r>
          </w:p>
          <w:p w14:paraId="00567902" w14:textId="77777777" w:rsidR="003E3ED9" w:rsidRPr="00830439" w:rsidRDefault="003E3ED9" w:rsidP="00E8716B">
            <w:pPr>
              <w:jc w:val="center"/>
              <w:rPr>
                <w:rFonts w:cs="Arial"/>
                <w:bCs/>
                <w:szCs w:val="20"/>
              </w:rPr>
            </w:pPr>
            <w:r w:rsidRPr="00830439">
              <w:rPr>
                <w:rFonts w:cs="Arial"/>
                <w:bCs/>
                <w:szCs w:val="20"/>
              </w:rPr>
              <w:t>(sklep št. ……)</w:t>
            </w:r>
          </w:p>
        </w:tc>
        <w:tc>
          <w:tcPr>
            <w:tcW w:w="3110" w:type="dxa"/>
            <w:vAlign w:val="center"/>
          </w:tcPr>
          <w:p w14:paraId="106CE7A5" w14:textId="77777777" w:rsidR="003E3ED9" w:rsidRPr="00F60B42" w:rsidRDefault="003E3ED9" w:rsidP="00E8716B">
            <w:pPr>
              <w:rPr>
                <w:rFonts w:cs="Arial"/>
                <w:szCs w:val="20"/>
              </w:rPr>
            </w:pPr>
            <w:r w:rsidRPr="00830439">
              <w:rPr>
                <w:rFonts w:cs="Arial"/>
                <w:szCs w:val="20"/>
              </w:rPr>
              <w:t>Sprememba KEFI zaradi trajnega prenosa še neporabljenih že dodeljenih sredstev podpore EU (iz finančnega produkta (</w:t>
            </w:r>
            <w:proofErr w:type="spellStart"/>
            <w:r w:rsidRPr="00830439">
              <w:rPr>
                <w:rFonts w:cs="Arial"/>
                <w:szCs w:val="20"/>
              </w:rPr>
              <w:t>kvazi</w:t>
            </w:r>
            <w:proofErr w:type="spellEnd"/>
            <w:r w:rsidRPr="00830439">
              <w:rPr>
                <w:rFonts w:cs="Arial"/>
                <w:szCs w:val="20"/>
              </w:rPr>
              <w:t xml:space="preserve">)lastniško financiranje na finančni produkt </w:t>
            </w:r>
            <w:proofErr w:type="spellStart"/>
            <w:r w:rsidRPr="00830439">
              <w:rPr>
                <w:rFonts w:cs="Arial"/>
                <w:szCs w:val="20"/>
              </w:rPr>
              <w:t>mikroposojila</w:t>
            </w:r>
            <w:proofErr w:type="spellEnd"/>
            <w:r w:rsidRPr="00830439">
              <w:rPr>
                <w:rFonts w:cs="Arial"/>
                <w:szCs w:val="20"/>
              </w:rPr>
              <w:t xml:space="preserve"> v višini 3.565.000 EUR (EU del)</w:t>
            </w:r>
            <w:r w:rsidRPr="002A1F16">
              <w:rPr>
                <w:rFonts w:cs="Arial"/>
                <w:szCs w:val="20"/>
              </w:rPr>
              <w:t xml:space="preserve"> kar vključuje tudi </w:t>
            </w:r>
            <w:r w:rsidRPr="00830439">
              <w:rPr>
                <w:rFonts w:cs="Arial"/>
                <w:szCs w:val="20"/>
              </w:rPr>
              <w:t xml:space="preserve">do sedaj nerazporejene kvote v višini 1.082.000 EUR. Prenos sredstev se izvaja zaradi negativnih vplivov COVID in energetske </w:t>
            </w:r>
            <w:r w:rsidRPr="00F60B42">
              <w:rPr>
                <w:rFonts w:cs="Arial"/>
                <w:szCs w:val="20"/>
              </w:rPr>
              <w:t xml:space="preserve">krize ter zaradi </w:t>
            </w:r>
            <w:proofErr w:type="spellStart"/>
            <w:r w:rsidRPr="00F60B42">
              <w:rPr>
                <w:rFonts w:cs="Arial"/>
                <w:szCs w:val="20"/>
              </w:rPr>
              <w:t>neinteresa</w:t>
            </w:r>
            <w:proofErr w:type="spellEnd"/>
            <w:r w:rsidRPr="00F60B42">
              <w:rPr>
                <w:rFonts w:cs="Arial"/>
                <w:szCs w:val="20"/>
              </w:rPr>
              <w:t xml:space="preserve"> trga za koriščenje finančnega produkta. Posledično se prilagodijo ciljne vrednosti kazalnikov CO01 in CO03 po finančnih produktih na PN 3.1.</w:t>
            </w:r>
          </w:p>
          <w:p w14:paraId="3CFF54F9" w14:textId="77777777" w:rsidR="003E3ED9" w:rsidRPr="00F60B42" w:rsidRDefault="003E3ED9" w:rsidP="00E8716B">
            <w:pPr>
              <w:rPr>
                <w:rFonts w:cs="Arial"/>
                <w:szCs w:val="20"/>
              </w:rPr>
            </w:pPr>
            <w:r w:rsidRPr="00F60B42">
              <w:rPr>
                <w:rFonts w:cs="Arial"/>
                <w:szCs w:val="20"/>
              </w:rPr>
              <w:t xml:space="preserve">Zaradi negativnih vplivov COVID in energetske krize ter </w:t>
            </w:r>
            <w:proofErr w:type="spellStart"/>
            <w:r w:rsidRPr="00F60B42">
              <w:rPr>
                <w:rFonts w:cs="Arial"/>
                <w:szCs w:val="20"/>
              </w:rPr>
              <w:t>neinteresa</w:t>
            </w:r>
            <w:proofErr w:type="spellEnd"/>
            <w:r w:rsidRPr="00F60B42">
              <w:rPr>
                <w:rFonts w:cs="Arial"/>
                <w:szCs w:val="20"/>
              </w:rPr>
              <w:t xml:space="preserve"> trga za koriščenje finančnega produkta se trajno prenese tudi neporabljena sredstva podpore EU (iz finančnega produkta PG za RRI za MSP na finančni produkt posojila RRI) v višini 4.605.920,00 EUR (EU del).</w:t>
            </w:r>
          </w:p>
        </w:tc>
      </w:tr>
      <w:tr w:rsidR="003E3ED9" w:rsidRPr="00830439" w14:paraId="090B2F58" w14:textId="77777777" w:rsidTr="00E8716B">
        <w:trPr>
          <w:trHeight w:val="476"/>
          <w:jc w:val="center"/>
        </w:trPr>
        <w:tc>
          <w:tcPr>
            <w:tcW w:w="997" w:type="dxa"/>
            <w:vAlign w:val="center"/>
          </w:tcPr>
          <w:p w14:paraId="7EED2022" w14:textId="77777777" w:rsidR="003E3ED9" w:rsidRPr="00830439" w:rsidRDefault="003E3ED9" w:rsidP="00E8716B">
            <w:pPr>
              <w:rPr>
                <w:rFonts w:cs="Arial"/>
                <w:szCs w:val="20"/>
              </w:rPr>
            </w:pPr>
            <w:r>
              <w:rPr>
                <w:rFonts w:cs="Arial"/>
                <w:szCs w:val="20"/>
              </w:rPr>
              <w:t>1.5</w:t>
            </w:r>
          </w:p>
        </w:tc>
        <w:tc>
          <w:tcPr>
            <w:tcW w:w="1207" w:type="dxa"/>
            <w:shd w:val="clear" w:color="auto" w:fill="auto"/>
            <w:vAlign w:val="center"/>
          </w:tcPr>
          <w:p w14:paraId="69F6ACDD" w14:textId="77777777" w:rsidR="003E3ED9" w:rsidRPr="00F60B42" w:rsidRDefault="003E3ED9" w:rsidP="00E8716B">
            <w:pPr>
              <w:rPr>
                <w:rFonts w:cs="Arial"/>
                <w:szCs w:val="20"/>
              </w:rPr>
            </w:pPr>
            <w:r>
              <w:rPr>
                <w:rFonts w:cs="Arial"/>
                <w:szCs w:val="20"/>
              </w:rPr>
              <w:t>september 2023</w:t>
            </w:r>
          </w:p>
        </w:tc>
        <w:tc>
          <w:tcPr>
            <w:tcW w:w="1763" w:type="dxa"/>
            <w:vAlign w:val="center"/>
          </w:tcPr>
          <w:p w14:paraId="37528582" w14:textId="77777777" w:rsidR="003E3ED9" w:rsidRPr="00830439" w:rsidRDefault="003E3ED9" w:rsidP="00E8716B">
            <w:pPr>
              <w:rPr>
                <w:rFonts w:cs="Arial"/>
                <w:szCs w:val="20"/>
              </w:rPr>
            </w:pPr>
            <w:r>
              <w:rPr>
                <w:rFonts w:cs="Arial"/>
                <w:szCs w:val="20"/>
              </w:rPr>
              <w:t xml:space="preserve">Pri </w:t>
            </w:r>
            <w:proofErr w:type="spellStart"/>
            <w:r>
              <w:rPr>
                <w:rFonts w:cs="Arial"/>
                <w:szCs w:val="20"/>
              </w:rPr>
              <w:t>portfeljskih</w:t>
            </w:r>
            <w:proofErr w:type="spellEnd"/>
            <w:r>
              <w:rPr>
                <w:rFonts w:cs="Arial"/>
                <w:szCs w:val="20"/>
              </w:rPr>
              <w:t xml:space="preserve"> garancijah za MSP se v tabelah na str. 8 in 28 in </w:t>
            </w:r>
            <w:r>
              <w:rPr>
                <w:rFonts w:cs="Arial"/>
                <w:szCs w:val="20"/>
              </w:rPr>
              <w:lastRenderedPageBreak/>
              <w:t xml:space="preserve">29  se pri </w:t>
            </w:r>
            <w:proofErr w:type="spellStart"/>
            <w:r>
              <w:rPr>
                <w:rFonts w:cs="Arial"/>
                <w:szCs w:val="20"/>
              </w:rPr>
              <w:t>portfeljskih</w:t>
            </w:r>
            <w:proofErr w:type="spellEnd"/>
            <w:r>
              <w:rPr>
                <w:rFonts w:cs="Arial"/>
                <w:szCs w:val="20"/>
              </w:rPr>
              <w:t xml:space="preserve"> garancijah za MSP doda pojasnilo </w:t>
            </w:r>
            <w:r w:rsidRPr="00DD35C6">
              <w:rPr>
                <w:rFonts w:cs="Arial"/>
                <w:szCs w:val="20"/>
              </w:rPr>
              <w:t>doda pojasnilo, da so sredstva poleg namena za snovno in energetsko učinkovitost zagotavljajo tudi za druge namene v okviru PN, ki so opredeljeni operacijah FI ter na str. 34  v petem odstavku izbriše dvopičje in obe alineji</w:t>
            </w:r>
          </w:p>
        </w:tc>
        <w:tc>
          <w:tcPr>
            <w:tcW w:w="1486" w:type="dxa"/>
            <w:vAlign w:val="center"/>
          </w:tcPr>
          <w:p w14:paraId="73D8A34A" w14:textId="77777777" w:rsidR="003E3ED9" w:rsidRPr="00A827F5" w:rsidRDefault="003E3ED9" w:rsidP="00E8716B">
            <w:pPr>
              <w:rPr>
                <w:rFonts w:cs="Arial"/>
                <w:szCs w:val="20"/>
              </w:rPr>
            </w:pPr>
          </w:p>
        </w:tc>
        <w:tc>
          <w:tcPr>
            <w:tcW w:w="3110" w:type="dxa"/>
            <w:vAlign w:val="center"/>
          </w:tcPr>
          <w:p w14:paraId="58FD50A2" w14:textId="77777777" w:rsidR="003E3ED9" w:rsidRPr="00830439" w:rsidRDefault="003E3ED9" w:rsidP="00E8716B">
            <w:pPr>
              <w:rPr>
                <w:rFonts w:cs="Arial"/>
                <w:szCs w:val="20"/>
              </w:rPr>
            </w:pPr>
            <w:r>
              <w:rPr>
                <w:rFonts w:cs="Arial"/>
                <w:szCs w:val="20"/>
              </w:rPr>
              <w:t xml:space="preserve">Sprememba KEFI </w:t>
            </w:r>
            <w:r w:rsidRPr="00DD35C6">
              <w:rPr>
                <w:rFonts w:cs="Arial"/>
                <w:szCs w:val="20"/>
              </w:rPr>
              <w:t xml:space="preserve">zaradi zagotovitve pravne varnosti pri izvajanju Sklada skladov v okviru operacije Finančni instrumenti </w:t>
            </w:r>
            <w:r w:rsidRPr="00DD35C6">
              <w:rPr>
                <w:rFonts w:cs="Arial"/>
                <w:szCs w:val="20"/>
              </w:rPr>
              <w:lastRenderedPageBreak/>
              <w:t xml:space="preserve">2014-2020  se umestijo spremembe tehnične narave. </w:t>
            </w:r>
          </w:p>
        </w:tc>
      </w:tr>
    </w:tbl>
    <w:p w14:paraId="0D240A4E" w14:textId="77777777" w:rsidR="003E3ED9" w:rsidRPr="00F60B42" w:rsidRDefault="003E3ED9" w:rsidP="003E3ED9">
      <w:pPr>
        <w:rPr>
          <w:rFonts w:cs="Arial"/>
          <w:szCs w:val="20"/>
        </w:rPr>
      </w:pPr>
      <w:r w:rsidRPr="00830439">
        <w:rPr>
          <w:rFonts w:cs="Arial"/>
          <w:szCs w:val="20"/>
        </w:rPr>
        <w:lastRenderedPageBreak/>
        <w:br w:type="page"/>
      </w:r>
    </w:p>
    <w:tbl>
      <w:tblPr>
        <w:tblStyle w:val="Tabelamrea"/>
        <w:tblpPr w:leftFromText="141" w:rightFromText="141" w:vertAnchor="page" w:horzAnchor="margin" w:tblpY="1913"/>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713"/>
      </w:tblGrid>
      <w:tr w:rsidR="003E3ED9" w:rsidRPr="00830439" w14:paraId="125F2190" w14:textId="77777777" w:rsidTr="00E8716B">
        <w:tc>
          <w:tcPr>
            <w:tcW w:w="1698" w:type="dxa"/>
          </w:tcPr>
          <w:p w14:paraId="3AAC02D1" w14:textId="77777777" w:rsidR="003E3ED9" w:rsidRPr="00F60B42" w:rsidRDefault="003E3ED9" w:rsidP="00E8716B">
            <w:pPr>
              <w:jc w:val="both"/>
              <w:rPr>
                <w:rFonts w:cs="Arial"/>
              </w:rPr>
            </w:pPr>
            <w:r w:rsidRPr="00F60B42">
              <w:rPr>
                <w:rFonts w:cs="Arial"/>
              </w:rPr>
              <w:lastRenderedPageBreak/>
              <w:t>CTN</w:t>
            </w:r>
          </w:p>
        </w:tc>
        <w:tc>
          <w:tcPr>
            <w:tcW w:w="7713" w:type="dxa"/>
          </w:tcPr>
          <w:p w14:paraId="73F4D368" w14:textId="77777777" w:rsidR="003E3ED9" w:rsidRPr="00830439" w:rsidRDefault="003E3ED9" w:rsidP="00E8716B">
            <w:pPr>
              <w:jc w:val="both"/>
              <w:rPr>
                <w:rFonts w:cs="Arial"/>
              </w:rPr>
            </w:pPr>
            <w:r w:rsidRPr="00830439">
              <w:rPr>
                <w:rFonts w:cs="Arial"/>
              </w:rPr>
              <w:t>celostne teritorialne naložbe</w:t>
            </w:r>
          </w:p>
        </w:tc>
      </w:tr>
      <w:tr w:rsidR="003E3ED9" w:rsidRPr="00830439" w14:paraId="648E0C33" w14:textId="77777777" w:rsidTr="00E8716B">
        <w:tc>
          <w:tcPr>
            <w:tcW w:w="1698" w:type="dxa"/>
          </w:tcPr>
          <w:p w14:paraId="669750A0" w14:textId="77777777" w:rsidR="003E3ED9" w:rsidRPr="00F60B42" w:rsidRDefault="003E3ED9" w:rsidP="00E8716B">
            <w:pPr>
              <w:jc w:val="both"/>
              <w:rPr>
                <w:rFonts w:cs="Arial"/>
              </w:rPr>
            </w:pPr>
            <w:r w:rsidRPr="00830439">
              <w:rPr>
                <w:rFonts w:cs="Arial"/>
              </w:rPr>
              <w:t>EE</w:t>
            </w:r>
          </w:p>
        </w:tc>
        <w:tc>
          <w:tcPr>
            <w:tcW w:w="7713" w:type="dxa"/>
          </w:tcPr>
          <w:p w14:paraId="55FCF69F" w14:textId="77777777" w:rsidR="003E3ED9" w:rsidRPr="00F60B42" w:rsidRDefault="003E3ED9" w:rsidP="00E8716B">
            <w:pPr>
              <w:jc w:val="both"/>
              <w:rPr>
                <w:rFonts w:cs="Arial"/>
              </w:rPr>
            </w:pPr>
            <w:r w:rsidRPr="00F60B42">
              <w:rPr>
                <w:rFonts w:cs="Arial"/>
              </w:rPr>
              <w:t>energetska učinkovitost</w:t>
            </w:r>
          </w:p>
        </w:tc>
      </w:tr>
      <w:tr w:rsidR="003E3ED9" w:rsidRPr="00830439" w14:paraId="2854473B" w14:textId="77777777" w:rsidTr="00E8716B">
        <w:tc>
          <w:tcPr>
            <w:tcW w:w="1698" w:type="dxa"/>
          </w:tcPr>
          <w:p w14:paraId="3876E395" w14:textId="77777777" w:rsidR="003E3ED9" w:rsidRPr="00F60B42" w:rsidRDefault="003E3ED9" w:rsidP="00E8716B">
            <w:pPr>
              <w:jc w:val="both"/>
              <w:rPr>
                <w:rFonts w:cs="Arial"/>
              </w:rPr>
            </w:pPr>
            <w:r w:rsidRPr="00830439">
              <w:rPr>
                <w:rFonts w:cs="Arial"/>
              </w:rPr>
              <w:t>ESCO</w:t>
            </w:r>
          </w:p>
        </w:tc>
        <w:tc>
          <w:tcPr>
            <w:tcW w:w="7713" w:type="dxa"/>
          </w:tcPr>
          <w:p w14:paraId="4405A9EA" w14:textId="77777777" w:rsidR="003E3ED9" w:rsidRPr="00F60B42" w:rsidRDefault="003E3ED9" w:rsidP="00E8716B">
            <w:pPr>
              <w:jc w:val="both"/>
              <w:rPr>
                <w:rFonts w:cs="Arial"/>
              </w:rPr>
            </w:pPr>
            <w:r w:rsidRPr="00F60B42">
              <w:rPr>
                <w:rFonts w:cs="Arial"/>
              </w:rPr>
              <w:t>podjetje za energetske storitve (</w:t>
            </w:r>
            <w:proofErr w:type="spellStart"/>
            <w:r w:rsidRPr="00F60B42">
              <w:rPr>
                <w:rFonts w:cs="Arial"/>
              </w:rPr>
              <w:t>Energy</w:t>
            </w:r>
            <w:proofErr w:type="spellEnd"/>
            <w:r w:rsidRPr="00F60B42">
              <w:rPr>
                <w:rFonts w:cs="Arial"/>
              </w:rPr>
              <w:t xml:space="preserve"> </w:t>
            </w:r>
            <w:proofErr w:type="spellStart"/>
            <w:r w:rsidRPr="00F60B42">
              <w:rPr>
                <w:rFonts w:cs="Arial"/>
              </w:rPr>
              <w:t>Service</w:t>
            </w:r>
            <w:proofErr w:type="spellEnd"/>
            <w:r w:rsidRPr="00F60B42">
              <w:rPr>
                <w:rFonts w:cs="Arial"/>
              </w:rPr>
              <w:t xml:space="preserve"> </w:t>
            </w:r>
            <w:proofErr w:type="spellStart"/>
            <w:r w:rsidRPr="00F60B42">
              <w:rPr>
                <w:rFonts w:cs="Arial"/>
              </w:rPr>
              <w:t>Company</w:t>
            </w:r>
            <w:proofErr w:type="spellEnd"/>
            <w:r w:rsidRPr="00F60B42">
              <w:rPr>
                <w:rFonts w:cs="Arial"/>
              </w:rPr>
              <w:t>)</w:t>
            </w:r>
          </w:p>
        </w:tc>
      </w:tr>
      <w:tr w:rsidR="003E3ED9" w:rsidRPr="00830439" w14:paraId="7EC74B84" w14:textId="77777777" w:rsidTr="00E8716B">
        <w:tc>
          <w:tcPr>
            <w:tcW w:w="1698" w:type="dxa"/>
          </w:tcPr>
          <w:p w14:paraId="443D7860" w14:textId="77777777" w:rsidR="003E3ED9" w:rsidRPr="00F60B42" w:rsidRDefault="003E3ED9" w:rsidP="00E8716B">
            <w:pPr>
              <w:jc w:val="both"/>
              <w:rPr>
                <w:rFonts w:cs="Arial"/>
              </w:rPr>
            </w:pPr>
            <w:r w:rsidRPr="00830439">
              <w:rPr>
                <w:rFonts w:cs="Arial"/>
              </w:rPr>
              <w:t>EFSI</w:t>
            </w:r>
          </w:p>
        </w:tc>
        <w:tc>
          <w:tcPr>
            <w:tcW w:w="7713" w:type="dxa"/>
          </w:tcPr>
          <w:p w14:paraId="053FE1D5" w14:textId="77777777" w:rsidR="003E3ED9" w:rsidRPr="00F60B42" w:rsidRDefault="003E3ED9" w:rsidP="00E8716B">
            <w:pPr>
              <w:jc w:val="both"/>
              <w:rPr>
                <w:rFonts w:cs="Arial"/>
              </w:rPr>
            </w:pPr>
            <w:r w:rsidRPr="00F60B42">
              <w:rPr>
                <w:rFonts w:cs="Arial"/>
              </w:rPr>
              <w:t>evropski sklad za strateške naložbe (</w:t>
            </w:r>
            <w:proofErr w:type="spellStart"/>
            <w:r w:rsidRPr="00F60B42">
              <w:rPr>
                <w:rFonts w:cs="Arial"/>
              </w:rPr>
              <w:t>European</w:t>
            </w:r>
            <w:proofErr w:type="spellEnd"/>
            <w:r w:rsidRPr="00F60B42">
              <w:rPr>
                <w:rFonts w:cs="Arial"/>
              </w:rPr>
              <w:t xml:space="preserve"> Fund </w:t>
            </w:r>
            <w:proofErr w:type="spellStart"/>
            <w:r w:rsidRPr="00F60B42">
              <w:rPr>
                <w:rFonts w:cs="Arial"/>
              </w:rPr>
              <w:t>for</w:t>
            </w:r>
            <w:proofErr w:type="spellEnd"/>
            <w:r w:rsidRPr="00F60B42">
              <w:rPr>
                <w:rFonts w:cs="Arial"/>
              </w:rPr>
              <w:t xml:space="preserve"> </w:t>
            </w:r>
            <w:proofErr w:type="spellStart"/>
            <w:r w:rsidRPr="00F60B42">
              <w:rPr>
                <w:rFonts w:cs="Arial"/>
              </w:rPr>
              <w:t>Strategic</w:t>
            </w:r>
            <w:proofErr w:type="spellEnd"/>
            <w:r w:rsidRPr="00F60B42">
              <w:rPr>
                <w:rFonts w:cs="Arial"/>
              </w:rPr>
              <w:t xml:space="preserve"> </w:t>
            </w:r>
            <w:proofErr w:type="spellStart"/>
            <w:r w:rsidRPr="00F60B42">
              <w:rPr>
                <w:rFonts w:cs="Arial"/>
              </w:rPr>
              <w:t>Investments</w:t>
            </w:r>
            <w:proofErr w:type="spellEnd"/>
            <w:r w:rsidRPr="00F60B42">
              <w:rPr>
                <w:rFonts w:cs="Arial"/>
              </w:rPr>
              <w:t>)</w:t>
            </w:r>
          </w:p>
        </w:tc>
      </w:tr>
      <w:tr w:rsidR="003E3ED9" w:rsidRPr="00830439" w14:paraId="3A59D2AD" w14:textId="77777777" w:rsidTr="00E8716B">
        <w:tc>
          <w:tcPr>
            <w:tcW w:w="1698" w:type="dxa"/>
          </w:tcPr>
          <w:p w14:paraId="3EA90E6D" w14:textId="77777777" w:rsidR="003E3ED9" w:rsidRPr="00F60B42" w:rsidRDefault="003E3ED9" w:rsidP="00E8716B">
            <w:pPr>
              <w:jc w:val="both"/>
              <w:rPr>
                <w:rFonts w:cs="Arial"/>
              </w:rPr>
            </w:pPr>
            <w:r w:rsidRPr="00830439">
              <w:rPr>
                <w:rFonts w:cs="Arial"/>
              </w:rPr>
              <w:t>FI</w:t>
            </w:r>
          </w:p>
        </w:tc>
        <w:tc>
          <w:tcPr>
            <w:tcW w:w="7713" w:type="dxa"/>
          </w:tcPr>
          <w:p w14:paraId="769B2EA8" w14:textId="77777777" w:rsidR="003E3ED9" w:rsidRPr="00F60B42" w:rsidRDefault="003E3ED9" w:rsidP="00E8716B">
            <w:pPr>
              <w:jc w:val="both"/>
              <w:rPr>
                <w:rFonts w:cs="Arial"/>
              </w:rPr>
            </w:pPr>
            <w:r w:rsidRPr="00F60B42">
              <w:rPr>
                <w:rFonts w:cs="Arial"/>
              </w:rPr>
              <w:t>finančni instrumenti</w:t>
            </w:r>
          </w:p>
        </w:tc>
      </w:tr>
      <w:tr w:rsidR="003E3ED9" w:rsidRPr="00830439" w14:paraId="519522BE" w14:textId="77777777" w:rsidTr="00E8716B">
        <w:tc>
          <w:tcPr>
            <w:tcW w:w="1698" w:type="dxa"/>
          </w:tcPr>
          <w:p w14:paraId="22F40334" w14:textId="77777777" w:rsidR="003E3ED9" w:rsidRPr="00F60B42" w:rsidRDefault="003E3ED9" w:rsidP="00E8716B">
            <w:pPr>
              <w:jc w:val="both"/>
              <w:rPr>
                <w:rFonts w:cs="Arial"/>
              </w:rPr>
            </w:pPr>
            <w:r w:rsidRPr="00830439">
              <w:rPr>
                <w:rFonts w:cs="Arial"/>
              </w:rPr>
              <w:t>ESIF</w:t>
            </w:r>
          </w:p>
        </w:tc>
        <w:tc>
          <w:tcPr>
            <w:tcW w:w="7713" w:type="dxa"/>
          </w:tcPr>
          <w:p w14:paraId="062B98E4" w14:textId="77777777" w:rsidR="003E3ED9" w:rsidRPr="00F60B42" w:rsidRDefault="003E3ED9" w:rsidP="00E8716B">
            <w:pPr>
              <w:jc w:val="both"/>
              <w:rPr>
                <w:rFonts w:cs="Arial"/>
              </w:rPr>
            </w:pPr>
            <w:r w:rsidRPr="00F60B42">
              <w:rPr>
                <w:rFonts w:cs="Arial"/>
              </w:rPr>
              <w:t>evropski strukturni in investicijski skladi (</w:t>
            </w:r>
            <w:proofErr w:type="spellStart"/>
            <w:r w:rsidRPr="00F60B42">
              <w:rPr>
                <w:rFonts w:cs="Arial"/>
              </w:rPr>
              <w:t>European</w:t>
            </w:r>
            <w:proofErr w:type="spellEnd"/>
            <w:r w:rsidRPr="00F60B42">
              <w:rPr>
                <w:rFonts w:cs="Arial"/>
              </w:rPr>
              <w:t xml:space="preserve"> </w:t>
            </w:r>
            <w:proofErr w:type="spellStart"/>
            <w:r w:rsidRPr="00F60B42">
              <w:rPr>
                <w:rFonts w:cs="Arial"/>
              </w:rPr>
              <w:t>Structural</w:t>
            </w:r>
            <w:proofErr w:type="spellEnd"/>
            <w:r w:rsidRPr="00F60B42">
              <w:rPr>
                <w:rFonts w:cs="Arial"/>
              </w:rPr>
              <w:t xml:space="preserve"> </w:t>
            </w:r>
            <w:proofErr w:type="spellStart"/>
            <w:r w:rsidRPr="00F60B42">
              <w:rPr>
                <w:rFonts w:cs="Arial"/>
              </w:rPr>
              <w:t>and</w:t>
            </w:r>
            <w:proofErr w:type="spellEnd"/>
            <w:r w:rsidRPr="00F60B42">
              <w:rPr>
                <w:rFonts w:cs="Arial"/>
              </w:rPr>
              <w:t xml:space="preserve"> </w:t>
            </w:r>
            <w:proofErr w:type="spellStart"/>
            <w:r w:rsidRPr="00F60B42">
              <w:rPr>
                <w:rFonts w:cs="Arial"/>
              </w:rPr>
              <w:t>Investment</w:t>
            </w:r>
            <w:proofErr w:type="spellEnd"/>
            <w:r w:rsidRPr="00F60B42">
              <w:rPr>
                <w:rFonts w:cs="Arial"/>
              </w:rPr>
              <w:t xml:space="preserve"> </w:t>
            </w:r>
            <w:proofErr w:type="spellStart"/>
            <w:r w:rsidRPr="00F60B42">
              <w:rPr>
                <w:rFonts w:cs="Arial"/>
              </w:rPr>
              <w:t>Funds</w:t>
            </w:r>
            <w:proofErr w:type="spellEnd"/>
            <w:r w:rsidRPr="00F60B42">
              <w:rPr>
                <w:rFonts w:cs="Arial"/>
              </w:rPr>
              <w:t>)</w:t>
            </w:r>
          </w:p>
        </w:tc>
      </w:tr>
      <w:tr w:rsidR="003E3ED9" w:rsidRPr="00830439" w14:paraId="15499CC9" w14:textId="77777777" w:rsidTr="00E8716B">
        <w:tc>
          <w:tcPr>
            <w:tcW w:w="1698" w:type="dxa"/>
          </w:tcPr>
          <w:p w14:paraId="6162AA8A" w14:textId="77777777" w:rsidR="003E3ED9" w:rsidRPr="00F60B42" w:rsidRDefault="003E3ED9" w:rsidP="00E8716B">
            <w:pPr>
              <w:jc w:val="both"/>
              <w:rPr>
                <w:rFonts w:cs="Arial"/>
              </w:rPr>
            </w:pPr>
            <w:r w:rsidRPr="00830439">
              <w:rPr>
                <w:rFonts w:cs="Arial"/>
              </w:rPr>
              <w:t>MGTŠ</w:t>
            </w:r>
          </w:p>
        </w:tc>
        <w:tc>
          <w:tcPr>
            <w:tcW w:w="7713" w:type="dxa"/>
          </w:tcPr>
          <w:p w14:paraId="21354FF8" w14:textId="77777777" w:rsidR="003E3ED9" w:rsidRPr="00F60B42" w:rsidRDefault="003E3ED9" w:rsidP="00E8716B">
            <w:pPr>
              <w:jc w:val="both"/>
              <w:rPr>
                <w:rFonts w:cs="Arial"/>
              </w:rPr>
            </w:pPr>
            <w:r w:rsidRPr="00F60B42">
              <w:rPr>
                <w:rFonts w:cs="Arial"/>
              </w:rPr>
              <w:t>Ministrstvo za gospodarstvo, turizem in šport</w:t>
            </w:r>
          </w:p>
        </w:tc>
      </w:tr>
      <w:tr w:rsidR="003E3ED9" w:rsidRPr="00830439" w14:paraId="5E37350A" w14:textId="77777777" w:rsidTr="00E8716B">
        <w:tc>
          <w:tcPr>
            <w:tcW w:w="1698" w:type="dxa"/>
          </w:tcPr>
          <w:p w14:paraId="44108DA2" w14:textId="77777777" w:rsidR="003E3ED9" w:rsidRPr="00F60B42" w:rsidRDefault="003E3ED9" w:rsidP="00E8716B">
            <w:pPr>
              <w:jc w:val="both"/>
              <w:rPr>
                <w:rFonts w:cs="Arial"/>
              </w:rPr>
            </w:pPr>
            <w:r w:rsidRPr="00830439">
              <w:rPr>
                <w:rFonts w:cs="Arial"/>
              </w:rPr>
              <w:t>MOPE</w:t>
            </w:r>
            <w:r w:rsidRPr="00830439">
              <w:rPr>
                <w:rFonts w:cs="Arial"/>
              </w:rPr>
              <w:br/>
              <w:t>MNVP</w:t>
            </w:r>
          </w:p>
        </w:tc>
        <w:tc>
          <w:tcPr>
            <w:tcW w:w="7713" w:type="dxa"/>
          </w:tcPr>
          <w:p w14:paraId="4A1645AF" w14:textId="77777777" w:rsidR="003E3ED9" w:rsidRPr="00F60B42" w:rsidRDefault="003E3ED9" w:rsidP="00E8716B">
            <w:pPr>
              <w:jc w:val="both"/>
              <w:rPr>
                <w:rFonts w:cs="Arial"/>
              </w:rPr>
            </w:pPr>
            <w:r w:rsidRPr="00F60B42">
              <w:rPr>
                <w:rFonts w:cs="Arial"/>
              </w:rPr>
              <w:t>Ministrstvo za okolje, podnebje in energijo</w:t>
            </w:r>
          </w:p>
          <w:p w14:paraId="537C2F80" w14:textId="77777777" w:rsidR="003E3ED9" w:rsidRPr="00830439" w:rsidRDefault="003E3ED9" w:rsidP="00E8716B">
            <w:pPr>
              <w:jc w:val="both"/>
              <w:rPr>
                <w:rFonts w:cs="Arial"/>
              </w:rPr>
            </w:pPr>
            <w:r w:rsidRPr="00830439">
              <w:rPr>
                <w:rFonts w:cs="Arial"/>
              </w:rPr>
              <w:t>Ministrstvo za naravne vire in prostor</w:t>
            </w:r>
          </w:p>
        </w:tc>
      </w:tr>
      <w:tr w:rsidR="003E3ED9" w:rsidRPr="00830439" w14:paraId="429131D9" w14:textId="77777777" w:rsidTr="00E8716B">
        <w:tc>
          <w:tcPr>
            <w:tcW w:w="1698" w:type="dxa"/>
          </w:tcPr>
          <w:p w14:paraId="06FA9DEC" w14:textId="77777777" w:rsidR="003E3ED9" w:rsidRPr="00F60B42" w:rsidRDefault="003E3ED9" w:rsidP="00E8716B">
            <w:pPr>
              <w:jc w:val="both"/>
              <w:rPr>
                <w:rFonts w:cs="Arial"/>
              </w:rPr>
            </w:pPr>
            <w:r w:rsidRPr="00830439">
              <w:rPr>
                <w:rFonts w:cs="Arial"/>
              </w:rPr>
              <w:t>MSP</w:t>
            </w:r>
          </w:p>
        </w:tc>
        <w:tc>
          <w:tcPr>
            <w:tcW w:w="7713" w:type="dxa"/>
          </w:tcPr>
          <w:p w14:paraId="57891FAE" w14:textId="77777777" w:rsidR="003E3ED9" w:rsidRPr="00F60B42" w:rsidRDefault="003E3ED9" w:rsidP="00E8716B">
            <w:pPr>
              <w:jc w:val="both"/>
              <w:rPr>
                <w:rFonts w:cs="Arial"/>
              </w:rPr>
            </w:pPr>
            <w:r w:rsidRPr="00F60B42">
              <w:rPr>
                <w:rFonts w:cs="Arial"/>
              </w:rPr>
              <w:t>mala in srednje velika podjetja</w:t>
            </w:r>
          </w:p>
        </w:tc>
      </w:tr>
      <w:tr w:rsidR="003E3ED9" w:rsidRPr="00830439" w14:paraId="166BD8B9" w14:textId="77777777" w:rsidTr="00E8716B">
        <w:tc>
          <w:tcPr>
            <w:tcW w:w="1698" w:type="dxa"/>
          </w:tcPr>
          <w:p w14:paraId="5732314A" w14:textId="77777777" w:rsidR="003E3ED9" w:rsidRPr="00F60B42" w:rsidRDefault="003E3ED9" w:rsidP="00E8716B">
            <w:pPr>
              <w:jc w:val="both"/>
              <w:rPr>
                <w:rFonts w:cs="Arial"/>
              </w:rPr>
            </w:pPr>
            <w:r w:rsidRPr="00830439">
              <w:rPr>
                <w:rFonts w:cs="Arial"/>
              </w:rPr>
              <w:t>OP 2014 – 2020</w:t>
            </w:r>
          </w:p>
        </w:tc>
        <w:tc>
          <w:tcPr>
            <w:tcW w:w="7713" w:type="dxa"/>
          </w:tcPr>
          <w:p w14:paraId="3B99CD75" w14:textId="77777777" w:rsidR="003E3ED9" w:rsidRPr="00F60B42" w:rsidRDefault="003E3ED9" w:rsidP="00E8716B">
            <w:pPr>
              <w:jc w:val="both"/>
              <w:rPr>
                <w:rFonts w:cs="Arial"/>
              </w:rPr>
            </w:pPr>
            <w:r w:rsidRPr="00F60B42">
              <w:rPr>
                <w:rFonts w:cs="Arial"/>
              </w:rPr>
              <w:t>Operativni program za izvajanje evropske kohezijske politike v obdobju 2014 – 2020</w:t>
            </w:r>
          </w:p>
        </w:tc>
      </w:tr>
      <w:tr w:rsidR="003E3ED9" w:rsidRPr="00830439" w14:paraId="7FBE4D38" w14:textId="77777777" w:rsidTr="00E8716B">
        <w:tc>
          <w:tcPr>
            <w:tcW w:w="1698" w:type="dxa"/>
          </w:tcPr>
          <w:p w14:paraId="4265F52B" w14:textId="77777777" w:rsidR="003E3ED9" w:rsidRPr="00F60B42" w:rsidRDefault="003E3ED9" w:rsidP="00E8716B">
            <w:pPr>
              <w:jc w:val="both"/>
              <w:rPr>
                <w:rFonts w:cs="Arial"/>
              </w:rPr>
            </w:pPr>
            <w:r w:rsidRPr="00830439">
              <w:rPr>
                <w:rFonts w:cs="Arial"/>
              </w:rPr>
              <w:t>OU</w:t>
            </w:r>
          </w:p>
        </w:tc>
        <w:tc>
          <w:tcPr>
            <w:tcW w:w="7713" w:type="dxa"/>
          </w:tcPr>
          <w:p w14:paraId="5C7B42CB" w14:textId="77777777" w:rsidR="003E3ED9" w:rsidRPr="00F60B42" w:rsidRDefault="003E3ED9" w:rsidP="00E8716B">
            <w:pPr>
              <w:jc w:val="both"/>
              <w:rPr>
                <w:rFonts w:cs="Arial"/>
              </w:rPr>
            </w:pPr>
            <w:r w:rsidRPr="00F60B42">
              <w:rPr>
                <w:rFonts w:cs="Arial"/>
              </w:rPr>
              <w:t>organ upravljanja</w:t>
            </w:r>
          </w:p>
        </w:tc>
      </w:tr>
      <w:tr w:rsidR="003E3ED9" w:rsidRPr="00830439" w14:paraId="3F74AE6F" w14:textId="77777777" w:rsidTr="00E8716B">
        <w:tc>
          <w:tcPr>
            <w:tcW w:w="1698" w:type="dxa"/>
          </w:tcPr>
          <w:p w14:paraId="42A557A0" w14:textId="77777777" w:rsidR="003E3ED9" w:rsidRPr="00F60B42" w:rsidRDefault="003E3ED9" w:rsidP="00E8716B">
            <w:pPr>
              <w:jc w:val="both"/>
              <w:rPr>
                <w:rFonts w:cs="Arial"/>
              </w:rPr>
            </w:pPr>
            <w:r w:rsidRPr="00830439">
              <w:rPr>
                <w:rFonts w:cs="Arial"/>
              </w:rPr>
              <w:t xml:space="preserve">MF-CA </w:t>
            </w:r>
          </w:p>
        </w:tc>
        <w:tc>
          <w:tcPr>
            <w:tcW w:w="7713" w:type="dxa"/>
          </w:tcPr>
          <w:p w14:paraId="5C1F7FBF" w14:textId="77777777" w:rsidR="003E3ED9" w:rsidRPr="00F60B42" w:rsidRDefault="003E3ED9" w:rsidP="00E8716B">
            <w:pPr>
              <w:jc w:val="both"/>
              <w:rPr>
                <w:rFonts w:cs="Arial"/>
              </w:rPr>
            </w:pPr>
            <w:r w:rsidRPr="00F60B42">
              <w:rPr>
                <w:rFonts w:cs="Arial"/>
              </w:rPr>
              <w:t>organ za potrjevanje</w:t>
            </w:r>
          </w:p>
        </w:tc>
      </w:tr>
      <w:tr w:rsidR="003E3ED9" w:rsidRPr="00830439" w14:paraId="4ABFBA01" w14:textId="77777777" w:rsidTr="00E8716B">
        <w:tc>
          <w:tcPr>
            <w:tcW w:w="1698" w:type="dxa"/>
          </w:tcPr>
          <w:p w14:paraId="7A54AF50" w14:textId="77777777" w:rsidR="003E3ED9" w:rsidRPr="00F60B42" w:rsidRDefault="003E3ED9" w:rsidP="00E8716B">
            <w:pPr>
              <w:jc w:val="both"/>
              <w:rPr>
                <w:rFonts w:cs="Arial"/>
              </w:rPr>
            </w:pPr>
            <w:r w:rsidRPr="00830439">
              <w:rPr>
                <w:rFonts w:cs="Arial"/>
              </w:rPr>
              <w:t>OVE</w:t>
            </w:r>
          </w:p>
        </w:tc>
        <w:tc>
          <w:tcPr>
            <w:tcW w:w="7713" w:type="dxa"/>
          </w:tcPr>
          <w:p w14:paraId="1DD68BD9" w14:textId="77777777" w:rsidR="003E3ED9" w:rsidRPr="00F60B42" w:rsidRDefault="003E3ED9" w:rsidP="00E8716B">
            <w:pPr>
              <w:jc w:val="both"/>
              <w:rPr>
                <w:rFonts w:cs="Arial"/>
              </w:rPr>
            </w:pPr>
            <w:r w:rsidRPr="00F60B42">
              <w:rPr>
                <w:rFonts w:cs="Arial"/>
              </w:rPr>
              <w:t>obnovljivi viri energije</w:t>
            </w:r>
          </w:p>
        </w:tc>
      </w:tr>
      <w:tr w:rsidR="003E3ED9" w:rsidRPr="00830439" w14:paraId="53F9CF71" w14:textId="77777777" w:rsidTr="00E8716B">
        <w:tc>
          <w:tcPr>
            <w:tcW w:w="1698" w:type="dxa"/>
          </w:tcPr>
          <w:p w14:paraId="384F9EB7" w14:textId="77777777" w:rsidR="003E3ED9" w:rsidRPr="00F60B42" w:rsidRDefault="003E3ED9" w:rsidP="00E8716B">
            <w:pPr>
              <w:jc w:val="both"/>
              <w:rPr>
                <w:rFonts w:cs="Arial"/>
              </w:rPr>
            </w:pPr>
            <w:r w:rsidRPr="00830439">
              <w:rPr>
                <w:rFonts w:cs="Arial"/>
              </w:rPr>
              <w:t>PO</w:t>
            </w:r>
          </w:p>
        </w:tc>
        <w:tc>
          <w:tcPr>
            <w:tcW w:w="7713" w:type="dxa"/>
          </w:tcPr>
          <w:p w14:paraId="6188B0F7" w14:textId="77777777" w:rsidR="003E3ED9" w:rsidRPr="00F60B42" w:rsidRDefault="003E3ED9" w:rsidP="00E8716B">
            <w:pPr>
              <w:jc w:val="both"/>
              <w:rPr>
                <w:rFonts w:cs="Arial"/>
              </w:rPr>
            </w:pPr>
            <w:r w:rsidRPr="00F60B42">
              <w:rPr>
                <w:rFonts w:cs="Arial"/>
              </w:rPr>
              <w:t>posredniški organ</w:t>
            </w:r>
          </w:p>
        </w:tc>
      </w:tr>
      <w:tr w:rsidR="003E3ED9" w:rsidRPr="00830439" w14:paraId="3C722485" w14:textId="77777777" w:rsidTr="00E8716B">
        <w:tc>
          <w:tcPr>
            <w:tcW w:w="1698" w:type="dxa"/>
          </w:tcPr>
          <w:p w14:paraId="3198087B" w14:textId="77777777" w:rsidR="003E3ED9" w:rsidRPr="00F60B42" w:rsidRDefault="003E3ED9" w:rsidP="00E8716B">
            <w:pPr>
              <w:jc w:val="both"/>
              <w:rPr>
                <w:rFonts w:cs="Arial"/>
              </w:rPr>
            </w:pPr>
            <w:r w:rsidRPr="00830439">
              <w:rPr>
                <w:rFonts w:cs="Arial"/>
              </w:rPr>
              <w:t>RRI</w:t>
            </w:r>
          </w:p>
        </w:tc>
        <w:tc>
          <w:tcPr>
            <w:tcW w:w="7713" w:type="dxa"/>
          </w:tcPr>
          <w:p w14:paraId="308A15C6" w14:textId="77777777" w:rsidR="003E3ED9" w:rsidRPr="00F60B42" w:rsidRDefault="003E3ED9" w:rsidP="00E8716B">
            <w:pPr>
              <w:jc w:val="both"/>
              <w:rPr>
                <w:rFonts w:cs="Arial"/>
              </w:rPr>
            </w:pPr>
            <w:r w:rsidRPr="00F60B42">
              <w:rPr>
                <w:rFonts w:cs="Arial"/>
              </w:rPr>
              <w:t>raziskave, razvoj in inovacije</w:t>
            </w:r>
          </w:p>
        </w:tc>
      </w:tr>
      <w:tr w:rsidR="003E3ED9" w:rsidRPr="00830439" w14:paraId="001F7F5F" w14:textId="77777777" w:rsidTr="00E8716B">
        <w:tc>
          <w:tcPr>
            <w:tcW w:w="1698" w:type="dxa"/>
          </w:tcPr>
          <w:p w14:paraId="01EFE91F" w14:textId="77777777" w:rsidR="003E3ED9" w:rsidRPr="00F60B42" w:rsidRDefault="003E3ED9" w:rsidP="00E8716B">
            <w:pPr>
              <w:jc w:val="both"/>
              <w:rPr>
                <w:rFonts w:cs="Arial"/>
              </w:rPr>
            </w:pPr>
            <w:r w:rsidRPr="00830439">
              <w:rPr>
                <w:rFonts w:cs="Arial"/>
              </w:rPr>
              <w:t>TC 1</w:t>
            </w:r>
          </w:p>
        </w:tc>
        <w:tc>
          <w:tcPr>
            <w:tcW w:w="7713" w:type="dxa"/>
          </w:tcPr>
          <w:p w14:paraId="6BCF05D4" w14:textId="77777777" w:rsidR="003E3ED9" w:rsidRPr="00F60B42" w:rsidRDefault="003E3ED9" w:rsidP="00E8716B">
            <w:pPr>
              <w:jc w:val="both"/>
              <w:rPr>
                <w:rFonts w:cs="Arial"/>
              </w:rPr>
            </w:pPr>
            <w:r w:rsidRPr="00F60B42">
              <w:rPr>
                <w:rFonts w:cs="Arial"/>
              </w:rPr>
              <w:t>tematski cilj 1 (v okviru OP 2014 – 2020)</w:t>
            </w:r>
          </w:p>
        </w:tc>
      </w:tr>
      <w:tr w:rsidR="003E3ED9" w:rsidRPr="00830439" w14:paraId="331AD190" w14:textId="77777777" w:rsidTr="00E8716B">
        <w:tc>
          <w:tcPr>
            <w:tcW w:w="1698" w:type="dxa"/>
          </w:tcPr>
          <w:p w14:paraId="53661289" w14:textId="77777777" w:rsidR="003E3ED9" w:rsidRPr="00F60B42" w:rsidRDefault="003E3ED9" w:rsidP="00E8716B">
            <w:pPr>
              <w:jc w:val="both"/>
              <w:rPr>
                <w:rFonts w:cs="Arial"/>
              </w:rPr>
            </w:pPr>
            <w:r w:rsidRPr="00830439">
              <w:rPr>
                <w:rFonts w:cs="Arial"/>
              </w:rPr>
              <w:t>TC 3</w:t>
            </w:r>
          </w:p>
        </w:tc>
        <w:tc>
          <w:tcPr>
            <w:tcW w:w="7713" w:type="dxa"/>
          </w:tcPr>
          <w:p w14:paraId="0DE2065D" w14:textId="77777777" w:rsidR="003E3ED9" w:rsidRPr="00F60B42" w:rsidRDefault="003E3ED9" w:rsidP="00E8716B">
            <w:pPr>
              <w:jc w:val="both"/>
              <w:rPr>
                <w:rFonts w:cs="Arial"/>
              </w:rPr>
            </w:pPr>
            <w:r w:rsidRPr="00F60B42">
              <w:rPr>
                <w:rFonts w:cs="Arial"/>
              </w:rPr>
              <w:t>tematski cilj 3 (v okviru OP 2014 – 2020)</w:t>
            </w:r>
          </w:p>
        </w:tc>
      </w:tr>
      <w:tr w:rsidR="003E3ED9" w:rsidRPr="00830439" w14:paraId="7499EAB8" w14:textId="77777777" w:rsidTr="00E8716B">
        <w:tc>
          <w:tcPr>
            <w:tcW w:w="1698" w:type="dxa"/>
          </w:tcPr>
          <w:p w14:paraId="26E6487F" w14:textId="77777777" w:rsidR="003E3ED9" w:rsidRPr="00F60B42" w:rsidRDefault="003E3ED9" w:rsidP="00E8716B">
            <w:pPr>
              <w:jc w:val="both"/>
              <w:rPr>
                <w:rFonts w:cs="Arial"/>
              </w:rPr>
            </w:pPr>
            <w:r w:rsidRPr="00830439">
              <w:rPr>
                <w:rFonts w:cs="Arial"/>
              </w:rPr>
              <w:t>TC 4</w:t>
            </w:r>
          </w:p>
        </w:tc>
        <w:tc>
          <w:tcPr>
            <w:tcW w:w="7713" w:type="dxa"/>
          </w:tcPr>
          <w:p w14:paraId="6B77F90A" w14:textId="77777777" w:rsidR="003E3ED9" w:rsidRPr="00F60B42" w:rsidRDefault="003E3ED9" w:rsidP="00E8716B">
            <w:pPr>
              <w:jc w:val="both"/>
              <w:rPr>
                <w:rFonts w:cs="Arial"/>
              </w:rPr>
            </w:pPr>
            <w:r w:rsidRPr="00F60B42">
              <w:rPr>
                <w:rFonts w:cs="Arial"/>
              </w:rPr>
              <w:t>tematski cilj 4 (v okviru OP 2014 – 2020)</w:t>
            </w:r>
          </w:p>
        </w:tc>
      </w:tr>
      <w:tr w:rsidR="003E3ED9" w:rsidRPr="00830439" w14:paraId="7B9CC846" w14:textId="77777777" w:rsidTr="00E8716B">
        <w:tc>
          <w:tcPr>
            <w:tcW w:w="1698" w:type="dxa"/>
          </w:tcPr>
          <w:p w14:paraId="4FCE78DF" w14:textId="77777777" w:rsidR="003E3ED9" w:rsidRPr="00F60B42" w:rsidRDefault="003E3ED9" w:rsidP="00E8716B">
            <w:pPr>
              <w:jc w:val="both"/>
              <w:rPr>
                <w:rFonts w:cs="Arial"/>
              </w:rPr>
            </w:pPr>
            <w:r w:rsidRPr="00830439">
              <w:rPr>
                <w:rFonts w:cs="Arial"/>
              </w:rPr>
              <w:t>TC 6</w:t>
            </w:r>
          </w:p>
        </w:tc>
        <w:tc>
          <w:tcPr>
            <w:tcW w:w="7713" w:type="dxa"/>
          </w:tcPr>
          <w:p w14:paraId="3EFFEFBC" w14:textId="77777777" w:rsidR="003E3ED9" w:rsidRPr="00F60B42" w:rsidRDefault="003E3ED9" w:rsidP="00E8716B">
            <w:pPr>
              <w:jc w:val="both"/>
              <w:rPr>
                <w:rFonts w:cs="Arial"/>
              </w:rPr>
            </w:pPr>
            <w:r w:rsidRPr="00F60B42">
              <w:rPr>
                <w:rFonts w:cs="Arial"/>
              </w:rPr>
              <w:t>tematski cilj 6 (v okviru OP 2014 – 2020)</w:t>
            </w:r>
          </w:p>
        </w:tc>
      </w:tr>
      <w:tr w:rsidR="003E3ED9" w:rsidRPr="00830439" w14:paraId="7FAA3387" w14:textId="77777777" w:rsidTr="00E8716B">
        <w:tc>
          <w:tcPr>
            <w:tcW w:w="1698" w:type="dxa"/>
          </w:tcPr>
          <w:p w14:paraId="48BC227C" w14:textId="77777777" w:rsidR="003E3ED9" w:rsidRPr="00F60B42" w:rsidRDefault="003E3ED9" w:rsidP="00E8716B">
            <w:pPr>
              <w:jc w:val="both"/>
              <w:rPr>
                <w:rFonts w:cs="Arial"/>
              </w:rPr>
            </w:pPr>
            <w:r w:rsidRPr="00830439">
              <w:rPr>
                <w:rFonts w:cs="Arial"/>
              </w:rPr>
              <w:t>URE</w:t>
            </w:r>
          </w:p>
        </w:tc>
        <w:tc>
          <w:tcPr>
            <w:tcW w:w="7713" w:type="dxa"/>
          </w:tcPr>
          <w:p w14:paraId="7483CF07" w14:textId="77777777" w:rsidR="003E3ED9" w:rsidRPr="00F60B42" w:rsidRDefault="003E3ED9" w:rsidP="00E8716B">
            <w:pPr>
              <w:jc w:val="both"/>
              <w:rPr>
                <w:rFonts w:cs="Arial"/>
              </w:rPr>
            </w:pPr>
            <w:r w:rsidRPr="00F60B42">
              <w:rPr>
                <w:rFonts w:cs="Arial"/>
              </w:rPr>
              <w:t>učinkovita raba energije</w:t>
            </w:r>
          </w:p>
        </w:tc>
      </w:tr>
      <w:tr w:rsidR="003E3ED9" w:rsidRPr="00830439" w14:paraId="3B268127" w14:textId="77777777" w:rsidTr="00E8716B">
        <w:tc>
          <w:tcPr>
            <w:tcW w:w="1698" w:type="dxa"/>
          </w:tcPr>
          <w:p w14:paraId="3F87C924" w14:textId="77777777" w:rsidR="003E3ED9" w:rsidRPr="00F60B42" w:rsidRDefault="003E3ED9" w:rsidP="00E8716B">
            <w:pPr>
              <w:jc w:val="both"/>
              <w:rPr>
                <w:rFonts w:cs="Arial"/>
              </w:rPr>
            </w:pPr>
            <w:r w:rsidRPr="00830439">
              <w:rPr>
                <w:rFonts w:cs="Arial"/>
              </w:rPr>
              <w:t>ZMOS</w:t>
            </w:r>
          </w:p>
        </w:tc>
        <w:tc>
          <w:tcPr>
            <w:tcW w:w="7713" w:type="dxa"/>
          </w:tcPr>
          <w:p w14:paraId="573C30BC" w14:textId="77777777" w:rsidR="003E3ED9" w:rsidRPr="00F60B42" w:rsidRDefault="003E3ED9" w:rsidP="00E8716B">
            <w:pPr>
              <w:jc w:val="both"/>
              <w:rPr>
                <w:rFonts w:cs="Arial"/>
              </w:rPr>
            </w:pPr>
            <w:r w:rsidRPr="00F60B42">
              <w:rPr>
                <w:rFonts w:cs="Arial"/>
              </w:rPr>
              <w:t>Združenje mestnih občin Slovenije</w:t>
            </w:r>
          </w:p>
        </w:tc>
      </w:tr>
    </w:tbl>
    <w:p w14:paraId="4F357B60" w14:textId="77777777" w:rsidR="003E3ED9" w:rsidRPr="005811A3" w:rsidRDefault="003E3ED9" w:rsidP="003E3ED9">
      <w:pPr>
        <w:rPr>
          <w:rFonts w:cs="Arial"/>
          <w:b/>
          <w:color w:val="AACDDB"/>
          <w:szCs w:val="20"/>
        </w:rPr>
      </w:pPr>
      <w:bookmarkStart w:id="0" w:name="_Toc122425426"/>
      <w:bookmarkStart w:id="1" w:name="_Toc122425427"/>
      <w:r w:rsidRPr="005811A3">
        <w:rPr>
          <w:rFonts w:cs="Arial"/>
          <w:b/>
          <w:color w:val="AACDDB"/>
          <w:szCs w:val="20"/>
        </w:rPr>
        <w:t>Seznam kratic</w:t>
      </w:r>
      <w:bookmarkEnd w:id="0"/>
    </w:p>
    <w:p w14:paraId="51CAF348" w14:textId="77777777" w:rsidR="003E3ED9" w:rsidRPr="005811A3" w:rsidRDefault="003E3ED9" w:rsidP="003E3ED9">
      <w:pPr>
        <w:spacing w:before="240" w:after="120"/>
        <w:outlineLvl w:val="0"/>
        <w:rPr>
          <w:rFonts w:cs="Arial"/>
          <w:b/>
          <w:color w:val="AACDDB"/>
          <w:szCs w:val="20"/>
        </w:rPr>
      </w:pPr>
    </w:p>
    <w:p w14:paraId="71E3F016" w14:textId="77777777" w:rsidR="003E3ED9" w:rsidRDefault="003E3ED9" w:rsidP="003E3ED9">
      <w:pPr>
        <w:spacing w:line="240" w:lineRule="auto"/>
        <w:rPr>
          <w:rFonts w:eastAsia="Calibri" w:cs="Arial"/>
          <w:b/>
          <w:i/>
          <w:szCs w:val="20"/>
        </w:rPr>
      </w:pPr>
      <w:r w:rsidRPr="00830439">
        <w:rPr>
          <w:rFonts w:eastAsia="Calibri" w:cs="Arial"/>
          <w:b/>
          <w:i/>
          <w:szCs w:val="20"/>
        </w:rPr>
        <w:br w:type="page"/>
      </w:r>
    </w:p>
    <w:p w14:paraId="507E8184" w14:textId="77777777" w:rsidR="003E3ED9" w:rsidRPr="00CC2BB8" w:rsidRDefault="003E3ED9" w:rsidP="003E3ED9">
      <w:pPr>
        <w:rPr>
          <w:rFonts w:cs="Arial"/>
          <w:b/>
          <w:color w:val="AACDDB"/>
          <w:szCs w:val="20"/>
        </w:rPr>
      </w:pPr>
      <w:r w:rsidRPr="00CC2BB8">
        <w:rPr>
          <w:rFonts w:cs="Arial"/>
          <w:b/>
          <w:color w:val="AACDDB"/>
          <w:szCs w:val="20"/>
        </w:rPr>
        <w:lastRenderedPageBreak/>
        <w:t>Kazalo vsebine</w:t>
      </w:r>
    </w:p>
    <w:p w14:paraId="203B72CE" w14:textId="77777777" w:rsidR="003E3ED9" w:rsidRPr="00CC2BB8" w:rsidRDefault="003E3ED9" w:rsidP="003E3ED9">
      <w:pPr>
        <w:spacing w:line="240" w:lineRule="auto"/>
        <w:rPr>
          <w:rFonts w:eastAsia="Calibri" w:cs="Arial"/>
          <w:b/>
          <w:i/>
          <w:szCs w:val="20"/>
        </w:rPr>
      </w:pPr>
    </w:p>
    <w:bookmarkStart w:id="2" w:name="_Toc122425428"/>
    <w:bookmarkEnd w:id="1"/>
    <w:p w14:paraId="23B0181D" w14:textId="77777777" w:rsidR="003E3ED9" w:rsidRPr="00CC2BB8" w:rsidRDefault="003E3ED9" w:rsidP="003E3ED9">
      <w:pPr>
        <w:pStyle w:val="Kazalovsebine1"/>
        <w:rPr>
          <w:rFonts w:ascii="Arial" w:eastAsiaTheme="minorEastAsia" w:hAnsi="Arial" w:cs="Arial"/>
          <w:b w:val="0"/>
          <w:i w:val="0"/>
          <w:noProof/>
          <w:sz w:val="20"/>
        </w:rPr>
      </w:pPr>
      <w:r w:rsidRPr="00CC2BB8">
        <w:rPr>
          <w:rFonts w:ascii="Arial" w:hAnsi="Arial" w:cs="Arial"/>
          <w:b w:val="0"/>
          <w:i w:val="0"/>
          <w:color w:val="AACDDB"/>
          <w:sz w:val="20"/>
        </w:rPr>
        <w:fldChar w:fldCharType="begin"/>
      </w:r>
      <w:r w:rsidRPr="00CC2BB8">
        <w:rPr>
          <w:rFonts w:ascii="Arial" w:hAnsi="Arial" w:cs="Arial"/>
          <w:b w:val="0"/>
          <w:i w:val="0"/>
          <w:color w:val="AACDDB"/>
          <w:sz w:val="20"/>
        </w:rPr>
        <w:instrText xml:space="preserve"> TOC \o "1-3" \h \z \u </w:instrText>
      </w:r>
      <w:r w:rsidRPr="00CC2BB8">
        <w:rPr>
          <w:rFonts w:ascii="Arial" w:hAnsi="Arial" w:cs="Arial"/>
          <w:b w:val="0"/>
          <w:i w:val="0"/>
          <w:color w:val="AACDDB"/>
          <w:sz w:val="20"/>
        </w:rPr>
        <w:fldChar w:fldCharType="separate"/>
      </w:r>
      <w:hyperlink w:anchor="_Toc132097808" w:history="1">
        <w:r w:rsidRPr="00CC2BB8">
          <w:rPr>
            <w:rStyle w:val="Hiperpovezava"/>
            <w:rFonts w:ascii="Arial" w:eastAsiaTheme="majorEastAsia" w:hAnsi="Arial" w:cs="Arial"/>
            <w:b w:val="0"/>
            <w:noProof/>
            <w:kern w:val="32"/>
            <w:sz w:val="20"/>
          </w:rPr>
          <w:t>I. Ocena finančnih posledic, ki niso načrtovane v sprejetem proračunu</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_Toc132097808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w:t>
        </w:r>
        <w:r w:rsidRPr="00CC2BB8">
          <w:rPr>
            <w:rFonts w:ascii="Arial" w:hAnsi="Arial" w:cs="Arial"/>
            <w:b w:val="0"/>
            <w:i w:val="0"/>
            <w:noProof/>
            <w:webHidden/>
            <w:sz w:val="20"/>
          </w:rPr>
          <w:fldChar w:fldCharType="end"/>
        </w:r>
      </w:hyperlink>
    </w:p>
    <w:p w14:paraId="3599CAC1" w14:textId="77777777" w:rsidR="003E3ED9" w:rsidRPr="00CC2BB8" w:rsidRDefault="003E3ED9" w:rsidP="003E3ED9">
      <w:pPr>
        <w:pStyle w:val="Kazalovsebine1"/>
        <w:rPr>
          <w:rFonts w:ascii="Arial" w:eastAsiaTheme="minorEastAsia" w:hAnsi="Arial" w:cs="Arial"/>
          <w:b w:val="0"/>
          <w:i w:val="0"/>
          <w:noProof/>
          <w:sz w:val="20"/>
        </w:rPr>
      </w:pPr>
      <w:hyperlink w:anchor="_Toc132097809" w:history="1">
        <w:r w:rsidRPr="00CC2BB8">
          <w:rPr>
            <w:rStyle w:val="Hiperpovezava"/>
            <w:rFonts w:ascii="Arial" w:eastAsiaTheme="majorEastAsia" w:hAnsi="Arial" w:cs="Arial"/>
            <w:b w:val="0"/>
            <w:noProof/>
            <w:kern w:val="32"/>
            <w:sz w:val="20"/>
          </w:rPr>
          <w:t>II. Finančne posledice za državni proračun</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_Toc132097809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w:t>
        </w:r>
        <w:r w:rsidRPr="00CC2BB8">
          <w:rPr>
            <w:rFonts w:ascii="Arial" w:hAnsi="Arial" w:cs="Arial"/>
            <w:b w:val="0"/>
            <w:i w:val="0"/>
            <w:noProof/>
            <w:webHidden/>
            <w:sz w:val="20"/>
          </w:rPr>
          <w:fldChar w:fldCharType="end"/>
        </w:r>
      </w:hyperlink>
    </w:p>
    <w:p w14:paraId="68042D1F" w14:textId="77777777" w:rsidR="003E3ED9" w:rsidRPr="00CC2BB8" w:rsidRDefault="003E3ED9" w:rsidP="003E3ED9">
      <w:pPr>
        <w:pStyle w:val="Kazalovsebine1"/>
        <w:rPr>
          <w:rFonts w:ascii="Arial" w:eastAsiaTheme="minorEastAsia" w:hAnsi="Arial" w:cs="Arial"/>
          <w:b w:val="0"/>
          <w:i w:val="0"/>
          <w:noProof/>
          <w:sz w:val="20"/>
        </w:rPr>
      </w:pPr>
      <w:hyperlink w:anchor="_Toc132097810" w:history="1">
        <w:r w:rsidRPr="00CC2BB8">
          <w:rPr>
            <w:rStyle w:val="Hiperpovezava"/>
            <w:rFonts w:ascii="Arial" w:eastAsiaTheme="majorEastAsia" w:hAnsi="Arial" w:cs="Arial"/>
            <w:b w:val="0"/>
            <w:noProof/>
            <w:kern w:val="32"/>
            <w:sz w:val="20"/>
          </w:rPr>
          <w:t>II.a Pravice porabe za izvedbo predlaganih rešitev so zagotovljene: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_Toc132097810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w:t>
        </w:r>
        <w:r w:rsidRPr="00CC2BB8">
          <w:rPr>
            <w:rFonts w:ascii="Arial" w:hAnsi="Arial" w:cs="Arial"/>
            <w:b w:val="0"/>
            <w:i w:val="0"/>
            <w:noProof/>
            <w:webHidden/>
            <w:sz w:val="20"/>
          </w:rPr>
          <w:fldChar w:fldCharType="end"/>
        </w:r>
      </w:hyperlink>
    </w:p>
    <w:p w14:paraId="0343E465" w14:textId="77777777" w:rsidR="003E3ED9" w:rsidRPr="00CC2BB8" w:rsidRDefault="003E3ED9" w:rsidP="003E3ED9">
      <w:pPr>
        <w:pStyle w:val="Kazalovsebine1"/>
        <w:rPr>
          <w:rFonts w:ascii="Arial" w:eastAsiaTheme="minorEastAsia" w:hAnsi="Arial" w:cs="Arial"/>
          <w:b w:val="0"/>
          <w:i w:val="0"/>
          <w:noProof/>
          <w:sz w:val="20"/>
        </w:rPr>
      </w:pPr>
      <w:hyperlink w:anchor="_Toc132097811" w:history="1">
        <w:r w:rsidRPr="00CC2BB8">
          <w:rPr>
            <w:rStyle w:val="Hiperpovezava"/>
            <w:rFonts w:ascii="Arial" w:eastAsiaTheme="majorEastAsia" w:hAnsi="Arial" w:cs="Arial"/>
            <w:b w:val="0"/>
            <w:noProof/>
            <w:kern w:val="32"/>
            <w:sz w:val="20"/>
          </w:rPr>
          <w:t>II.b Manjkajoče pravice porabe bodo zagotovljene s prerazporeditvijo:</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_Toc132097811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w:t>
        </w:r>
        <w:r w:rsidRPr="00CC2BB8">
          <w:rPr>
            <w:rFonts w:ascii="Arial" w:hAnsi="Arial" w:cs="Arial"/>
            <w:b w:val="0"/>
            <w:i w:val="0"/>
            <w:noProof/>
            <w:webHidden/>
            <w:sz w:val="20"/>
          </w:rPr>
          <w:fldChar w:fldCharType="end"/>
        </w:r>
      </w:hyperlink>
    </w:p>
    <w:p w14:paraId="5E9D99E8" w14:textId="77777777" w:rsidR="003E3ED9" w:rsidRPr="00CC2BB8" w:rsidRDefault="003E3ED9" w:rsidP="003E3ED9">
      <w:pPr>
        <w:pStyle w:val="Kazalovsebine1"/>
        <w:rPr>
          <w:rFonts w:ascii="Arial" w:eastAsiaTheme="minorEastAsia" w:hAnsi="Arial" w:cs="Arial"/>
          <w:b w:val="0"/>
          <w:i w:val="0"/>
          <w:noProof/>
          <w:sz w:val="20"/>
        </w:rPr>
      </w:pPr>
      <w:hyperlink w:anchor="_Toc132097812" w:history="1">
        <w:r w:rsidRPr="00CC2BB8">
          <w:rPr>
            <w:rStyle w:val="Hiperpovezava"/>
            <w:rFonts w:ascii="Arial" w:eastAsiaTheme="majorEastAsia" w:hAnsi="Arial" w:cs="Arial"/>
            <w:b w:val="0"/>
            <w:noProof/>
            <w:kern w:val="32"/>
            <w:sz w:val="20"/>
          </w:rPr>
          <w:t>II.c Načrtovana nadomestitev zmanjšanih prihodkov in povečanih odhodkov proračuna:</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_Toc132097812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w:t>
        </w:r>
        <w:r w:rsidRPr="00CC2BB8">
          <w:rPr>
            <w:rFonts w:ascii="Arial" w:hAnsi="Arial" w:cs="Arial"/>
            <w:b w:val="0"/>
            <w:i w:val="0"/>
            <w:noProof/>
            <w:webHidden/>
            <w:sz w:val="20"/>
          </w:rPr>
          <w:fldChar w:fldCharType="end"/>
        </w:r>
      </w:hyperlink>
    </w:p>
    <w:p w14:paraId="5F26415B" w14:textId="77777777" w:rsidR="003E3ED9" w:rsidRPr="00CC2BB8" w:rsidRDefault="003E3ED9" w:rsidP="003E3ED9">
      <w:pPr>
        <w:pStyle w:val="Kazalovsebine1"/>
        <w:rPr>
          <w:rFonts w:ascii="Arial" w:eastAsiaTheme="minorEastAsia" w:hAnsi="Arial" w:cs="Arial"/>
          <w:b w:val="0"/>
          <w:i w:val="0"/>
          <w:noProof/>
          <w:sz w:val="20"/>
        </w:rPr>
      </w:pPr>
      <w:hyperlink w:anchor="_Toc132097813" w:history="1">
        <w:r w:rsidRPr="00CC2BB8">
          <w:rPr>
            <w:rStyle w:val="Hiperpovezava"/>
            <w:rFonts w:ascii="Arial" w:eastAsiaTheme="majorEastAsia" w:hAnsi="Arial" w:cs="Arial"/>
            <w:b w:val="0"/>
            <w:noProof/>
            <w:sz w:val="20"/>
          </w:rPr>
          <w:t>POVZETEK</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_Toc132097813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8</w:t>
        </w:r>
        <w:r w:rsidRPr="00CC2BB8">
          <w:rPr>
            <w:rFonts w:ascii="Arial" w:hAnsi="Arial" w:cs="Arial"/>
            <w:b w:val="0"/>
            <w:i w:val="0"/>
            <w:noProof/>
            <w:webHidden/>
            <w:sz w:val="20"/>
          </w:rPr>
          <w:fldChar w:fldCharType="end"/>
        </w:r>
      </w:hyperlink>
    </w:p>
    <w:p w14:paraId="59A63C5D" w14:textId="77777777" w:rsidR="003E3ED9" w:rsidRPr="00CC2BB8" w:rsidRDefault="003E3ED9" w:rsidP="003E3ED9">
      <w:pPr>
        <w:pStyle w:val="Kazalovsebine1"/>
        <w:rPr>
          <w:rFonts w:ascii="Arial" w:eastAsiaTheme="minorEastAsia" w:hAnsi="Arial" w:cs="Arial"/>
          <w:b w:val="0"/>
          <w:i w:val="0"/>
          <w:noProof/>
          <w:sz w:val="20"/>
        </w:rPr>
      </w:pPr>
      <w:hyperlink w:anchor="_Toc132097814" w:history="1">
        <w:r w:rsidRPr="00CC2BB8">
          <w:rPr>
            <w:rStyle w:val="Hiperpovezava"/>
            <w:rFonts w:ascii="Arial" w:eastAsiaTheme="majorEastAsia" w:hAnsi="Arial" w:cs="Arial"/>
            <w:b w:val="0"/>
            <w:noProof/>
            <w:sz w:val="20"/>
          </w:rPr>
          <w:t>1. UVOD</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_Toc132097814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11</w:t>
        </w:r>
        <w:r w:rsidRPr="00CC2BB8">
          <w:rPr>
            <w:rFonts w:ascii="Arial" w:hAnsi="Arial" w:cs="Arial"/>
            <w:b w:val="0"/>
            <w:i w:val="0"/>
            <w:noProof/>
            <w:webHidden/>
            <w:sz w:val="20"/>
          </w:rPr>
          <w:fldChar w:fldCharType="end"/>
        </w:r>
      </w:hyperlink>
    </w:p>
    <w:p w14:paraId="5966A2BC" w14:textId="77777777" w:rsidR="003E3ED9" w:rsidRPr="00CC2BB8" w:rsidRDefault="003E3ED9" w:rsidP="003E3ED9">
      <w:pPr>
        <w:pStyle w:val="Kazalovsebine1"/>
        <w:rPr>
          <w:rFonts w:ascii="Arial" w:eastAsiaTheme="minorEastAsia" w:hAnsi="Arial" w:cs="Arial"/>
          <w:b w:val="0"/>
          <w:i w:val="0"/>
          <w:noProof/>
          <w:sz w:val="20"/>
        </w:rPr>
      </w:pPr>
      <w:hyperlink w:anchor="_Toc132097815" w:history="1">
        <w:r w:rsidRPr="00CC2BB8">
          <w:rPr>
            <w:rStyle w:val="Hiperpovezava"/>
            <w:rFonts w:ascii="Arial" w:eastAsiaTheme="majorEastAsia" w:hAnsi="Arial" w:cs="Arial"/>
            <w:b w:val="0"/>
            <w:noProof/>
            <w:sz w:val="20"/>
          </w:rPr>
          <w:t>2. IZHODIŠČA</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_Toc132097815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14</w:t>
        </w:r>
        <w:r w:rsidRPr="00CC2BB8">
          <w:rPr>
            <w:rFonts w:ascii="Arial" w:hAnsi="Arial" w:cs="Arial"/>
            <w:b w:val="0"/>
            <w:i w:val="0"/>
            <w:noProof/>
            <w:webHidden/>
            <w:sz w:val="20"/>
          </w:rPr>
          <w:fldChar w:fldCharType="end"/>
        </w:r>
      </w:hyperlink>
    </w:p>
    <w:p w14:paraId="517DF62A" w14:textId="77777777" w:rsidR="003E3ED9" w:rsidRPr="00CC2BB8" w:rsidRDefault="003E3ED9" w:rsidP="003E3ED9">
      <w:pPr>
        <w:pStyle w:val="Kazalovsebine1"/>
        <w:rPr>
          <w:rFonts w:ascii="Arial" w:eastAsiaTheme="minorEastAsia" w:hAnsi="Arial" w:cs="Arial"/>
          <w:b w:val="0"/>
          <w:i w:val="0"/>
          <w:noProof/>
          <w:sz w:val="20"/>
        </w:rPr>
      </w:pPr>
      <w:hyperlink w:anchor="_Toc132097816" w:history="1">
        <w:r w:rsidRPr="00CC2BB8">
          <w:rPr>
            <w:rStyle w:val="Hiperpovezava"/>
            <w:rFonts w:ascii="Arial" w:eastAsiaTheme="majorEastAsia" w:hAnsi="Arial" w:cs="Arial"/>
            <w:b w:val="0"/>
            <w:noProof/>
            <w:sz w:val="20"/>
          </w:rPr>
          <w:t>2.1 Pravne podlage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_Toc132097816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14</w:t>
        </w:r>
        <w:r w:rsidRPr="00CC2BB8">
          <w:rPr>
            <w:rFonts w:ascii="Arial" w:hAnsi="Arial" w:cs="Arial"/>
            <w:b w:val="0"/>
            <w:i w:val="0"/>
            <w:noProof/>
            <w:webHidden/>
            <w:sz w:val="20"/>
          </w:rPr>
          <w:fldChar w:fldCharType="end"/>
        </w:r>
      </w:hyperlink>
    </w:p>
    <w:p w14:paraId="68598A5D" w14:textId="77777777" w:rsidR="003E3ED9" w:rsidRPr="00CC2BB8" w:rsidRDefault="003E3ED9" w:rsidP="003E3ED9">
      <w:pPr>
        <w:pStyle w:val="Kazalovsebine1"/>
        <w:rPr>
          <w:rFonts w:ascii="Arial" w:eastAsiaTheme="minorEastAsia" w:hAnsi="Arial" w:cs="Arial"/>
          <w:b w:val="0"/>
          <w:i w:val="0"/>
          <w:noProof/>
          <w:sz w:val="20"/>
        </w:rPr>
      </w:pPr>
      <w:hyperlink w:anchor="_Toc132097817" w:history="1">
        <w:r w:rsidRPr="00CC2BB8">
          <w:rPr>
            <w:rStyle w:val="Hiperpovezava"/>
            <w:rFonts w:ascii="Arial" w:eastAsiaTheme="majorEastAsia" w:hAnsi="Arial" w:cs="Arial"/>
            <w:b w:val="0"/>
            <w:noProof/>
            <w:sz w:val="20"/>
          </w:rPr>
          <w:t>2.2 Tržne vrzeli na področju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_Toc132097817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16</w:t>
        </w:r>
        <w:r w:rsidRPr="00CC2BB8">
          <w:rPr>
            <w:rFonts w:ascii="Arial" w:hAnsi="Arial" w:cs="Arial"/>
            <w:b w:val="0"/>
            <w:i w:val="0"/>
            <w:noProof/>
            <w:webHidden/>
            <w:sz w:val="20"/>
          </w:rPr>
          <w:fldChar w:fldCharType="end"/>
        </w:r>
      </w:hyperlink>
    </w:p>
    <w:p w14:paraId="4E1DFB35" w14:textId="77777777" w:rsidR="003E3ED9" w:rsidRPr="00CC2BB8" w:rsidRDefault="003E3ED9" w:rsidP="003E3ED9">
      <w:pPr>
        <w:pStyle w:val="Kazalovsebine1"/>
        <w:rPr>
          <w:rFonts w:ascii="Arial" w:eastAsiaTheme="minorEastAsia" w:hAnsi="Arial" w:cs="Arial"/>
          <w:b w:val="0"/>
          <w:i w:val="0"/>
          <w:noProof/>
          <w:sz w:val="20"/>
        </w:rPr>
      </w:pPr>
      <w:hyperlink w:anchor="_Toc132097818" w:history="1">
        <w:r w:rsidRPr="00CC2BB8">
          <w:rPr>
            <w:rStyle w:val="Hiperpovezava"/>
            <w:rFonts w:ascii="Arial" w:eastAsiaTheme="majorEastAsia" w:hAnsi="Arial" w:cs="Arial"/>
            <w:b w:val="0"/>
            <w:noProof/>
            <w:sz w:val="20"/>
          </w:rPr>
          <w:t>2.2.1 Mala in srednje velika podjetja (MSP)</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_Toc132097818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16</w:t>
        </w:r>
        <w:r w:rsidRPr="00CC2BB8">
          <w:rPr>
            <w:rFonts w:ascii="Arial" w:hAnsi="Arial" w:cs="Arial"/>
            <w:b w:val="0"/>
            <w:i w:val="0"/>
            <w:noProof/>
            <w:webHidden/>
            <w:sz w:val="20"/>
          </w:rPr>
          <w:fldChar w:fldCharType="end"/>
        </w:r>
      </w:hyperlink>
    </w:p>
    <w:p w14:paraId="6F3B0FE5" w14:textId="77777777" w:rsidR="003E3ED9" w:rsidRPr="00CC2BB8" w:rsidRDefault="003E3ED9" w:rsidP="003E3ED9">
      <w:pPr>
        <w:pStyle w:val="Kazalovsebine1"/>
        <w:rPr>
          <w:rFonts w:ascii="Arial" w:eastAsiaTheme="minorEastAsia" w:hAnsi="Arial" w:cs="Arial"/>
          <w:b w:val="0"/>
          <w:i w:val="0"/>
          <w:noProof/>
          <w:sz w:val="20"/>
        </w:rPr>
      </w:pPr>
      <w:hyperlink w:anchor="_Toc132097819" w:history="1">
        <w:r w:rsidRPr="00CC2BB8">
          <w:rPr>
            <w:rStyle w:val="Hiperpovezava"/>
            <w:rFonts w:ascii="Arial" w:eastAsiaTheme="majorEastAsia" w:hAnsi="Arial" w:cs="Arial"/>
            <w:b w:val="0"/>
            <w:noProof/>
            <w:sz w:val="20"/>
          </w:rPr>
          <w:t>2.2.2 Raziskave, razvoj in inovacije (RRI)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_Toc132097819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18</w:t>
        </w:r>
        <w:r w:rsidRPr="00CC2BB8">
          <w:rPr>
            <w:rFonts w:ascii="Arial" w:hAnsi="Arial" w:cs="Arial"/>
            <w:b w:val="0"/>
            <w:i w:val="0"/>
            <w:noProof/>
            <w:webHidden/>
            <w:sz w:val="20"/>
          </w:rPr>
          <w:fldChar w:fldCharType="end"/>
        </w:r>
      </w:hyperlink>
    </w:p>
    <w:p w14:paraId="47DDB6C2" w14:textId="77777777" w:rsidR="003E3ED9" w:rsidRPr="00CC2BB8" w:rsidRDefault="003E3ED9" w:rsidP="003E3ED9">
      <w:pPr>
        <w:pStyle w:val="Kazalovsebine1"/>
        <w:rPr>
          <w:rFonts w:ascii="Arial" w:eastAsiaTheme="minorEastAsia" w:hAnsi="Arial" w:cs="Arial"/>
          <w:b w:val="0"/>
          <w:i w:val="0"/>
          <w:noProof/>
          <w:sz w:val="20"/>
        </w:rPr>
      </w:pPr>
      <w:hyperlink w:anchor="_Toc132097820" w:history="1">
        <w:r w:rsidRPr="00CC2BB8">
          <w:rPr>
            <w:rStyle w:val="Hiperpovezava"/>
            <w:rFonts w:ascii="Arial" w:eastAsiaTheme="majorEastAsia" w:hAnsi="Arial" w:cs="Arial"/>
            <w:b w:val="0"/>
            <w:noProof/>
            <w:sz w:val="20"/>
          </w:rPr>
          <w:t>2.2.3 Energetska učinkovitost (EE)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_Toc132097820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18</w:t>
        </w:r>
        <w:r w:rsidRPr="00CC2BB8">
          <w:rPr>
            <w:rFonts w:ascii="Arial" w:hAnsi="Arial" w:cs="Arial"/>
            <w:b w:val="0"/>
            <w:i w:val="0"/>
            <w:noProof/>
            <w:webHidden/>
            <w:sz w:val="20"/>
          </w:rPr>
          <w:fldChar w:fldCharType="end"/>
        </w:r>
      </w:hyperlink>
    </w:p>
    <w:p w14:paraId="1FB8FFFA" w14:textId="77777777" w:rsidR="003E3ED9" w:rsidRPr="00CC2BB8" w:rsidRDefault="003E3ED9" w:rsidP="003E3ED9">
      <w:pPr>
        <w:pStyle w:val="Kazalovsebine1"/>
        <w:rPr>
          <w:rFonts w:ascii="Arial" w:eastAsiaTheme="minorEastAsia" w:hAnsi="Arial" w:cs="Arial"/>
          <w:b w:val="0"/>
          <w:i w:val="0"/>
          <w:noProof/>
          <w:sz w:val="20"/>
        </w:rPr>
      </w:pPr>
      <w:hyperlink w:anchor="_Toc132097821" w:history="1">
        <w:r w:rsidRPr="00CC2BB8">
          <w:rPr>
            <w:rStyle w:val="Hiperpovezava"/>
            <w:rFonts w:ascii="Arial" w:eastAsiaTheme="majorEastAsia" w:hAnsi="Arial" w:cs="Arial"/>
            <w:b w:val="0"/>
            <w:noProof/>
            <w:sz w:val="20"/>
          </w:rPr>
          <w:t>2.2.4 Urbani razvoj (UR)</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_Toc132097821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18</w:t>
        </w:r>
        <w:r w:rsidRPr="00CC2BB8">
          <w:rPr>
            <w:rFonts w:ascii="Arial" w:hAnsi="Arial" w:cs="Arial"/>
            <w:b w:val="0"/>
            <w:i w:val="0"/>
            <w:noProof/>
            <w:webHidden/>
            <w:sz w:val="20"/>
          </w:rPr>
          <w:fldChar w:fldCharType="end"/>
        </w:r>
      </w:hyperlink>
    </w:p>
    <w:p w14:paraId="1740E8F3" w14:textId="77777777" w:rsidR="003E3ED9" w:rsidRPr="00CC2BB8" w:rsidRDefault="003E3ED9" w:rsidP="003E3ED9">
      <w:pPr>
        <w:pStyle w:val="Kazalovsebine1"/>
        <w:rPr>
          <w:rFonts w:ascii="Arial" w:eastAsiaTheme="minorEastAsia" w:hAnsi="Arial" w:cs="Arial"/>
          <w:b w:val="0"/>
          <w:i w:val="0"/>
          <w:noProof/>
          <w:sz w:val="20"/>
        </w:rPr>
      </w:pPr>
      <w:hyperlink w:anchor="_Toc132097822" w:history="1">
        <w:r w:rsidRPr="00CC2BB8">
          <w:rPr>
            <w:rStyle w:val="Hiperpovezava"/>
            <w:rFonts w:ascii="Arial" w:eastAsiaTheme="majorEastAsia" w:hAnsi="Arial" w:cs="Arial"/>
            <w:b w:val="0"/>
            <w:noProof/>
            <w:sz w:val="20"/>
          </w:rPr>
          <w:t>2.3 Obstoječi FI in pridobljene izkušnje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_Toc132097822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19</w:t>
        </w:r>
        <w:r w:rsidRPr="00CC2BB8">
          <w:rPr>
            <w:rFonts w:ascii="Arial" w:hAnsi="Arial" w:cs="Arial"/>
            <w:b w:val="0"/>
            <w:i w:val="0"/>
            <w:noProof/>
            <w:webHidden/>
            <w:sz w:val="20"/>
          </w:rPr>
          <w:fldChar w:fldCharType="end"/>
        </w:r>
      </w:hyperlink>
    </w:p>
    <w:p w14:paraId="30355E90" w14:textId="77777777" w:rsidR="003E3ED9" w:rsidRPr="00CC2BB8" w:rsidRDefault="003E3ED9" w:rsidP="003E3ED9">
      <w:pPr>
        <w:pStyle w:val="Kazalovsebine1"/>
        <w:rPr>
          <w:rFonts w:ascii="Arial" w:eastAsiaTheme="minorEastAsia" w:hAnsi="Arial" w:cs="Arial"/>
          <w:b w:val="0"/>
          <w:i w:val="0"/>
          <w:noProof/>
          <w:sz w:val="20"/>
        </w:rPr>
      </w:pPr>
      <w:hyperlink w:anchor="_Toc132097823" w:history="1">
        <w:r w:rsidRPr="00CC2BB8">
          <w:rPr>
            <w:rStyle w:val="Hiperpovezava"/>
            <w:rFonts w:ascii="Arial" w:eastAsiaTheme="majorEastAsia" w:hAnsi="Arial" w:cs="Arial"/>
            <w:b w:val="0"/>
            <w:noProof/>
            <w:sz w:val="20"/>
          </w:rPr>
          <w:t>3. NALOŽBENA STRATEGIJA IN NAČRTOVANJE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_Toc132097823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23</w:t>
        </w:r>
        <w:r w:rsidRPr="00CC2BB8">
          <w:rPr>
            <w:rFonts w:ascii="Arial" w:hAnsi="Arial" w:cs="Arial"/>
            <w:b w:val="0"/>
            <w:i w:val="0"/>
            <w:noProof/>
            <w:webHidden/>
            <w:sz w:val="20"/>
          </w:rPr>
          <w:fldChar w:fldCharType="end"/>
        </w:r>
      </w:hyperlink>
    </w:p>
    <w:p w14:paraId="0A797B34" w14:textId="77777777" w:rsidR="003E3ED9" w:rsidRPr="00CC2BB8" w:rsidRDefault="003E3ED9" w:rsidP="003E3ED9">
      <w:pPr>
        <w:pStyle w:val="Kazalovsebine1"/>
        <w:rPr>
          <w:rFonts w:ascii="Arial" w:eastAsiaTheme="minorEastAsia" w:hAnsi="Arial" w:cs="Arial"/>
          <w:b w:val="0"/>
          <w:i w:val="0"/>
          <w:noProof/>
          <w:sz w:val="20"/>
        </w:rPr>
      </w:pPr>
      <w:hyperlink w:anchor="_Toc132097824" w:history="1">
        <w:r w:rsidRPr="00CC2BB8">
          <w:rPr>
            <w:rStyle w:val="Hiperpovezava"/>
            <w:rFonts w:ascii="Arial" w:eastAsiaTheme="majorEastAsia" w:hAnsi="Arial" w:cs="Arial"/>
            <w:b w:val="0"/>
            <w:noProof/>
            <w:sz w:val="20"/>
          </w:rPr>
          <w:t>3.1 Izvedbeni pogoji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_Toc132097824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23</w:t>
        </w:r>
        <w:r w:rsidRPr="00CC2BB8">
          <w:rPr>
            <w:rFonts w:ascii="Arial" w:hAnsi="Arial" w:cs="Arial"/>
            <w:b w:val="0"/>
            <w:i w:val="0"/>
            <w:noProof/>
            <w:webHidden/>
            <w:sz w:val="20"/>
          </w:rPr>
          <w:fldChar w:fldCharType="end"/>
        </w:r>
      </w:hyperlink>
    </w:p>
    <w:p w14:paraId="717838E7" w14:textId="77777777" w:rsidR="003E3ED9" w:rsidRPr="00CC2BB8" w:rsidRDefault="003E3ED9" w:rsidP="003E3ED9">
      <w:pPr>
        <w:pStyle w:val="Kazalovsebine1"/>
        <w:rPr>
          <w:rFonts w:ascii="Arial" w:eastAsiaTheme="minorEastAsia" w:hAnsi="Arial" w:cs="Arial"/>
          <w:b w:val="0"/>
          <w:i w:val="0"/>
          <w:noProof/>
          <w:sz w:val="20"/>
        </w:rPr>
      </w:pPr>
      <w:hyperlink w:anchor="_Toc132097825" w:history="1">
        <w:r w:rsidRPr="00CC2BB8">
          <w:rPr>
            <w:rStyle w:val="Hiperpovezava"/>
            <w:rFonts w:ascii="Arial" w:eastAsiaTheme="majorEastAsia" w:hAnsi="Arial" w:cs="Arial"/>
            <w:b w:val="0"/>
            <w:noProof/>
            <w:sz w:val="20"/>
          </w:rPr>
          <w:t>3.2 Načrtovani finančni produkti in ciljne skupine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_Toc132097825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27</w:t>
        </w:r>
        <w:r w:rsidRPr="00CC2BB8">
          <w:rPr>
            <w:rFonts w:ascii="Arial" w:hAnsi="Arial" w:cs="Arial"/>
            <w:b w:val="0"/>
            <w:i w:val="0"/>
            <w:noProof/>
            <w:webHidden/>
            <w:sz w:val="20"/>
          </w:rPr>
          <w:fldChar w:fldCharType="end"/>
        </w:r>
      </w:hyperlink>
    </w:p>
    <w:p w14:paraId="2C2BECE8" w14:textId="77777777" w:rsidR="003E3ED9" w:rsidRPr="00CC2BB8" w:rsidRDefault="003E3ED9" w:rsidP="003E3ED9">
      <w:pPr>
        <w:pStyle w:val="Kazalovsebine1"/>
        <w:rPr>
          <w:rFonts w:ascii="Arial" w:eastAsiaTheme="minorEastAsia" w:hAnsi="Arial" w:cs="Arial"/>
          <w:b w:val="0"/>
          <w:i w:val="0"/>
          <w:noProof/>
          <w:sz w:val="20"/>
        </w:rPr>
      </w:pPr>
      <w:hyperlink w:anchor="_Toc132097826" w:history="1">
        <w:r w:rsidRPr="00CC2BB8">
          <w:rPr>
            <w:rStyle w:val="Hiperpovezava"/>
            <w:rFonts w:ascii="Arial" w:eastAsiaTheme="majorEastAsia" w:hAnsi="Arial" w:cs="Arial"/>
            <w:b w:val="0"/>
            <w:noProof/>
            <w:sz w:val="20"/>
          </w:rPr>
          <w:t>3.2.1 Finančni instrument za RRI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_Toc132097826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32</w:t>
        </w:r>
        <w:r w:rsidRPr="00CC2BB8">
          <w:rPr>
            <w:rFonts w:ascii="Arial" w:hAnsi="Arial" w:cs="Arial"/>
            <w:b w:val="0"/>
            <w:i w:val="0"/>
            <w:noProof/>
            <w:webHidden/>
            <w:sz w:val="20"/>
          </w:rPr>
          <w:fldChar w:fldCharType="end"/>
        </w:r>
      </w:hyperlink>
    </w:p>
    <w:p w14:paraId="2C2C44D8" w14:textId="77777777" w:rsidR="003E3ED9" w:rsidRPr="00CC2BB8" w:rsidRDefault="003E3ED9" w:rsidP="003E3ED9">
      <w:pPr>
        <w:pStyle w:val="Kazalovsebine1"/>
        <w:rPr>
          <w:rFonts w:ascii="Arial" w:eastAsiaTheme="minorEastAsia" w:hAnsi="Arial" w:cs="Arial"/>
          <w:b w:val="0"/>
          <w:i w:val="0"/>
          <w:noProof/>
          <w:sz w:val="20"/>
        </w:rPr>
      </w:pPr>
      <w:hyperlink w:anchor="_Toc132097827" w:history="1">
        <w:r w:rsidRPr="00CC2BB8">
          <w:rPr>
            <w:rStyle w:val="Hiperpovezava"/>
            <w:rFonts w:ascii="Arial" w:eastAsiaTheme="majorEastAsia" w:hAnsi="Arial" w:cs="Arial"/>
            <w:b w:val="0"/>
            <w:noProof/>
            <w:sz w:val="20"/>
          </w:rPr>
          <w:t>3.2.2 Finančni instrumenti za MSP</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_Toc132097827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34</w:t>
        </w:r>
        <w:r w:rsidRPr="00CC2BB8">
          <w:rPr>
            <w:rFonts w:ascii="Arial" w:hAnsi="Arial" w:cs="Arial"/>
            <w:b w:val="0"/>
            <w:i w:val="0"/>
            <w:noProof/>
            <w:webHidden/>
            <w:sz w:val="20"/>
          </w:rPr>
          <w:fldChar w:fldCharType="end"/>
        </w:r>
      </w:hyperlink>
    </w:p>
    <w:p w14:paraId="3959CDAA" w14:textId="77777777" w:rsidR="003E3ED9" w:rsidRPr="00CC2BB8" w:rsidRDefault="003E3ED9" w:rsidP="003E3ED9">
      <w:pPr>
        <w:pStyle w:val="Kazalovsebine1"/>
        <w:rPr>
          <w:rFonts w:ascii="Arial" w:eastAsiaTheme="minorEastAsia" w:hAnsi="Arial" w:cs="Arial"/>
          <w:b w:val="0"/>
          <w:i w:val="0"/>
          <w:noProof/>
          <w:sz w:val="20"/>
        </w:rPr>
      </w:pPr>
      <w:hyperlink w:anchor="_Toc132097828" w:history="1">
        <w:r w:rsidRPr="00CC2BB8">
          <w:rPr>
            <w:rStyle w:val="Hiperpovezava"/>
            <w:rFonts w:ascii="Arial" w:eastAsiaTheme="majorEastAsia" w:hAnsi="Arial" w:cs="Arial"/>
            <w:b w:val="0"/>
            <w:noProof/>
            <w:sz w:val="20"/>
          </w:rPr>
          <w:t>3.2.3 Finančni instrument za EE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_Toc132097828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36</w:t>
        </w:r>
        <w:r w:rsidRPr="00CC2BB8">
          <w:rPr>
            <w:rFonts w:ascii="Arial" w:hAnsi="Arial" w:cs="Arial"/>
            <w:b w:val="0"/>
            <w:i w:val="0"/>
            <w:noProof/>
            <w:webHidden/>
            <w:sz w:val="20"/>
          </w:rPr>
          <w:fldChar w:fldCharType="end"/>
        </w:r>
      </w:hyperlink>
    </w:p>
    <w:p w14:paraId="4533B944" w14:textId="77777777" w:rsidR="003E3ED9" w:rsidRPr="00CC2BB8" w:rsidRDefault="003E3ED9" w:rsidP="003E3ED9">
      <w:pPr>
        <w:pStyle w:val="Kazalovsebine1"/>
        <w:rPr>
          <w:rFonts w:ascii="Arial" w:eastAsiaTheme="minorEastAsia" w:hAnsi="Arial" w:cs="Arial"/>
          <w:b w:val="0"/>
          <w:i w:val="0"/>
          <w:noProof/>
          <w:sz w:val="20"/>
        </w:rPr>
      </w:pPr>
      <w:hyperlink w:anchor="_Toc132097829" w:history="1">
        <w:r w:rsidRPr="00CC2BB8">
          <w:rPr>
            <w:rStyle w:val="Hiperpovezava"/>
            <w:rFonts w:ascii="Arial" w:eastAsiaTheme="majorEastAsia" w:hAnsi="Arial" w:cs="Arial"/>
            <w:b w:val="0"/>
            <w:noProof/>
            <w:sz w:val="20"/>
          </w:rPr>
          <w:t>3.2.4 Finančni instrument za UR</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_Toc132097829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37</w:t>
        </w:r>
        <w:r w:rsidRPr="00CC2BB8">
          <w:rPr>
            <w:rFonts w:ascii="Arial" w:hAnsi="Arial" w:cs="Arial"/>
            <w:b w:val="0"/>
            <w:i w:val="0"/>
            <w:noProof/>
            <w:webHidden/>
            <w:sz w:val="20"/>
          </w:rPr>
          <w:fldChar w:fldCharType="end"/>
        </w:r>
      </w:hyperlink>
    </w:p>
    <w:p w14:paraId="6C573C9E" w14:textId="77777777" w:rsidR="003E3ED9" w:rsidRPr="00CC2BB8" w:rsidRDefault="003E3ED9" w:rsidP="003E3ED9">
      <w:pPr>
        <w:pStyle w:val="Kazalovsebine1"/>
        <w:rPr>
          <w:rFonts w:ascii="Arial" w:eastAsiaTheme="minorEastAsia" w:hAnsi="Arial" w:cs="Arial"/>
          <w:b w:val="0"/>
          <w:i w:val="0"/>
          <w:noProof/>
          <w:sz w:val="20"/>
        </w:rPr>
      </w:pPr>
      <w:hyperlink w:anchor="_Toc132097830" w:history="1">
        <w:r w:rsidRPr="00CC2BB8">
          <w:rPr>
            <w:rStyle w:val="Hiperpovezava"/>
            <w:rFonts w:ascii="Arial" w:eastAsiaTheme="majorEastAsia" w:hAnsi="Arial" w:cs="Arial"/>
            <w:b w:val="0"/>
            <w:noProof/>
            <w:sz w:val="20"/>
          </w:rPr>
          <w:t>3.3 Kombinacija z nepovratnimi sredstvi ESI skladov</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_Toc132097830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38</w:t>
        </w:r>
        <w:r w:rsidRPr="00CC2BB8">
          <w:rPr>
            <w:rFonts w:ascii="Arial" w:hAnsi="Arial" w:cs="Arial"/>
            <w:b w:val="0"/>
            <w:i w:val="0"/>
            <w:noProof/>
            <w:webHidden/>
            <w:sz w:val="20"/>
          </w:rPr>
          <w:fldChar w:fldCharType="end"/>
        </w:r>
      </w:hyperlink>
    </w:p>
    <w:p w14:paraId="69BD6E36" w14:textId="77777777" w:rsidR="003E3ED9" w:rsidRPr="00CC2BB8" w:rsidRDefault="003E3ED9" w:rsidP="003E3ED9">
      <w:pPr>
        <w:pStyle w:val="Kazalovsebine1"/>
        <w:rPr>
          <w:rFonts w:ascii="Arial" w:eastAsiaTheme="minorEastAsia" w:hAnsi="Arial" w:cs="Arial"/>
          <w:b w:val="0"/>
          <w:i w:val="0"/>
          <w:noProof/>
          <w:sz w:val="20"/>
        </w:rPr>
      </w:pPr>
      <w:hyperlink w:anchor="_Toc132097831" w:history="1">
        <w:r w:rsidRPr="00CC2BB8">
          <w:rPr>
            <w:rStyle w:val="Hiperpovezava"/>
            <w:rFonts w:ascii="Arial" w:eastAsiaTheme="majorEastAsia" w:hAnsi="Arial" w:cs="Arial"/>
            <w:b w:val="0"/>
            <w:noProof/>
            <w:sz w:val="20"/>
          </w:rPr>
          <w:t>3.4 Drugi viri financiranja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_Toc132097831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38</w:t>
        </w:r>
        <w:r w:rsidRPr="00CC2BB8">
          <w:rPr>
            <w:rFonts w:ascii="Arial" w:hAnsi="Arial" w:cs="Arial"/>
            <w:b w:val="0"/>
            <w:i w:val="0"/>
            <w:noProof/>
            <w:webHidden/>
            <w:sz w:val="20"/>
          </w:rPr>
          <w:fldChar w:fldCharType="end"/>
        </w:r>
      </w:hyperlink>
    </w:p>
    <w:p w14:paraId="2339EE5A" w14:textId="77777777" w:rsidR="003E3ED9" w:rsidRPr="00CC2BB8" w:rsidRDefault="003E3ED9" w:rsidP="003E3ED9">
      <w:pPr>
        <w:pStyle w:val="Kazalovsebine1"/>
        <w:rPr>
          <w:rFonts w:ascii="Arial" w:eastAsiaTheme="minorEastAsia" w:hAnsi="Arial" w:cs="Arial"/>
          <w:b w:val="0"/>
          <w:i w:val="0"/>
          <w:noProof/>
          <w:sz w:val="20"/>
        </w:rPr>
      </w:pPr>
      <w:hyperlink w:anchor="_Toc132097832" w:history="1">
        <w:r w:rsidRPr="00CC2BB8">
          <w:rPr>
            <w:rStyle w:val="Hiperpovezava"/>
            <w:rFonts w:ascii="Arial" w:eastAsiaTheme="majorEastAsia" w:hAnsi="Arial" w:cs="Arial"/>
            <w:b w:val="0"/>
            <w:noProof/>
            <w:sz w:val="20"/>
          </w:rPr>
          <w:t>4. SPREMLJANJE IZVAJANJA IN POROČANJE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_Toc132097832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40</w:t>
        </w:r>
        <w:r w:rsidRPr="00CC2BB8">
          <w:rPr>
            <w:rFonts w:ascii="Arial" w:hAnsi="Arial" w:cs="Arial"/>
            <w:b w:val="0"/>
            <w:i w:val="0"/>
            <w:noProof/>
            <w:webHidden/>
            <w:sz w:val="20"/>
          </w:rPr>
          <w:fldChar w:fldCharType="end"/>
        </w:r>
      </w:hyperlink>
    </w:p>
    <w:p w14:paraId="0079B948" w14:textId="77777777" w:rsidR="003E3ED9" w:rsidRPr="00CC2BB8" w:rsidRDefault="003E3ED9" w:rsidP="003E3ED9">
      <w:pPr>
        <w:pStyle w:val="Kazalovsebine1"/>
        <w:rPr>
          <w:rFonts w:ascii="Arial" w:eastAsiaTheme="minorEastAsia" w:hAnsi="Arial" w:cs="Arial"/>
          <w:b w:val="0"/>
          <w:i w:val="0"/>
          <w:noProof/>
          <w:sz w:val="20"/>
        </w:rPr>
      </w:pPr>
      <w:hyperlink w:anchor="_Toc132097833" w:history="1">
        <w:r w:rsidRPr="00CC2BB8">
          <w:rPr>
            <w:rStyle w:val="Hiperpovezava"/>
            <w:rFonts w:ascii="Arial" w:eastAsiaTheme="majorEastAsia" w:hAnsi="Arial" w:cs="Arial"/>
            <w:b w:val="0"/>
            <w:noProof/>
            <w:sz w:val="20"/>
          </w:rPr>
          <w:t>5. IZDELAN PROGRAM PORABE SREDSTEV ZA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_Toc132097833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41</w:t>
        </w:r>
        <w:r w:rsidRPr="00CC2BB8">
          <w:rPr>
            <w:rFonts w:ascii="Arial" w:hAnsi="Arial" w:cs="Arial"/>
            <w:b w:val="0"/>
            <w:i w:val="0"/>
            <w:noProof/>
            <w:webHidden/>
            <w:sz w:val="20"/>
          </w:rPr>
          <w:fldChar w:fldCharType="end"/>
        </w:r>
      </w:hyperlink>
    </w:p>
    <w:p w14:paraId="58C5B6AD" w14:textId="77777777" w:rsidR="003E3ED9" w:rsidRPr="00CC2BB8" w:rsidRDefault="003E3ED9" w:rsidP="003E3ED9">
      <w:pPr>
        <w:pStyle w:val="Kazalovsebine1"/>
        <w:rPr>
          <w:rFonts w:ascii="Arial" w:eastAsiaTheme="minorEastAsia" w:hAnsi="Arial" w:cs="Arial"/>
          <w:b w:val="0"/>
          <w:i w:val="0"/>
          <w:noProof/>
          <w:sz w:val="20"/>
        </w:rPr>
      </w:pPr>
      <w:hyperlink w:anchor="_Toc132097834" w:history="1">
        <w:r w:rsidRPr="00CC2BB8">
          <w:rPr>
            <w:rStyle w:val="Hiperpovezava"/>
            <w:rFonts w:ascii="Arial" w:eastAsiaTheme="majorEastAsia" w:hAnsi="Arial" w:cs="Arial"/>
            <w:b w:val="0"/>
            <w:noProof/>
            <w:sz w:val="20"/>
          </w:rPr>
          <w:t>6. OBDOBJE PORABE SREDSTEV</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_Toc132097834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42</w:t>
        </w:r>
        <w:r w:rsidRPr="00CC2BB8">
          <w:rPr>
            <w:rFonts w:ascii="Arial" w:hAnsi="Arial" w:cs="Arial"/>
            <w:b w:val="0"/>
            <w:i w:val="0"/>
            <w:noProof/>
            <w:webHidden/>
            <w:sz w:val="20"/>
          </w:rPr>
          <w:fldChar w:fldCharType="end"/>
        </w:r>
      </w:hyperlink>
    </w:p>
    <w:p w14:paraId="33FDFB8B" w14:textId="77777777" w:rsidR="003E3ED9" w:rsidRPr="00CC2BB8" w:rsidRDefault="003E3ED9" w:rsidP="003E3ED9">
      <w:pPr>
        <w:pStyle w:val="Kazalovsebine1"/>
        <w:rPr>
          <w:rFonts w:ascii="Arial" w:eastAsiaTheme="minorEastAsia" w:hAnsi="Arial" w:cs="Arial"/>
          <w:b w:val="0"/>
          <w:i w:val="0"/>
          <w:noProof/>
          <w:sz w:val="20"/>
        </w:rPr>
      </w:pPr>
      <w:hyperlink w:anchor="_Toc132097835" w:history="1">
        <w:r w:rsidRPr="00CC2BB8">
          <w:rPr>
            <w:rStyle w:val="Hiperpovezava"/>
            <w:rFonts w:ascii="Arial" w:eastAsiaTheme="majorEastAsia" w:hAnsi="Arial" w:cs="Arial"/>
            <w:b w:val="0"/>
            <w:noProof/>
            <w:sz w:val="20"/>
          </w:rPr>
          <w:t>7. NAČIN PONOVNE UPORABE SREDSTEV</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_Toc132097835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44</w:t>
        </w:r>
        <w:r w:rsidRPr="00CC2BB8">
          <w:rPr>
            <w:rFonts w:ascii="Arial" w:hAnsi="Arial" w:cs="Arial"/>
            <w:b w:val="0"/>
            <w:i w:val="0"/>
            <w:noProof/>
            <w:webHidden/>
            <w:sz w:val="20"/>
          </w:rPr>
          <w:fldChar w:fldCharType="end"/>
        </w:r>
      </w:hyperlink>
    </w:p>
    <w:p w14:paraId="31A7C9A1" w14:textId="77777777" w:rsidR="003E3ED9" w:rsidRPr="00CC2BB8" w:rsidRDefault="003E3ED9" w:rsidP="003E3ED9">
      <w:pPr>
        <w:pStyle w:val="Kazalovsebine1"/>
        <w:rPr>
          <w:rFonts w:ascii="Arial" w:eastAsiaTheme="minorEastAsia" w:hAnsi="Arial" w:cs="Arial"/>
          <w:b w:val="0"/>
          <w:i w:val="0"/>
          <w:noProof/>
          <w:sz w:val="20"/>
        </w:rPr>
      </w:pPr>
      <w:hyperlink w:anchor="_Toc132097836" w:history="1">
        <w:r w:rsidRPr="00CC2BB8">
          <w:rPr>
            <w:rStyle w:val="Hiperpovezava"/>
            <w:rFonts w:ascii="Arial" w:eastAsiaTheme="majorEastAsia" w:hAnsi="Arial" w:cs="Arial"/>
            <w:b w:val="0"/>
            <w:noProof/>
            <w:sz w:val="20"/>
          </w:rPr>
          <w:t>8. OBRESTI IN DRUGI DONOSI OD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_Toc132097836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45</w:t>
        </w:r>
        <w:r w:rsidRPr="00CC2BB8">
          <w:rPr>
            <w:rFonts w:ascii="Arial" w:hAnsi="Arial" w:cs="Arial"/>
            <w:b w:val="0"/>
            <w:i w:val="0"/>
            <w:noProof/>
            <w:webHidden/>
            <w:sz w:val="20"/>
          </w:rPr>
          <w:fldChar w:fldCharType="end"/>
        </w:r>
      </w:hyperlink>
    </w:p>
    <w:p w14:paraId="0CEEFFEE" w14:textId="77777777" w:rsidR="003E3ED9" w:rsidRPr="00CC2BB8" w:rsidRDefault="003E3ED9" w:rsidP="003E3ED9">
      <w:pPr>
        <w:pStyle w:val="Kazalovsebine1"/>
        <w:rPr>
          <w:rFonts w:ascii="Arial" w:eastAsiaTheme="minorEastAsia" w:hAnsi="Arial" w:cs="Arial"/>
          <w:b w:val="0"/>
          <w:i w:val="0"/>
          <w:noProof/>
          <w:sz w:val="20"/>
        </w:rPr>
      </w:pPr>
      <w:hyperlink w:anchor="_Toc132097837" w:history="1">
        <w:r w:rsidRPr="00CC2BB8">
          <w:rPr>
            <w:rStyle w:val="Hiperpovezava"/>
            <w:rFonts w:ascii="Arial" w:eastAsiaTheme="majorEastAsia" w:hAnsi="Arial" w:cs="Arial"/>
            <w:b w:val="0"/>
            <w:noProof/>
            <w:sz w:val="20"/>
          </w:rPr>
          <w:t>9. POGOJI PRISPEVKA V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_Toc132097837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46</w:t>
        </w:r>
        <w:r w:rsidRPr="00CC2BB8">
          <w:rPr>
            <w:rFonts w:ascii="Arial" w:hAnsi="Arial" w:cs="Arial"/>
            <w:b w:val="0"/>
            <w:i w:val="0"/>
            <w:noProof/>
            <w:webHidden/>
            <w:sz w:val="20"/>
          </w:rPr>
          <w:fldChar w:fldCharType="end"/>
        </w:r>
      </w:hyperlink>
    </w:p>
    <w:p w14:paraId="47DD0A27" w14:textId="77777777" w:rsidR="003E3ED9" w:rsidRPr="00CC2BB8" w:rsidRDefault="003E3ED9" w:rsidP="003E3ED9">
      <w:pPr>
        <w:pStyle w:val="Kazalovsebine1"/>
        <w:rPr>
          <w:rFonts w:ascii="Arial" w:eastAsiaTheme="minorEastAsia" w:hAnsi="Arial" w:cs="Arial"/>
          <w:b w:val="0"/>
          <w:i w:val="0"/>
          <w:noProof/>
          <w:sz w:val="20"/>
        </w:rPr>
      </w:pPr>
      <w:hyperlink w:anchor="_Toc132097838" w:history="1">
        <w:r w:rsidRPr="00CC2BB8">
          <w:rPr>
            <w:rStyle w:val="Hiperpovezava"/>
            <w:rFonts w:ascii="Arial" w:eastAsiaTheme="majorEastAsia" w:hAnsi="Arial" w:cs="Arial"/>
            <w:b w:val="0"/>
            <w:noProof/>
            <w:sz w:val="20"/>
          </w:rPr>
          <w:t>9.1 Učinek finančnega vzvoda (»leverage effect«)</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_Toc132097838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46</w:t>
        </w:r>
        <w:r w:rsidRPr="00CC2BB8">
          <w:rPr>
            <w:rFonts w:ascii="Arial" w:hAnsi="Arial" w:cs="Arial"/>
            <w:b w:val="0"/>
            <w:i w:val="0"/>
            <w:noProof/>
            <w:webHidden/>
            <w:sz w:val="20"/>
          </w:rPr>
          <w:fldChar w:fldCharType="end"/>
        </w:r>
      </w:hyperlink>
    </w:p>
    <w:p w14:paraId="05DB58F5" w14:textId="77777777" w:rsidR="003E3ED9" w:rsidRPr="00CC2BB8" w:rsidRDefault="003E3ED9" w:rsidP="003E3ED9">
      <w:pPr>
        <w:pStyle w:val="Kazalovsebine1"/>
        <w:rPr>
          <w:rFonts w:ascii="Arial" w:eastAsiaTheme="minorEastAsia" w:hAnsi="Arial" w:cs="Arial"/>
          <w:b w:val="0"/>
          <w:i w:val="0"/>
          <w:noProof/>
          <w:sz w:val="20"/>
        </w:rPr>
      </w:pPr>
      <w:hyperlink w:anchor="_Toc132097839" w:history="1">
        <w:r w:rsidRPr="00CC2BB8">
          <w:rPr>
            <w:rStyle w:val="Hiperpovezava"/>
            <w:rFonts w:ascii="Arial" w:eastAsiaTheme="majorEastAsia" w:hAnsi="Arial" w:cs="Arial"/>
            <w:b w:val="0"/>
            <w:noProof/>
            <w:sz w:val="20"/>
          </w:rPr>
          <w:t>9.2 Upravljavska provizija sklada skladov in finančnih posrednikov</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_Toc132097839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47</w:t>
        </w:r>
        <w:r w:rsidRPr="00CC2BB8">
          <w:rPr>
            <w:rFonts w:ascii="Arial" w:hAnsi="Arial" w:cs="Arial"/>
            <w:b w:val="0"/>
            <w:i w:val="0"/>
            <w:noProof/>
            <w:webHidden/>
            <w:sz w:val="20"/>
          </w:rPr>
          <w:fldChar w:fldCharType="end"/>
        </w:r>
      </w:hyperlink>
    </w:p>
    <w:p w14:paraId="4AF059DD" w14:textId="77777777" w:rsidR="003E3ED9" w:rsidRPr="00CC2BB8" w:rsidRDefault="003E3ED9" w:rsidP="003E3ED9">
      <w:pPr>
        <w:pStyle w:val="Kazalovsebine1"/>
        <w:rPr>
          <w:rFonts w:ascii="Arial" w:eastAsiaTheme="minorEastAsia" w:hAnsi="Arial" w:cs="Arial"/>
          <w:b w:val="0"/>
          <w:i w:val="0"/>
          <w:noProof/>
          <w:sz w:val="20"/>
        </w:rPr>
      </w:pPr>
      <w:hyperlink w:anchor="_Toc132097840" w:history="1">
        <w:r w:rsidRPr="00CC2BB8">
          <w:rPr>
            <w:rStyle w:val="Hiperpovezava"/>
            <w:rFonts w:ascii="Arial" w:eastAsiaTheme="majorEastAsia" w:hAnsi="Arial" w:cs="Arial"/>
            <w:b w:val="0"/>
            <w:noProof/>
            <w:sz w:val="20"/>
          </w:rPr>
          <w:t>9.3 Hranjenje dokumentacije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_Toc132097840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47</w:t>
        </w:r>
        <w:r w:rsidRPr="00CC2BB8">
          <w:rPr>
            <w:rFonts w:ascii="Arial" w:hAnsi="Arial" w:cs="Arial"/>
            <w:b w:val="0"/>
            <w:i w:val="0"/>
            <w:noProof/>
            <w:webHidden/>
            <w:sz w:val="20"/>
          </w:rPr>
          <w:fldChar w:fldCharType="end"/>
        </w:r>
      </w:hyperlink>
    </w:p>
    <w:p w14:paraId="01B4493B" w14:textId="77777777" w:rsidR="003E3ED9" w:rsidRPr="00CC2BB8" w:rsidRDefault="003E3ED9" w:rsidP="003E3ED9">
      <w:pPr>
        <w:pStyle w:val="Kazalovsebine1"/>
        <w:rPr>
          <w:rFonts w:ascii="Arial" w:eastAsiaTheme="minorEastAsia" w:hAnsi="Arial" w:cs="Arial"/>
          <w:b w:val="0"/>
          <w:i w:val="0"/>
          <w:noProof/>
          <w:sz w:val="20"/>
        </w:rPr>
      </w:pPr>
      <w:hyperlink w:anchor="_Toc132097841" w:history="1">
        <w:r w:rsidRPr="00CC2BB8">
          <w:rPr>
            <w:rStyle w:val="Hiperpovezava"/>
            <w:rFonts w:ascii="Arial" w:eastAsiaTheme="majorEastAsia" w:hAnsi="Arial" w:cs="Arial"/>
            <w:b w:val="0"/>
            <w:noProof/>
            <w:sz w:val="20"/>
          </w:rPr>
          <w:t>9.4 Spremljanje državnih pomoči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_Toc132097841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48</w:t>
        </w:r>
        <w:r w:rsidRPr="00CC2BB8">
          <w:rPr>
            <w:rFonts w:ascii="Arial" w:hAnsi="Arial" w:cs="Arial"/>
            <w:b w:val="0"/>
            <w:i w:val="0"/>
            <w:noProof/>
            <w:webHidden/>
            <w:sz w:val="20"/>
          </w:rPr>
          <w:fldChar w:fldCharType="end"/>
        </w:r>
      </w:hyperlink>
    </w:p>
    <w:p w14:paraId="7C6A1D05" w14:textId="77777777" w:rsidR="003E3ED9" w:rsidRPr="00CC2BB8" w:rsidRDefault="003E3ED9" w:rsidP="003E3ED9">
      <w:pPr>
        <w:pStyle w:val="Kazalovsebine1"/>
        <w:rPr>
          <w:rFonts w:ascii="Arial" w:eastAsiaTheme="minorEastAsia" w:hAnsi="Arial" w:cs="Arial"/>
          <w:b w:val="0"/>
          <w:i w:val="0"/>
          <w:noProof/>
          <w:sz w:val="20"/>
        </w:rPr>
      </w:pPr>
      <w:hyperlink w:anchor="_Toc132097842" w:history="1">
        <w:r w:rsidRPr="00CC2BB8">
          <w:rPr>
            <w:rStyle w:val="Hiperpovezava"/>
            <w:rFonts w:ascii="Arial" w:eastAsiaTheme="majorEastAsia" w:hAnsi="Arial" w:cs="Arial"/>
            <w:b w:val="0"/>
            <w:noProof/>
            <w:sz w:val="20"/>
          </w:rPr>
          <w:t>9.5 Spremljanje ciljev in kazalnikov</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_Toc132097842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48</w:t>
        </w:r>
        <w:r w:rsidRPr="00CC2BB8">
          <w:rPr>
            <w:rFonts w:ascii="Arial" w:hAnsi="Arial" w:cs="Arial"/>
            <w:b w:val="0"/>
            <w:i w:val="0"/>
            <w:noProof/>
            <w:webHidden/>
            <w:sz w:val="20"/>
          </w:rPr>
          <w:fldChar w:fldCharType="end"/>
        </w:r>
      </w:hyperlink>
    </w:p>
    <w:p w14:paraId="0DE838B1" w14:textId="77777777" w:rsidR="003E3ED9" w:rsidRPr="00CC2BB8" w:rsidRDefault="003E3ED9" w:rsidP="003E3ED9">
      <w:pPr>
        <w:pStyle w:val="Kazalovsebine1"/>
        <w:rPr>
          <w:rFonts w:ascii="Arial" w:eastAsiaTheme="minorEastAsia" w:hAnsi="Arial" w:cs="Arial"/>
          <w:b w:val="0"/>
          <w:i w:val="0"/>
          <w:noProof/>
          <w:sz w:val="20"/>
        </w:rPr>
      </w:pPr>
      <w:hyperlink w:anchor="_Toc132097843" w:history="1">
        <w:r w:rsidRPr="00CC2BB8">
          <w:rPr>
            <w:rStyle w:val="Hiperpovezava"/>
            <w:rFonts w:ascii="Arial" w:eastAsiaTheme="majorEastAsia" w:hAnsi="Arial" w:cs="Arial"/>
            <w:b w:val="0"/>
            <w:noProof/>
            <w:sz w:val="20"/>
          </w:rPr>
          <w:t>9.6 Informiranje in obveščanje</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_Toc132097843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51</w:t>
        </w:r>
        <w:r w:rsidRPr="00CC2BB8">
          <w:rPr>
            <w:rFonts w:ascii="Arial" w:hAnsi="Arial" w:cs="Arial"/>
            <w:b w:val="0"/>
            <w:i w:val="0"/>
            <w:noProof/>
            <w:webHidden/>
            <w:sz w:val="20"/>
          </w:rPr>
          <w:fldChar w:fldCharType="end"/>
        </w:r>
      </w:hyperlink>
    </w:p>
    <w:p w14:paraId="20D389B0" w14:textId="77777777" w:rsidR="003E3ED9" w:rsidRPr="00CC2BB8" w:rsidRDefault="003E3ED9" w:rsidP="003E3ED9">
      <w:pPr>
        <w:pStyle w:val="Kazalovsebine1"/>
        <w:rPr>
          <w:rFonts w:ascii="Arial" w:eastAsiaTheme="minorEastAsia" w:hAnsi="Arial" w:cs="Arial"/>
          <w:b w:val="0"/>
          <w:i w:val="0"/>
          <w:noProof/>
          <w:sz w:val="20"/>
        </w:rPr>
      </w:pPr>
      <w:hyperlink w:anchor="_Toc132097844" w:history="1">
        <w:r w:rsidRPr="00CC2BB8">
          <w:rPr>
            <w:rStyle w:val="Hiperpovezava"/>
            <w:rFonts w:ascii="Arial" w:eastAsiaTheme="majorEastAsia" w:hAnsi="Arial" w:cs="Arial"/>
            <w:b w:val="0"/>
            <w:noProof/>
            <w:sz w:val="20"/>
          </w:rPr>
          <w:t>9.7 Obvladovanje tveganj</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_Toc132097844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51</w:t>
        </w:r>
        <w:r w:rsidRPr="00CC2BB8">
          <w:rPr>
            <w:rFonts w:ascii="Arial" w:hAnsi="Arial" w:cs="Arial"/>
            <w:b w:val="0"/>
            <w:i w:val="0"/>
            <w:noProof/>
            <w:webHidden/>
            <w:sz w:val="20"/>
          </w:rPr>
          <w:fldChar w:fldCharType="end"/>
        </w:r>
      </w:hyperlink>
    </w:p>
    <w:p w14:paraId="6E55DEEE" w14:textId="77777777" w:rsidR="003E3ED9" w:rsidRPr="00CC2BB8" w:rsidRDefault="003E3ED9" w:rsidP="003E3ED9">
      <w:pPr>
        <w:pStyle w:val="Kazalovsebine1"/>
        <w:rPr>
          <w:rFonts w:ascii="Arial" w:eastAsiaTheme="minorEastAsia" w:hAnsi="Arial" w:cs="Arial"/>
          <w:b w:val="0"/>
          <w:i w:val="0"/>
          <w:noProof/>
          <w:sz w:val="20"/>
        </w:rPr>
      </w:pPr>
      <w:hyperlink w:anchor="_Toc132097845" w:history="1">
        <w:r w:rsidRPr="00CC2BB8">
          <w:rPr>
            <w:rStyle w:val="Hiperpovezava"/>
            <w:rFonts w:ascii="Arial" w:eastAsiaTheme="majorEastAsia" w:hAnsi="Arial" w:cs="Arial"/>
            <w:b w:val="0"/>
            <w:noProof/>
            <w:sz w:val="20"/>
          </w:rPr>
          <w:t>9.8 Strategija izstopa</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_Toc132097845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52</w:t>
        </w:r>
        <w:r w:rsidRPr="00CC2BB8">
          <w:rPr>
            <w:rFonts w:ascii="Arial" w:hAnsi="Arial" w:cs="Arial"/>
            <w:b w:val="0"/>
            <w:i w:val="0"/>
            <w:noProof/>
            <w:webHidden/>
            <w:sz w:val="20"/>
          </w:rPr>
          <w:fldChar w:fldCharType="end"/>
        </w:r>
      </w:hyperlink>
    </w:p>
    <w:p w14:paraId="6F5640ED" w14:textId="77777777" w:rsidR="003E3ED9" w:rsidRPr="00CC2BB8" w:rsidRDefault="003E3ED9" w:rsidP="003E3ED9">
      <w:pPr>
        <w:pStyle w:val="Kazalovsebine1"/>
        <w:rPr>
          <w:rFonts w:ascii="Arial" w:eastAsiaTheme="minorEastAsia" w:hAnsi="Arial" w:cs="Arial"/>
          <w:b w:val="0"/>
          <w:i w:val="0"/>
          <w:noProof/>
          <w:sz w:val="20"/>
        </w:rPr>
      </w:pPr>
      <w:hyperlink w:anchor="_Toc132097846" w:history="1">
        <w:r w:rsidRPr="00CC2BB8">
          <w:rPr>
            <w:rStyle w:val="Hiperpovezava"/>
            <w:rFonts w:ascii="Arial" w:eastAsiaTheme="majorEastAsia" w:hAnsi="Arial" w:cs="Arial"/>
            <w:b w:val="0"/>
            <w:noProof/>
            <w:sz w:val="20"/>
          </w:rPr>
          <w:t>10. POLITIKA PREKINITVE FI</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_Toc132097846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53</w:t>
        </w:r>
        <w:r w:rsidRPr="00CC2BB8">
          <w:rPr>
            <w:rFonts w:ascii="Arial" w:hAnsi="Arial" w:cs="Arial"/>
            <w:b w:val="0"/>
            <w:i w:val="0"/>
            <w:noProof/>
            <w:webHidden/>
            <w:sz w:val="20"/>
          </w:rPr>
          <w:fldChar w:fldCharType="end"/>
        </w:r>
      </w:hyperlink>
    </w:p>
    <w:p w14:paraId="5B05B6A9" w14:textId="77777777" w:rsidR="003E3ED9" w:rsidRPr="00CC2BB8" w:rsidRDefault="003E3ED9" w:rsidP="003E3ED9">
      <w:pPr>
        <w:pStyle w:val="Kazalovsebine1"/>
        <w:rPr>
          <w:rFonts w:ascii="Arial" w:eastAsiaTheme="minorEastAsia" w:hAnsi="Arial" w:cs="Arial"/>
          <w:b w:val="0"/>
          <w:i w:val="0"/>
          <w:noProof/>
          <w:sz w:val="20"/>
        </w:rPr>
      </w:pPr>
      <w:hyperlink w:anchor="_Toc132097847" w:history="1">
        <w:r w:rsidRPr="00CC2BB8">
          <w:rPr>
            <w:rStyle w:val="Hiperpovezava"/>
            <w:rFonts w:ascii="Arial" w:eastAsiaTheme="majorEastAsia" w:hAnsi="Arial" w:cs="Arial"/>
            <w:b w:val="0"/>
            <w:noProof/>
            <w:sz w:val="20"/>
          </w:rPr>
          <w:t>11. PODLAGA ZA IZVAJANJE NADZORA</w:t>
        </w:r>
        <w:r w:rsidRPr="00CC2BB8">
          <w:rPr>
            <w:rFonts w:ascii="Arial" w:hAnsi="Arial" w:cs="Arial"/>
            <w:b w:val="0"/>
            <w:i w:val="0"/>
            <w:noProof/>
            <w:webHidden/>
            <w:sz w:val="20"/>
          </w:rPr>
          <w:tab/>
        </w:r>
        <w:r w:rsidRPr="00CC2BB8">
          <w:rPr>
            <w:rFonts w:ascii="Arial" w:hAnsi="Arial" w:cs="Arial"/>
            <w:b w:val="0"/>
            <w:i w:val="0"/>
            <w:noProof/>
            <w:webHidden/>
            <w:sz w:val="20"/>
          </w:rPr>
          <w:fldChar w:fldCharType="begin"/>
        </w:r>
        <w:r w:rsidRPr="00CC2BB8">
          <w:rPr>
            <w:rFonts w:ascii="Arial" w:hAnsi="Arial" w:cs="Arial"/>
            <w:b w:val="0"/>
            <w:i w:val="0"/>
            <w:noProof/>
            <w:webHidden/>
            <w:sz w:val="20"/>
          </w:rPr>
          <w:instrText xml:space="preserve"> PAGEREF _Toc132097847 \h </w:instrText>
        </w:r>
        <w:r w:rsidRPr="00CC2BB8">
          <w:rPr>
            <w:rFonts w:ascii="Arial" w:hAnsi="Arial" w:cs="Arial"/>
            <w:b w:val="0"/>
            <w:i w:val="0"/>
            <w:noProof/>
            <w:webHidden/>
            <w:sz w:val="20"/>
          </w:rPr>
        </w:r>
        <w:r w:rsidRPr="00CC2BB8">
          <w:rPr>
            <w:rFonts w:ascii="Arial" w:hAnsi="Arial" w:cs="Arial"/>
            <w:b w:val="0"/>
            <w:i w:val="0"/>
            <w:noProof/>
            <w:webHidden/>
            <w:sz w:val="20"/>
          </w:rPr>
          <w:fldChar w:fldCharType="separate"/>
        </w:r>
        <w:r>
          <w:rPr>
            <w:rFonts w:ascii="Arial" w:hAnsi="Arial" w:cs="Arial"/>
            <w:b w:val="0"/>
            <w:i w:val="0"/>
            <w:noProof/>
            <w:webHidden/>
            <w:sz w:val="20"/>
          </w:rPr>
          <w:t>54</w:t>
        </w:r>
        <w:r w:rsidRPr="00CC2BB8">
          <w:rPr>
            <w:rFonts w:ascii="Arial" w:hAnsi="Arial" w:cs="Arial"/>
            <w:b w:val="0"/>
            <w:i w:val="0"/>
            <w:noProof/>
            <w:webHidden/>
            <w:sz w:val="20"/>
          </w:rPr>
          <w:fldChar w:fldCharType="end"/>
        </w:r>
      </w:hyperlink>
    </w:p>
    <w:p w14:paraId="053D6743" w14:textId="77777777" w:rsidR="003E3ED9" w:rsidRDefault="003E3ED9" w:rsidP="003E3ED9">
      <w:pPr>
        <w:ind w:left="2"/>
        <w:outlineLvl w:val="0"/>
        <w:rPr>
          <w:rFonts w:cs="Arial"/>
          <w:color w:val="AACDDB"/>
          <w:szCs w:val="20"/>
        </w:rPr>
      </w:pPr>
      <w:r w:rsidRPr="00CC2BB8">
        <w:rPr>
          <w:rFonts w:cs="Arial"/>
          <w:color w:val="AACDDB"/>
          <w:szCs w:val="20"/>
        </w:rPr>
        <w:fldChar w:fldCharType="end"/>
      </w:r>
    </w:p>
    <w:p w14:paraId="1FAF1E1A" w14:textId="77777777" w:rsidR="003E3ED9" w:rsidRDefault="003E3ED9" w:rsidP="003E3ED9">
      <w:pPr>
        <w:ind w:left="2"/>
        <w:outlineLvl w:val="0"/>
        <w:rPr>
          <w:rFonts w:cs="Arial"/>
          <w:b/>
          <w:color w:val="AACDDB"/>
          <w:szCs w:val="20"/>
        </w:rPr>
      </w:pPr>
      <w:r w:rsidRPr="00CC2BB8">
        <w:rPr>
          <w:rFonts w:cs="Arial"/>
          <w:b/>
          <w:color w:val="AACDDB"/>
          <w:szCs w:val="20"/>
        </w:rPr>
        <w:t>Seznam slik</w:t>
      </w:r>
    </w:p>
    <w:p w14:paraId="1C229E18" w14:textId="77777777" w:rsidR="003E3ED9" w:rsidRPr="00CC2BB8" w:rsidRDefault="003E3ED9" w:rsidP="003E3ED9">
      <w:pPr>
        <w:ind w:left="2"/>
        <w:outlineLvl w:val="0"/>
        <w:rPr>
          <w:rFonts w:cs="Arial"/>
          <w:b/>
          <w:color w:val="AACDDB"/>
          <w:szCs w:val="20"/>
        </w:rPr>
      </w:pPr>
    </w:p>
    <w:bookmarkEnd w:id="2"/>
    <w:p w14:paraId="7717BF9B"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r w:rsidRPr="00CC2BB8">
        <w:rPr>
          <w:rFonts w:ascii="Arial" w:eastAsia="Calibri" w:hAnsi="Arial" w:cs="Arial"/>
          <w:bCs/>
          <w:iCs/>
          <w:color w:val="000000" w:themeColor="text1"/>
          <w:sz w:val="20"/>
          <w:szCs w:val="20"/>
        </w:rPr>
        <w:fldChar w:fldCharType="begin"/>
      </w:r>
      <w:r w:rsidRPr="00CC2BB8">
        <w:rPr>
          <w:rFonts w:ascii="Arial" w:eastAsia="Calibri" w:hAnsi="Arial" w:cs="Arial"/>
          <w:bCs/>
          <w:iCs/>
          <w:color w:val="000000" w:themeColor="text1"/>
          <w:sz w:val="20"/>
          <w:szCs w:val="20"/>
        </w:rPr>
        <w:instrText xml:space="preserve"> TOC \h \z \c "Slika" </w:instrText>
      </w:r>
      <w:r w:rsidRPr="00CC2BB8">
        <w:rPr>
          <w:rFonts w:ascii="Arial" w:eastAsia="Calibri" w:hAnsi="Arial" w:cs="Arial"/>
          <w:bCs/>
          <w:iCs/>
          <w:color w:val="000000" w:themeColor="text1"/>
          <w:sz w:val="20"/>
          <w:szCs w:val="20"/>
        </w:rPr>
        <w:fldChar w:fldCharType="separate"/>
      </w:r>
      <w:hyperlink w:anchor="_Toc132097848" w:history="1">
        <w:r w:rsidRPr="00CC2BB8">
          <w:rPr>
            <w:rStyle w:val="Hiperpovezava"/>
            <w:rFonts w:ascii="Arial" w:eastAsia="Times New Roman" w:hAnsi="Arial" w:cs="Arial"/>
            <w:noProof/>
            <w:sz w:val="20"/>
            <w:szCs w:val="20"/>
          </w:rPr>
          <w:t>Slika 1: Struktura upravljanja sklada skladov v programskem obdobju 2014-2020</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_Toc132097848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23</w:t>
        </w:r>
        <w:r w:rsidRPr="00CC2BB8">
          <w:rPr>
            <w:rFonts w:ascii="Arial" w:hAnsi="Arial" w:cs="Arial"/>
            <w:noProof/>
            <w:webHidden/>
            <w:sz w:val="20"/>
            <w:szCs w:val="20"/>
          </w:rPr>
          <w:fldChar w:fldCharType="end"/>
        </w:r>
      </w:hyperlink>
    </w:p>
    <w:p w14:paraId="651E82AF"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49" w:history="1">
        <w:r w:rsidRPr="00CC2BB8">
          <w:rPr>
            <w:rStyle w:val="Hiperpovezava"/>
            <w:rFonts w:ascii="Arial" w:eastAsia="Times New Roman" w:hAnsi="Arial" w:cs="Arial"/>
            <w:noProof/>
            <w:sz w:val="20"/>
            <w:szCs w:val="20"/>
          </w:rPr>
          <w:t>Slika 2: Naložbena strategija sklada skladov</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_Toc132097849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24</w:t>
        </w:r>
        <w:r w:rsidRPr="00CC2BB8">
          <w:rPr>
            <w:rFonts w:ascii="Arial" w:hAnsi="Arial" w:cs="Arial"/>
            <w:noProof/>
            <w:webHidden/>
            <w:sz w:val="20"/>
            <w:szCs w:val="20"/>
          </w:rPr>
          <w:fldChar w:fldCharType="end"/>
        </w:r>
      </w:hyperlink>
    </w:p>
    <w:p w14:paraId="5E886AA2"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0" w:history="1">
        <w:r w:rsidRPr="00CC2BB8">
          <w:rPr>
            <w:rStyle w:val="Hiperpovezava"/>
            <w:rFonts w:ascii="Arial" w:eastAsia="Times New Roman" w:hAnsi="Arial" w:cs="Arial"/>
            <w:noProof/>
            <w:sz w:val="20"/>
            <w:szCs w:val="20"/>
          </w:rPr>
          <w:t>Slika 3: Struktura izvajanja FI v Sloveniji</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_Toc132097850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26</w:t>
        </w:r>
        <w:r w:rsidRPr="00CC2BB8">
          <w:rPr>
            <w:rFonts w:ascii="Arial" w:hAnsi="Arial" w:cs="Arial"/>
            <w:noProof/>
            <w:webHidden/>
            <w:sz w:val="20"/>
            <w:szCs w:val="20"/>
          </w:rPr>
          <w:fldChar w:fldCharType="end"/>
        </w:r>
      </w:hyperlink>
    </w:p>
    <w:p w14:paraId="326FBABE"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1" w:history="1">
        <w:r w:rsidRPr="00CC2BB8">
          <w:rPr>
            <w:rStyle w:val="Hiperpovezava"/>
            <w:rFonts w:ascii="Arial" w:eastAsia="Times New Roman" w:hAnsi="Arial" w:cs="Arial"/>
            <w:noProof/>
            <w:sz w:val="20"/>
            <w:szCs w:val="20"/>
          </w:rPr>
          <w:t>Slika 4: Pretok sredstev in stopnja dodatnih javnih in zasebnih sredstev, ki zagotavljajo spodbudo za FI</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_Toc132097851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47</w:t>
        </w:r>
        <w:r w:rsidRPr="00CC2BB8">
          <w:rPr>
            <w:rFonts w:ascii="Arial" w:hAnsi="Arial" w:cs="Arial"/>
            <w:noProof/>
            <w:webHidden/>
            <w:sz w:val="20"/>
            <w:szCs w:val="20"/>
          </w:rPr>
          <w:fldChar w:fldCharType="end"/>
        </w:r>
      </w:hyperlink>
    </w:p>
    <w:p w14:paraId="035BE877" w14:textId="77777777" w:rsidR="003E3ED9" w:rsidRPr="00CC2BB8" w:rsidRDefault="003E3ED9" w:rsidP="003E3ED9">
      <w:pPr>
        <w:rPr>
          <w:rFonts w:cs="Arial"/>
          <w:bCs/>
          <w:iCs/>
          <w:color w:val="000000" w:themeColor="text1"/>
          <w:szCs w:val="20"/>
        </w:rPr>
      </w:pPr>
      <w:r w:rsidRPr="00CC2BB8">
        <w:rPr>
          <w:rFonts w:cs="Arial"/>
          <w:bCs/>
          <w:iCs/>
          <w:color w:val="000000" w:themeColor="text1"/>
          <w:szCs w:val="20"/>
        </w:rPr>
        <w:fldChar w:fldCharType="end"/>
      </w:r>
    </w:p>
    <w:p w14:paraId="77F1BDBF" w14:textId="77777777" w:rsidR="003E3ED9" w:rsidRDefault="003E3ED9" w:rsidP="003E3ED9">
      <w:pPr>
        <w:rPr>
          <w:rFonts w:cs="Arial"/>
          <w:b/>
          <w:color w:val="AACDDB"/>
          <w:szCs w:val="20"/>
        </w:rPr>
      </w:pPr>
      <w:r w:rsidRPr="00CC2BB8">
        <w:rPr>
          <w:rFonts w:cs="Arial"/>
          <w:b/>
          <w:color w:val="AACDDB"/>
          <w:szCs w:val="20"/>
        </w:rPr>
        <w:t>Seznam tabel</w:t>
      </w:r>
    </w:p>
    <w:p w14:paraId="10094226" w14:textId="77777777" w:rsidR="003E3ED9" w:rsidRPr="00CC2BB8" w:rsidRDefault="003E3ED9" w:rsidP="003E3ED9">
      <w:pPr>
        <w:rPr>
          <w:rFonts w:cs="Arial"/>
          <w:b/>
          <w:color w:val="AACDDB"/>
          <w:szCs w:val="20"/>
        </w:rPr>
      </w:pPr>
    </w:p>
    <w:p w14:paraId="4E3B65B9"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r w:rsidRPr="00CC2BB8">
        <w:rPr>
          <w:rFonts w:ascii="Arial" w:hAnsi="Arial" w:cs="Arial"/>
          <w:sz w:val="20"/>
          <w:szCs w:val="20"/>
        </w:rPr>
        <w:fldChar w:fldCharType="begin"/>
      </w:r>
      <w:r w:rsidRPr="00CC2BB8">
        <w:rPr>
          <w:rFonts w:ascii="Arial" w:hAnsi="Arial" w:cs="Arial"/>
          <w:sz w:val="20"/>
          <w:szCs w:val="20"/>
        </w:rPr>
        <w:instrText xml:space="preserve"> TOC \h \z \c "Tabela" </w:instrText>
      </w:r>
      <w:r w:rsidRPr="00CC2BB8">
        <w:rPr>
          <w:rFonts w:ascii="Arial" w:hAnsi="Arial" w:cs="Arial"/>
          <w:sz w:val="20"/>
          <w:szCs w:val="20"/>
        </w:rPr>
        <w:fldChar w:fldCharType="separate"/>
      </w:r>
      <w:hyperlink w:anchor="_Toc132097852" w:history="1">
        <w:r w:rsidRPr="00CC2BB8">
          <w:rPr>
            <w:rStyle w:val="Hiperpovezava"/>
            <w:rFonts w:ascii="Arial" w:eastAsia="Times New Roman" w:hAnsi="Arial" w:cs="Arial"/>
            <w:noProof/>
            <w:sz w:val="20"/>
            <w:szCs w:val="20"/>
          </w:rPr>
          <w:t>Tabela 1: Potencialna vrzel financiranja za mikrofinanciranje mikro podjetij v letu 2015</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_Toc132097852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17</w:t>
        </w:r>
        <w:r w:rsidRPr="00CC2BB8">
          <w:rPr>
            <w:rFonts w:ascii="Arial" w:hAnsi="Arial" w:cs="Arial"/>
            <w:noProof/>
            <w:webHidden/>
            <w:sz w:val="20"/>
            <w:szCs w:val="20"/>
          </w:rPr>
          <w:fldChar w:fldCharType="end"/>
        </w:r>
      </w:hyperlink>
    </w:p>
    <w:p w14:paraId="57BA53B4"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3" w:history="1">
        <w:r w:rsidRPr="00CC2BB8">
          <w:rPr>
            <w:rStyle w:val="Hiperpovezava"/>
            <w:rFonts w:ascii="Arial" w:eastAsia="Times New Roman" w:hAnsi="Arial" w:cs="Arial"/>
            <w:noProof/>
            <w:sz w:val="20"/>
            <w:szCs w:val="20"/>
          </w:rPr>
          <w:t>Tabela 2: Dejanske vrzeli financiranja za kratkoročna posojila, prekoračitve na tekočih računih in kreditne linije v letu 2015</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_Toc132097853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17</w:t>
        </w:r>
        <w:r w:rsidRPr="00CC2BB8">
          <w:rPr>
            <w:rFonts w:ascii="Arial" w:hAnsi="Arial" w:cs="Arial"/>
            <w:noProof/>
            <w:webHidden/>
            <w:sz w:val="20"/>
            <w:szCs w:val="20"/>
          </w:rPr>
          <w:fldChar w:fldCharType="end"/>
        </w:r>
      </w:hyperlink>
    </w:p>
    <w:p w14:paraId="222A1701"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4" w:history="1">
        <w:r w:rsidRPr="00CC2BB8">
          <w:rPr>
            <w:rStyle w:val="Hiperpovezava"/>
            <w:rFonts w:ascii="Arial" w:eastAsia="Times New Roman" w:hAnsi="Arial" w:cs="Arial"/>
            <w:noProof/>
            <w:sz w:val="20"/>
            <w:szCs w:val="20"/>
          </w:rPr>
          <w:t>Tabela 3: Dejanske vrzeli financiranja za srednje- in dolgoročna posojila v letu 2015</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_Toc132097854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17</w:t>
        </w:r>
        <w:r w:rsidRPr="00CC2BB8">
          <w:rPr>
            <w:rFonts w:ascii="Arial" w:hAnsi="Arial" w:cs="Arial"/>
            <w:noProof/>
            <w:webHidden/>
            <w:sz w:val="20"/>
            <w:szCs w:val="20"/>
          </w:rPr>
          <w:fldChar w:fldCharType="end"/>
        </w:r>
      </w:hyperlink>
    </w:p>
    <w:p w14:paraId="43C14972"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5" w:history="1">
        <w:r w:rsidRPr="00CC2BB8">
          <w:rPr>
            <w:rStyle w:val="Hiperpovezava"/>
            <w:rFonts w:ascii="Arial" w:eastAsia="Times New Roman" w:hAnsi="Arial" w:cs="Arial"/>
            <w:noProof/>
            <w:sz w:val="20"/>
            <w:szCs w:val="20"/>
          </w:rPr>
          <w:t>Tabela 4: Potencialna vrzel lastniškega financiranja za vsa MSP v letu 2015</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_Toc132097855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18</w:t>
        </w:r>
        <w:r w:rsidRPr="00CC2BB8">
          <w:rPr>
            <w:rFonts w:ascii="Arial" w:hAnsi="Arial" w:cs="Arial"/>
            <w:noProof/>
            <w:webHidden/>
            <w:sz w:val="20"/>
            <w:szCs w:val="20"/>
          </w:rPr>
          <w:fldChar w:fldCharType="end"/>
        </w:r>
      </w:hyperlink>
    </w:p>
    <w:p w14:paraId="692B6A36"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6" w:history="1">
        <w:r w:rsidRPr="00CC2BB8">
          <w:rPr>
            <w:rStyle w:val="Hiperpovezava"/>
            <w:rFonts w:ascii="Arial" w:eastAsia="Times New Roman" w:hAnsi="Arial" w:cs="Arial"/>
            <w:noProof/>
            <w:sz w:val="20"/>
            <w:szCs w:val="20"/>
          </w:rPr>
          <w:t>Tabela 5: Vrzel financiranja za financiranje RRI v letu 2015</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_Toc132097856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18</w:t>
        </w:r>
        <w:r w:rsidRPr="00CC2BB8">
          <w:rPr>
            <w:rFonts w:ascii="Arial" w:hAnsi="Arial" w:cs="Arial"/>
            <w:noProof/>
            <w:webHidden/>
            <w:sz w:val="20"/>
            <w:szCs w:val="20"/>
          </w:rPr>
          <w:fldChar w:fldCharType="end"/>
        </w:r>
      </w:hyperlink>
    </w:p>
    <w:p w14:paraId="4196849D"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7" w:history="1">
        <w:r w:rsidRPr="00CC2BB8">
          <w:rPr>
            <w:rStyle w:val="Hiperpovezava"/>
            <w:rFonts w:ascii="Arial" w:eastAsia="Times New Roman" w:hAnsi="Arial" w:cs="Arial"/>
            <w:noProof/>
            <w:sz w:val="20"/>
            <w:szCs w:val="20"/>
          </w:rPr>
          <w:t>Tabela 6: Ocenjena vrzel financiranja za URE/ OVE v obdobju 2015-2020</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_Toc132097857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18</w:t>
        </w:r>
        <w:r w:rsidRPr="00CC2BB8">
          <w:rPr>
            <w:rFonts w:ascii="Arial" w:hAnsi="Arial" w:cs="Arial"/>
            <w:noProof/>
            <w:webHidden/>
            <w:sz w:val="20"/>
            <w:szCs w:val="20"/>
          </w:rPr>
          <w:fldChar w:fldCharType="end"/>
        </w:r>
      </w:hyperlink>
    </w:p>
    <w:p w14:paraId="466A638F"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8" w:history="1">
        <w:r w:rsidRPr="00CC2BB8">
          <w:rPr>
            <w:rStyle w:val="Hiperpovezava"/>
            <w:rFonts w:ascii="Arial" w:eastAsia="Times New Roman" w:hAnsi="Arial" w:cs="Arial"/>
            <w:noProof/>
            <w:sz w:val="20"/>
            <w:szCs w:val="20"/>
          </w:rPr>
          <w:t>Tabela 7: Vrzel financiranja za financiranje UR v obdobju 2015-2020</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_Toc132097858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19</w:t>
        </w:r>
        <w:r w:rsidRPr="00CC2BB8">
          <w:rPr>
            <w:rFonts w:ascii="Arial" w:hAnsi="Arial" w:cs="Arial"/>
            <w:noProof/>
            <w:webHidden/>
            <w:sz w:val="20"/>
            <w:szCs w:val="20"/>
          </w:rPr>
          <w:fldChar w:fldCharType="end"/>
        </w:r>
      </w:hyperlink>
    </w:p>
    <w:p w14:paraId="7A7A4DB2"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59" w:history="1">
        <w:r w:rsidRPr="00CC2BB8">
          <w:rPr>
            <w:rStyle w:val="Hiperpovezava"/>
            <w:rFonts w:ascii="Arial" w:eastAsia="Times New Roman" w:hAnsi="Arial" w:cs="Arial"/>
            <w:noProof/>
            <w:sz w:val="20"/>
            <w:szCs w:val="20"/>
          </w:rPr>
          <w:t>Tabela 8: Glavne pridobljene izkušnje za programsko obdobje 2007-2013</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_Toc132097859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20</w:t>
        </w:r>
        <w:r w:rsidRPr="00CC2BB8">
          <w:rPr>
            <w:rFonts w:ascii="Arial" w:hAnsi="Arial" w:cs="Arial"/>
            <w:noProof/>
            <w:webHidden/>
            <w:sz w:val="20"/>
            <w:szCs w:val="20"/>
          </w:rPr>
          <w:fldChar w:fldCharType="end"/>
        </w:r>
      </w:hyperlink>
    </w:p>
    <w:p w14:paraId="4103A352"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0" w:history="1">
        <w:r w:rsidRPr="00CC2BB8">
          <w:rPr>
            <w:rStyle w:val="Hiperpovezava"/>
            <w:rFonts w:ascii="Arial" w:eastAsia="Times New Roman" w:hAnsi="Arial" w:cs="Arial"/>
            <w:noProof/>
            <w:sz w:val="20"/>
            <w:szCs w:val="20"/>
          </w:rPr>
          <w:t>Tabela 9: Finančni produkti in ciljne skupine povzeti po Predhodni oceni FI in Analizi EIB in s strani ministrstev predlagani finančni produkti z višino sredstev in ciljnimi skupinami:</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_Toc132097860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28</w:t>
        </w:r>
        <w:r w:rsidRPr="00CC2BB8">
          <w:rPr>
            <w:rFonts w:ascii="Arial" w:hAnsi="Arial" w:cs="Arial"/>
            <w:noProof/>
            <w:webHidden/>
            <w:sz w:val="20"/>
            <w:szCs w:val="20"/>
          </w:rPr>
          <w:fldChar w:fldCharType="end"/>
        </w:r>
      </w:hyperlink>
    </w:p>
    <w:p w14:paraId="439D4BCB"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1" w:history="1">
        <w:r w:rsidRPr="00CC2BB8">
          <w:rPr>
            <w:rStyle w:val="Hiperpovezava"/>
            <w:rFonts w:ascii="Arial" w:eastAsia="Times New Roman" w:hAnsi="Arial" w:cs="Arial"/>
            <w:noProof/>
            <w:sz w:val="20"/>
            <w:szCs w:val="20"/>
          </w:rPr>
          <w:t>Tabela 10: Finančna sredstva za FI po letih in kohezijskih regijah</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_Toc132097861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30</w:t>
        </w:r>
        <w:r w:rsidRPr="00CC2BB8">
          <w:rPr>
            <w:rFonts w:ascii="Arial" w:hAnsi="Arial" w:cs="Arial"/>
            <w:noProof/>
            <w:webHidden/>
            <w:sz w:val="20"/>
            <w:szCs w:val="20"/>
          </w:rPr>
          <w:fldChar w:fldCharType="end"/>
        </w:r>
      </w:hyperlink>
    </w:p>
    <w:p w14:paraId="04717DC5"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2" w:history="1">
        <w:r w:rsidRPr="00CC2BB8">
          <w:rPr>
            <w:rStyle w:val="Hiperpovezava"/>
            <w:rFonts w:ascii="Arial" w:eastAsia="Times New Roman" w:hAnsi="Arial" w:cs="Arial"/>
            <w:noProof/>
            <w:sz w:val="20"/>
            <w:szCs w:val="20"/>
          </w:rPr>
          <w:t>Tabela 11: Finančna sredstva za FI po letih in kohezijskih regijah z upoštevanim znižanjem končne podpore EU za PN 4.1</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_Toc132097862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32</w:t>
        </w:r>
        <w:r w:rsidRPr="00CC2BB8">
          <w:rPr>
            <w:rFonts w:ascii="Arial" w:hAnsi="Arial" w:cs="Arial"/>
            <w:noProof/>
            <w:webHidden/>
            <w:sz w:val="20"/>
            <w:szCs w:val="20"/>
          </w:rPr>
          <w:fldChar w:fldCharType="end"/>
        </w:r>
      </w:hyperlink>
    </w:p>
    <w:p w14:paraId="10F2ABF0"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3" w:history="1">
        <w:r w:rsidRPr="00CC2BB8">
          <w:rPr>
            <w:rStyle w:val="Hiperpovezava"/>
            <w:rFonts w:ascii="Arial" w:eastAsia="Times New Roman" w:hAnsi="Arial" w:cs="Arial"/>
            <w:noProof/>
            <w:sz w:val="20"/>
            <w:szCs w:val="20"/>
          </w:rPr>
          <w:t>Tabela 12: Predvideni finančni produkti za področje energetske učinkovitosti</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_Toc132097863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36</w:t>
        </w:r>
        <w:r w:rsidRPr="00CC2BB8">
          <w:rPr>
            <w:rFonts w:ascii="Arial" w:hAnsi="Arial" w:cs="Arial"/>
            <w:noProof/>
            <w:webHidden/>
            <w:sz w:val="20"/>
            <w:szCs w:val="20"/>
          </w:rPr>
          <w:fldChar w:fldCharType="end"/>
        </w:r>
      </w:hyperlink>
    </w:p>
    <w:p w14:paraId="48BAC099"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4" w:history="1">
        <w:r w:rsidRPr="00CC2BB8">
          <w:rPr>
            <w:rStyle w:val="Hiperpovezava"/>
            <w:rFonts w:ascii="Arial" w:eastAsia="Times New Roman" w:hAnsi="Arial" w:cs="Arial"/>
            <w:noProof/>
            <w:sz w:val="20"/>
            <w:szCs w:val="20"/>
          </w:rPr>
          <w:t>Tabela 13: Ciljni končni prejemniki posameznih finančnih produktov</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_Toc132097864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37</w:t>
        </w:r>
        <w:r w:rsidRPr="00CC2BB8">
          <w:rPr>
            <w:rFonts w:ascii="Arial" w:hAnsi="Arial" w:cs="Arial"/>
            <w:noProof/>
            <w:webHidden/>
            <w:sz w:val="20"/>
            <w:szCs w:val="20"/>
          </w:rPr>
          <w:fldChar w:fldCharType="end"/>
        </w:r>
      </w:hyperlink>
    </w:p>
    <w:p w14:paraId="3F7B8014"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5" w:history="1">
        <w:r w:rsidRPr="00CC2BB8">
          <w:rPr>
            <w:rStyle w:val="Hiperpovezava"/>
            <w:rFonts w:ascii="Arial" w:eastAsia="Times New Roman" w:hAnsi="Arial" w:cs="Arial"/>
            <w:noProof/>
            <w:sz w:val="20"/>
            <w:szCs w:val="20"/>
          </w:rPr>
          <w:t>Tabela 14: Pričakovani finančni vzvod</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_Toc132097865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46</w:t>
        </w:r>
        <w:r w:rsidRPr="00CC2BB8">
          <w:rPr>
            <w:rFonts w:ascii="Arial" w:hAnsi="Arial" w:cs="Arial"/>
            <w:noProof/>
            <w:webHidden/>
            <w:sz w:val="20"/>
            <w:szCs w:val="20"/>
          </w:rPr>
          <w:fldChar w:fldCharType="end"/>
        </w:r>
      </w:hyperlink>
    </w:p>
    <w:p w14:paraId="7FED5894" w14:textId="77777777" w:rsidR="003E3ED9" w:rsidRPr="00CC2BB8" w:rsidRDefault="003E3ED9" w:rsidP="003E3ED9">
      <w:pPr>
        <w:pStyle w:val="Kazaloslik"/>
        <w:tabs>
          <w:tab w:val="right" w:leader="dot" w:pos="9062"/>
        </w:tabs>
        <w:rPr>
          <w:rFonts w:ascii="Arial" w:eastAsiaTheme="minorEastAsia" w:hAnsi="Arial" w:cs="Arial"/>
          <w:noProof/>
          <w:sz w:val="20"/>
          <w:szCs w:val="20"/>
          <w:lang w:eastAsia="sl-SI"/>
        </w:rPr>
      </w:pPr>
      <w:hyperlink w:anchor="_Toc132097866" w:history="1">
        <w:r w:rsidRPr="00CC2BB8">
          <w:rPr>
            <w:rStyle w:val="Hiperpovezava"/>
            <w:rFonts w:ascii="Arial" w:eastAsia="Times New Roman" w:hAnsi="Arial" w:cs="Arial"/>
            <w:noProof/>
            <w:sz w:val="20"/>
            <w:szCs w:val="20"/>
          </w:rPr>
          <w:t>Tabela 15: Kvantitativni cilji po prednostnih naložbah in finančnih instrumentih*</w:t>
        </w:r>
        <w:r w:rsidRPr="00CC2BB8">
          <w:rPr>
            <w:rFonts w:ascii="Arial" w:hAnsi="Arial" w:cs="Arial"/>
            <w:noProof/>
            <w:webHidden/>
            <w:sz w:val="20"/>
            <w:szCs w:val="20"/>
          </w:rPr>
          <w:tab/>
        </w:r>
        <w:r w:rsidRPr="00CC2BB8">
          <w:rPr>
            <w:rFonts w:ascii="Arial" w:hAnsi="Arial" w:cs="Arial"/>
            <w:noProof/>
            <w:webHidden/>
            <w:sz w:val="20"/>
            <w:szCs w:val="20"/>
          </w:rPr>
          <w:fldChar w:fldCharType="begin"/>
        </w:r>
        <w:r w:rsidRPr="00CC2BB8">
          <w:rPr>
            <w:rFonts w:ascii="Arial" w:hAnsi="Arial" w:cs="Arial"/>
            <w:noProof/>
            <w:webHidden/>
            <w:sz w:val="20"/>
            <w:szCs w:val="20"/>
          </w:rPr>
          <w:instrText xml:space="preserve"> PAGEREF _Toc132097866 \h </w:instrText>
        </w:r>
        <w:r w:rsidRPr="00CC2BB8">
          <w:rPr>
            <w:rFonts w:ascii="Arial" w:hAnsi="Arial" w:cs="Arial"/>
            <w:noProof/>
            <w:webHidden/>
            <w:sz w:val="20"/>
            <w:szCs w:val="20"/>
          </w:rPr>
        </w:r>
        <w:r w:rsidRPr="00CC2BB8">
          <w:rPr>
            <w:rFonts w:ascii="Arial" w:hAnsi="Arial" w:cs="Arial"/>
            <w:noProof/>
            <w:webHidden/>
            <w:sz w:val="20"/>
            <w:szCs w:val="20"/>
          </w:rPr>
          <w:fldChar w:fldCharType="separate"/>
        </w:r>
        <w:r>
          <w:rPr>
            <w:rFonts w:ascii="Arial" w:hAnsi="Arial" w:cs="Arial"/>
            <w:noProof/>
            <w:webHidden/>
            <w:sz w:val="20"/>
            <w:szCs w:val="20"/>
          </w:rPr>
          <w:t>48</w:t>
        </w:r>
        <w:r w:rsidRPr="00CC2BB8">
          <w:rPr>
            <w:rFonts w:ascii="Arial" w:hAnsi="Arial" w:cs="Arial"/>
            <w:noProof/>
            <w:webHidden/>
            <w:sz w:val="20"/>
            <w:szCs w:val="20"/>
          </w:rPr>
          <w:fldChar w:fldCharType="end"/>
        </w:r>
      </w:hyperlink>
    </w:p>
    <w:p w14:paraId="4F6C1363" w14:textId="77777777" w:rsidR="003E3ED9" w:rsidRPr="00830439" w:rsidRDefault="003E3ED9" w:rsidP="003E3ED9">
      <w:pPr>
        <w:ind w:left="2"/>
        <w:outlineLvl w:val="0"/>
        <w:rPr>
          <w:rFonts w:cs="Arial"/>
          <w:b/>
          <w:color w:val="AACDDB"/>
          <w:szCs w:val="20"/>
        </w:rPr>
      </w:pPr>
      <w:r w:rsidRPr="00CC2BB8">
        <w:rPr>
          <w:rFonts w:cs="Arial"/>
          <w:b/>
          <w:color w:val="AACDDB"/>
          <w:szCs w:val="20"/>
        </w:rPr>
        <w:fldChar w:fldCharType="end"/>
      </w:r>
    </w:p>
    <w:p w14:paraId="00308CEB" w14:textId="77777777" w:rsidR="003E3ED9" w:rsidRPr="00F60B42" w:rsidRDefault="003E3ED9" w:rsidP="003E3ED9">
      <w:pPr>
        <w:rPr>
          <w:rFonts w:cs="Arial"/>
          <w:color w:val="AACDDB"/>
          <w:szCs w:val="20"/>
        </w:rPr>
      </w:pPr>
      <w:r w:rsidRPr="00F60B42">
        <w:rPr>
          <w:rFonts w:cs="Arial"/>
          <w:szCs w:val="20"/>
        </w:rPr>
        <w:br w:type="page"/>
      </w:r>
    </w:p>
    <w:p w14:paraId="619ABF94" w14:textId="77777777" w:rsidR="003E3ED9" w:rsidRPr="00F60B42" w:rsidRDefault="003E3ED9" w:rsidP="003E3ED9">
      <w:pPr>
        <w:spacing w:before="240" w:after="120"/>
        <w:ind w:left="2"/>
        <w:outlineLvl w:val="0"/>
        <w:rPr>
          <w:rFonts w:cs="Arial"/>
          <w:b/>
          <w:color w:val="AACDDB"/>
          <w:szCs w:val="20"/>
        </w:rPr>
      </w:pPr>
      <w:bookmarkStart w:id="3" w:name="_Toc132097813"/>
      <w:r w:rsidRPr="00F60B42">
        <w:rPr>
          <w:rFonts w:cs="Arial"/>
          <w:b/>
          <w:color w:val="AACDDB"/>
          <w:szCs w:val="20"/>
        </w:rPr>
        <w:lastRenderedPageBreak/>
        <w:t>POVZETEK</w:t>
      </w:r>
      <w:bookmarkEnd w:id="3"/>
    </w:p>
    <w:p w14:paraId="08B4710E" w14:textId="77777777" w:rsidR="003E3ED9" w:rsidRPr="00830439" w:rsidRDefault="003E3ED9" w:rsidP="003E3ED9">
      <w:pPr>
        <w:jc w:val="both"/>
        <w:rPr>
          <w:rFonts w:cs="Arial"/>
          <w:color w:val="000000"/>
          <w:szCs w:val="20"/>
        </w:rPr>
      </w:pPr>
      <w:bookmarkStart w:id="4" w:name="_Toc122425430"/>
      <w:r w:rsidRPr="00830439">
        <w:rPr>
          <w:rFonts w:cs="Arial"/>
          <w:color w:val="000000"/>
          <w:szCs w:val="20"/>
        </w:rPr>
        <w:t>Ključni elementi finančnih instrumentov v programskem obdobju 2014-2020 so pripravljeni skladno s četrtim odstavkom 13. člena in drugim odstavkom 106.j člena Zakona o javnih financah, z drugim odstavkom 17. člena Uredbe o postopku, merilih in načinih dodeljevanja sredstev za spodbujanje razvojnih programov in prednostnih nalog in prvim odstavkom 37.a člena Uredbe o porabi sredstev evropske kohezijske politike v Republiki Sloveniji v programskem obdobju 2014</w:t>
      </w:r>
      <w:r w:rsidRPr="00830439">
        <w:rPr>
          <w:rFonts w:cs="Arial"/>
          <w:color w:val="000000"/>
          <w:szCs w:val="20"/>
        </w:rPr>
        <w:noBreakHyphen/>
        <w:t xml:space="preserve">2020 za cilj naložbe za rast in delovna mesta. V kolikor se predpisi Republike Slovenije glede izvajanja finančnih instrumentov in sklada skladov razlikujejo od predpisov EU, se uporabljajo predpisi EU. Temelja za pripravo Ključnih elementov FI sta Predhodna ocena finančnih instrumentov v Sloveniji in Analiza Evropske investicijske banke. Ključni elementi FI prispevajo k doseganju ciljev Operativnega programa za izvajanje evropske kohezijske politike v obdobju 2014-2020. </w:t>
      </w:r>
    </w:p>
    <w:p w14:paraId="0D61D140" w14:textId="77777777" w:rsidR="003E3ED9" w:rsidRPr="00830439" w:rsidRDefault="003E3ED9" w:rsidP="003E3ED9">
      <w:pPr>
        <w:jc w:val="both"/>
        <w:rPr>
          <w:rFonts w:cs="Arial"/>
          <w:color w:val="000000"/>
          <w:szCs w:val="20"/>
        </w:rPr>
      </w:pPr>
    </w:p>
    <w:p w14:paraId="7CA52956" w14:textId="77777777" w:rsidR="003E3ED9" w:rsidRPr="00830439" w:rsidRDefault="003E3ED9" w:rsidP="003E3ED9">
      <w:pPr>
        <w:jc w:val="both"/>
        <w:rPr>
          <w:rFonts w:cs="Arial"/>
          <w:color w:val="000000"/>
          <w:szCs w:val="20"/>
        </w:rPr>
      </w:pPr>
      <w:r w:rsidRPr="00830439">
        <w:rPr>
          <w:rFonts w:cs="Arial"/>
          <w:color w:val="000000"/>
          <w:szCs w:val="20"/>
        </w:rPr>
        <w:t xml:space="preserve">V poglavju Izhodišča so predstavljene pravne podlage in tržne vrzeli financiranja </w:t>
      </w:r>
      <w:proofErr w:type="spellStart"/>
      <w:r w:rsidRPr="00830439">
        <w:rPr>
          <w:rFonts w:cs="Arial"/>
          <w:color w:val="000000"/>
          <w:szCs w:val="20"/>
        </w:rPr>
        <w:t>mikro</w:t>
      </w:r>
      <w:proofErr w:type="spellEnd"/>
      <w:r w:rsidRPr="00830439">
        <w:rPr>
          <w:rFonts w:cs="Arial"/>
          <w:color w:val="000000"/>
          <w:szCs w:val="20"/>
        </w:rPr>
        <w:t>, malih in srednje velikih podjetij (MSP), raziskav, razvoja in inovacij (RRI), energetske učinkovitosti (EE) ter urbanega razvoja (UR).</w:t>
      </w:r>
    </w:p>
    <w:p w14:paraId="672FC512" w14:textId="77777777" w:rsidR="003E3ED9" w:rsidRPr="00830439" w:rsidRDefault="003E3ED9" w:rsidP="003E3ED9">
      <w:pPr>
        <w:jc w:val="both"/>
        <w:rPr>
          <w:rFonts w:cs="Arial"/>
          <w:color w:val="000000"/>
          <w:szCs w:val="20"/>
        </w:rPr>
      </w:pPr>
    </w:p>
    <w:p w14:paraId="2EA8350F" w14:textId="77777777" w:rsidR="003E3ED9" w:rsidRPr="00830439" w:rsidRDefault="003E3ED9" w:rsidP="003E3ED9">
      <w:pPr>
        <w:jc w:val="both"/>
        <w:rPr>
          <w:rFonts w:cs="Arial"/>
          <w:color w:val="000000"/>
          <w:szCs w:val="20"/>
        </w:rPr>
      </w:pPr>
      <w:r w:rsidRPr="00830439">
        <w:rPr>
          <w:rFonts w:cs="Arial"/>
          <w:color w:val="000000"/>
          <w:szCs w:val="20"/>
        </w:rPr>
        <w:t>V poglavju Naložbena strategija in načrtovanje finančnih instrumentov so prikazani:</w:t>
      </w:r>
    </w:p>
    <w:p w14:paraId="06083B0C" w14:textId="77777777" w:rsidR="003E3ED9" w:rsidRPr="00830439" w:rsidRDefault="003E3ED9" w:rsidP="003E3ED9">
      <w:pPr>
        <w:numPr>
          <w:ilvl w:val="0"/>
          <w:numId w:val="3"/>
        </w:numPr>
        <w:spacing w:line="240" w:lineRule="auto"/>
        <w:jc w:val="both"/>
        <w:rPr>
          <w:rFonts w:cs="Arial"/>
          <w:color w:val="000000"/>
          <w:szCs w:val="20"/>
        </w:rPr>
      </w:pPr>
      <w:r w:rsidRPr="00830439">
        <w:rPr>
          <w:rFonts w:cs="Arial"/>
          <w:color w:val="000000"/>
          <w:szCs w:val="20"/>
        </w:rPr>
        <w:t>struktura upravljanja in izvajanja finančnih instrumentov prek sklada skladov in finančnih posrednikov,</w:t>
      </w:r>
    </w:p>
    <w:p w14:paraId="04CDF07D" w14:textId="77777777" w:rsidR="003E3ED9" w:rsidRPr="00830439" w:rsidRDefault="003E3ED9" w:rsidP="003E3ED9">
      <w:pPr>
        <w:numPr>
          <w:ilvl w:val="0"/>
          <w:numId w:val="3"/>
        </w:numPr>
        <w:spacing w:line="240" w:lineRule="auto"/>
        <w:jc w:val="both"/>
        <w:rPr>
          <w:rFonts w:cs="Arial"/>
          <w:color w:val="000000"/>
          <w:szCs w:val="20"/>
        </w:rPr>
      </w:pPr>
      <w:r w:rsidRPr="00830439">
        <w:rPr>
          <w:rFonts w:cs="Arial"/>
          <w:color w:val="000000"/>
          <w:szCs w:val="20"/>
        </w:rPr>
        <w:t>načrtovani finančni produkti in ciljne skupine končnih prejemnikov po posameznih področjih:</w:t>
      </w:r>
    </w:p>
    <w:p w14:paraId="6B8F9691" w14:textId="77777777" w:rsidR="003E3ED9" w:rsidRPr="00830439" w:rsidRDefault="003E3ED9" w:rsidP="003E3ED9">
      <w:pPr>
        <w:spacing w:line="240" w:lineRule="auto"/>
        <w:ind w:left="360"/>
        <w:jc w:val="both"/>
        <w:rPr>
          <w:rFonts w:cs="Arial"/>
          <w:color w:val="000000"/>
          <w:szCs w:val="20"/>
        </w:rPr>
      </w:pPr>
    </w:p>
    <w:tbl>
      <w:tblPr>
        <w:tblStyle w:val="Tabelamrea"/>
        <w:tblW w:w="5000" w:type="pct"/>
        <w:tblLook w:val="04A0" w:firstRow="1" w:lastRow="0" w:firstColumn="1" w:lastColumn="0" w:noHBand="0" w:noVBand="1"/>
      </w:tblPr>
      <w:tblGrid>
        <w:gridCol w:w="2060"/>
        <w:gridCol w:w="2995"/>
        <w:gridCol w:w="3426"/>
        <w:gridCol w:w="7"/>
      </w:tblGrid>
      <w:tr w:rsidR="003E3ED9" w:rsidRPr="00830439" w14:paraId="5DEE42E6" w14:textId="77777777" w:rsidTr="00E8716B">
        <w:trPr>
          <w:gridAfter w:val="1"/>
          <w:wAfter w:w="4" w:type="pct"/>
        </w:trPr>
        <w:tc>
          <w:tcPr>
            <w:tcW w:w="1214" w:type="pct"/>
            <w:vAlign w:val="center"/>
          </w:tcPr>
          <w:p w14:paraId="7E902A7D" w14:textId="77777777" w:rsidR="003E3ED9" w:rsidRPr="00830439" w:rsidRDefault="003E3ED9" w:rsidP="00E8716B">
            <w:pPr>
              <w:jc w:val="center"/>
              <w:rPr>
                <w:rFonts w:eastAsia="Calibri" w:cs="Arial"/>
                <w:b/>
              </w:rPr>
            </w:pPr>
            <w:r w:rsidRPr="00830439">
              <w:rPr>
                <w:rFonts w:eastAsia="Calibri" w:cs="Arial"/>
                <w:b/>
              </w:rPr>
              <w:t>Finančni produkt</w:t>
            </w:r>
          </w:p>
        </w:tc>
        <w:tc>
          <w:tcPr>
            <w:tcW w:w="1764" w:type="pct"/>
            <w:vAlign w:val="center"/>
          </w:tcPr>
          <w:p w14:paraId="7BBAFA50" w14:textId="77777777" w:rsidR="003E3ED9" w:rsidRPr="00830439" w:rsidRDefault="003E3ED9" w:rsidP="00E8716B">
            <w:pPr>
              <w:jc w:val="center"/>
              <w:rPr>
                <w:rFonts w:eastAsia="Calibri" w:cs="Arial"/>
                <w:b/>
              </w:rPr>
            </w:pPr>
            <w:r w:rsidRPr="00830439">
              <w:rPr>
                <w:rFonts w:eastAsia="Calibri" w:cs="Arial"/>
                <w:b/>
              </w:rPr>
              <w:t>Načrtovana višina sredstev</w:t>
            </w:r>
          </w:p>
        </w:tc>
        <w:tc>
          <w:tcPr>
            <w:tcW w:w="2018" w:type="pct"/>
            <w:vAlign w:val="center"/>
          </w:tcPr>
          <w:p w14:paraId="4F21C779" w14:textId="77777777" w:rsidR="003E3ED9" w:rsidRPr="00830439" w:rsidRDefault="003E3ED9" w:rsidP="00E8716B">
            <w:pPr>
              <w:jc w:val="center"/>
              <w:rPr>
                <w:rFonts w:eastAsia="Calibri" w:cs="Arial"/>
                <w:b/>
              </w:rPr>
            </w:pPr>
            <w:r w:rsidRPr="00830439">
              <w:rPr>
                <w:rFonts w:eastAsia="Calibri" w:cs="Arial"/>
                <w:b/>
              </w:rPr>
              <w:t>Ciljna skupina</w:t>
            </w:r>
          </w:p>
        </w:tc>
      </w:tr>
      <w:tr w:rsidR="003E3ED9" w:rsidRPr="00830439" w14:paraId="68153CBB" w14:textId="77777777" w:rsidTr="00E8716B">
        <w:tc>
          <w:tcPr>
            <w:tcW w:w="5000" w:type="pct"/>
            <w:gridSpan w:val="4"/>
            <w:shd w:val="clear" w:color="auto" w:fill="B9D7E3"/>
            <w:vAlign w:val="center"/>
          </w:tcPr>
          <w:p w14:paraId="18895882" w14:textId="77777777" w:rsidR="003E3ED9" w:rsidRPr="00F60B42" w:rsidRDefault="003E3ED9" w:rsidP="00E8716B">
            <w:pPr>
              <w:jc w:val="center"/>
              <w:rPr>
                <w:rFonts w:eastAsia="Calibri" w:cs="Arial"/>
              </w:rPr>
            </w:pPr>
            <w:r w:rsidRPr="00830439">
              <w:rPr>
                <w:rFonts w:eastAsia="Calibri" w:cs="Arial"/>
              </w:rPr>
              <w:t>Področje: RRI - TC 1</w:t>
            </w:r>
          </w:p>
        </w:tc>
      </w:tr>
      <w:tr w:rsidR="003E3ED9" w:rsidRPr="00830439" w14:paraId="6925D023" w14:textId="77777777" w:rsidTr="00E8716B">
        <w:trPr>
          <w:gridAfter w:val="1"/>
          <w:wAfter w:w="4" w:type="pct"/>
        </w:trPr>
        <w:tc>
          <w:tcPr>
            <w:tcW w:w="1214" w:type="pct"/>
            <w:vAlign w:val="center"/>
          </w:tcPr>
          <w:p w14:paraId="11C7B30B" w14:textId="77777777" w:rsidR="003E3ED9" w:rsidRPr="00F60B42" w:rsidRDefault="003E3ED9" w:rsidP="00E8716B">
            <w:pPr>
              <w:jc w:val="both"/>
              <w:rPr>
                <w:rFonts w:eastAsia="Calibri" w:cs="Arial"/>
              </w:rPr>
            </w:pPr>
            <w:r w:rsidRPr="00830439">
              <w:rPr>
                <w:rFonts w:eastAsia="Calibri" w:cs="Arial"/>
              </w:rPr>
              <w:t>Posojila</w:t>
            </w:r>
          </w:p>
        </w:tc>
        <w:tc>
          <w:tcPr>
            <w:tcW w:w="1764" w:type="pct"/>
            <w:vAlign w:val="center"/>
          </w:tcPr>
          <w:p w14:paraId="352C700F" w14:textId="77777777" w:rsidR="003E3ED9" w:rsidRPr="00F60B42" w:rsidRDefault="003E3ED9" w:rsidP="00E8716B">
            <w:pPr>
              <w:jc w:val="both"/>
              <w:rPr>
                <w:rFonts w:eastAsia="Calibri" w:cs="Arial"/>
              </w:rPr>
            </w:pPr>
            <w:r w:rsidRPr="00F60B42">
              <w:rPr>
                <w:rFonts w:eastAsia="Calibri" w:cs="Arial"/>
              </w:rPr>
              <w:t>72,6 mio EUR</w:t>
            </w:r>
          </w:p>
        </w:tc>
        <w:tc>
          <w:tcPr>
            <w:tcW w:w="2018" w:type="pct"/>
            <w:vAlign w:val="center"/>
          </w:tcPr>
          <w:p w14:paraId="04D3B8BC" w14:textId="77777777" w:rsidR="003E3ED9" w:rsidRPr="00830439" w:rsidRDefault="003E3ED9" w:rsidP="00E8716B">
            <w:pPr>
              <w:jc w:val="both"/>
              <w:rPr>
                <w:rFonts w:eastAsia="Calibri" w:cs="Arial"/>
              </w:rPr>
            </w:pPr>
            <w:r w:rsidRPr="00830439">
              <w:rPr>
                <w:rFonts w:eastAsia="Calibri" w:cs="Arial"/>
              </w:rPr>
              <w:t xml:space="preserve">Vsa podjetja </w:t>
            </w:r>
          </w:p>
          <w:p w14:paraId="4962AA23" w14:textId="77777777" w:rsidR="003E3ED9" w:rsidRPr="00830439" w:rsidRDefault="003E3ED9" w:rsidP="00E8716B">
            <w:pPr>
              <w:rPr>
                <w:rFonts w:eastAsia="Calibri" w:cs="Arial"/>
              </w:rPr>
            </w:pPr>
            <w:r w:rsidRPr="00830439">
              <w:rPr>
                <w:rFonts w:eastAsia="Calibri" w:cs="Arial"/>
              </w:rPr>
              <w:t>(49,6 mio EUR MSP, 23 mio EUR velika podjetja)</w:t>
            </w:r>
          </w:p>
        </w:tc>
      </w:tr>
      <w:tr w:rsidR="003E3ED9" w:rsidRPr="00830439" w14:paraId="0295EE57" w14:textId="77777777" w:rsidTr="00E8716B">
        <w:trPr>
          <w:gridAfter w:val="1"/>
          <w:wAfter w:w="4" w:type="pct"/>
        </w:trPr>
        <w:tc>
          <w:tcPr>
            <w:tcW w:w="1214" w:type="pct"/>
            <w:vAlign w:val="center"/>
          </w:tcPr>
          <w:p w14:paraId="6AAEBD3B" w14:textId="77777777" w:rsidR="003E3ED9" w:rsidRPr="00F60B42" w:rsidRDefault="003E3ED9" w:rsidP="00E8716B">
            <w:pPr>
              <w:jc w:val="both"/>
              <w:rPr>
                <w:rFonts w:eastAsia="Calibri" w:cs="Arial"/>
              </w:rPr>
            </w:pPr>
            <w:proofErr w:type="spellStart"/>
            <w:r w:rsidRPr="00830439">
              <w:rPr>
                <w:rFonts w:eastAsia="Calibri" w:cs="Arial"/>
              </w:rPr>
              <w:t>Portfeljske</w:t>
            </w:r>
            <w:proofErr w:type="spellEnd"/>
            <w:r w:rsidRPr="00830439">
              <w:rPr>
                <w:rFonts w:eastAsia="Calibri" w:cs="Arial"/>
              </w:rPr>
              <w:t xml:space="preserve"> garancije</w:t>
            </w:r>
          </w:p>
        </w:tc>
        <w:tc>
          <w:tcPr>
            <w:tcW w:w="1764" w:type="pct"/>
            <w:vAlign w:val="center"/>
          </w:tcPr>
          <w:p w14:paraId="4C9E7D90" w14:textId="77777777" w:rsidR="003E3ED9" w:rsidRPr="00F60B42" w:rsidRDefault="003E3ED9" w:rsidP="00E8716B">
            <w:pPr>
              <w:jc w:val="both"/>
              <w:rPr>
                <w:rFonts w:eastAsia="Calibri" w:cs="Arial"/>
              </w:rPr>
            </w:pPr>
            <w:r w:rsidRPr="00F60B42">
              <w:rPr>
                <w:rFonts w:eastAsia="Calibri" w:cs="Arial"/>
              </w:rPr>
              <w:t>15,4 mio EUR</w:t>
            </w:r>
          </w:p>
        </w:tc>
        <w:tc>
          <w:tcPr>
            <w:tcW w:w="2018" w:type="pct"/>
            <w:vAlign w:val="center"/>
          </w:tcPr>
          <w:p w14:paraId="7743E430" w14:textId="77777777" w:rsidR="003E3ED9" w:rsidRPr="00830439" w:rsidRDefault="003E3ED9" w:rsidP="00E8716B">
            <w:pPr>
              <w:jc w:val="both"/>
              <w:rPr>
                <w:rFonts w:eastAsia="Calibri" w:cs="Arial"/>
              </w:rPr>
            </w:pPr>
            <w:r w:rsidRPr="00830439">
              <w:rPr>
                <w:rFonts w:eastAsia="Calibri" w:cs="Arial"/>
              </w:rPr>
              <w:t>MSP</w:t>
            </w:r>
          </w:p>
        </w:tc>
      </w:tr>
      <w:tr w:rsidR="003E3ED9" w:rsidRPr="00830439" w14:paraId="119A6AA6" w14:textId="77777777" w:rsidTr="00E8716B">
        <w:tc>
          <w:tcPr>
            <w:tcW w:w="5000" w:type="pct"/>
            <w:gridSpan w:val="4"/>
            <w:shd w:val="clear" w:color="auto" w:fill="B9D7E3"/>
            <w:vAlign w:val="center"/>
          </w:tcPr>
          <w:p w14:paraId="4CE53E78" w14:textId="77777777" w:rsidR="003E3ED9" w:rsidRPr="00F60B42" w:rsidRDefault="003E3ED9" w:rsidP="00E8716B">
            <w:pPr>
              <w:jc w:val="center"/>
              <w:rPr>
                <w:rFonts w:eastAsia="Calibri" w:cs="Arial"/>
              </w:rPr>
            </w:pPr>
            <w:r w:rsidRPr="00830439">
              <w:rPr>
                <w:rFonts w:eastAsia="Calibri" w:cs="Arial"/>
              </w:rPr>
              <w:t>Področje: MSP - TC 3</w:t>
            </w:r>
          </w:p>
        </w:tc>
      </w:tr>
      <w:tr w:rsidR="003E3ED9" w:rsidRPr="00830439" w14:paraId="5D94736B" w14:textId="77777777" w:rsidTr="00E8716B">
        <w:trPr>
          <w:gridAfter w:val="1"/>
          <w:wAfter w:w="4" w:type="pct"/>
        </w:trPr>
        <w:tc>
          <w:tcPr>
            <w:tcW w:w="1214" w:type="pct"/>
            <w:vAlign w:val="center"/>
          </w:tcPr>
          <w:p w14:paraId="6BFA1FBE" w14:textId="77777777" w:rsidR="003E3ED9" w:rsidRPr="00F60B42" w:rsidRDefault="003E3ED9" w:rsidP="00E8716B">
            <w:pPr>
              <w:jc w:val="both"/>
              <w:rPr>
                <w:rFonts w:eastAsia="Calibri" w:cs="Arial"/>
              </w:rPr>
            </w:pPr>
            <w:r w:rsidRPr="00830439">
              <w:rPr>
                <w:rFonts w:eastAsia="Calibri" w:cs="Arial"/>
              </w:rPr>
              <w:t>Mikrokrediti</w:t>
            </w:r>
          </w:p>
        </w:tc>
        <w:tc>
          <w:tcPr>
            <w:tcW w:w="1764" w:type="pct"/>
            <w:vAlign w:val="center"/>
          </w:tcPr>
          <w:p w14:paraId="75A0BA20" w14:textId="77777777" w:rsidR="003E3ED9" w:rsidRPr="00F60B42" w:rsidRDefault="003E3ED9" w:rsidP="00E8716B">
            <w:pPr>
              <w:jc w:val="both"/>
              <w:rPr>
                <w:rFonts w:eastAsia="Calibri" w:cs="Arial"/>
              </w:rPr>
            </w:pPr>
            <w:r w:rsidRPr="00F60B42">
              <w:rPr>
                <w:rFonts w:eastAsia="Calibri" w:cs="Arial"/>
              </w:rPr>
              <w:t>63, 6 mio EUR</w:t>
            </w:r>
          </w:p>
        </w:tc>
        <w:tc>
          <w:tcPr>
            <w:tcW w:w="2018" w:type="pct"/>
            <w:vAlign w:val="center"/>
          </w:tcPr>
          <w:p w14:paraId="32115270" w14:textId="77777777" w:rsidR="003E3ED9" w:rsidRPr="00830439" w:rsidRDefault="003E3ED9" w:rsidP="00E8716B">
            <w:pPr>
              <w:jc w:val="both"/>
              <w:rPr>
                <w:rFonts w:eastAsia="Calibri" w:cs="Arial"/>
              </w:rPr>
            </w:pPr>
            <w:proofErr w:type="spellStart"/>
            <w:r w:rsidRPr="00830439">
              <w:rPr>
                <w:rFonts w:eastAsia="Calibri" w:cs="Arial"/>
              </w:rPr>
              <w:t>Mikro</w:t>
            </w:r>
            <w:proofErr w:type="spellEnd"/>
            <w:r w:rsidRPr="00830439">
              <w:rPr>
                <w:rFonts w:eastAsia="Calibri" w:cs="Arial"/>
              </w:rPr>
              <w:t xml:space="preserve"> in mala podjetja</w:t>
            </w:r>
          </w:p>
        </w:tc>
      </w:tr>
      <w:tr w:rsidR="003E3ED9" w:rsidRPr="00830439" w14:paraId="0EF99D62" w14:textId="77777777" w:rsidTr="00E8716B">
        <w:trPr>
          <w:gridAfter w:val="1"/>
          <w:wAfter w:w="4" w:type="pct"/>
        </w:trPr>
        <w:tc>
          <w:tcPr>
            <w:tcW w:w="1214" w:type="pct"/>
            <w:vAlign w:val="center"/>
          </w:tcPr>
          <w:p w14:paraId="231CBCD2" w14:textId="77777777" w:rsidR="003E3ED9" w:rsidRPr="00F60B42" w:rsidRDefault="003E3ED9" w:rsidP="00E8716B">
            <w:pPr>
              <w:jc w:val="both"/>
              <w:rPr>
                <w:rFonts w:eastAsia="Calibri" w:cs="Arial"/>
              </w:rPr>
            </w:pPr>
            <w:proofErr w:type="spellStart"/>
            <w:r w:rsidRPr="00830439">
              <w:rPr>
                <w:rFonts w:eastAsia="Calibri" w:cs="Arial"/>
              </w:rPr>
              <w:t>Portfeljske</w:t>
            </w:r>
            <w:proofErr w:type="spellEnd"/>
            <w:r w:rsidRPr="00830439">
              <w:rPr>
                <w:rFonts w:eastAsia="Calibri" w:cs="Arial"/>
              </w:rPr>
              <w:t xml:space="preserve"> garancije</w:t>
            </w:r>
            <w:r>
              <w:rPr>
                <w:rStyle w:val="Sprotnaopomba-sklic"/>
                <w:rFonts w:eastAsia="Calibri" w:cs="Arial"/>
              </w:rPr>
              <w:footnoteReference w:id="1"/>
            </w:r>
          </w:p>
        </w:tc>
        <w:tc>
          <w:tcPr>
            <w:tcW w:w="1764" w:type="pct"/>
            <w:vAlign w:val="center"/>
          </w:tcPr>
          <w:p w14:paraId="20847BD0" w14:textId="77777777" w:rsidR="003E3ED9" w:rsidRPr="00F60B42" w:rsidRDefault="003E3ED9" w:rsidP="00E8716B">
            <w:pPr>
              <w:jc w:val="both"/>
              <w:rPr>
                <w:rFonts w:eastAsia="Calibri" w:cs="Arial"/>
              </w:rPr>
            </w:pPr>
            <w:r w:rsidRPr="00F60B42">
              <w:rPr>
                <w:rFonts w:eastAsia="Calibri" w:cs="Arial"/>
              </w:rPr>
              <w:t>65 mio EUR</w:t>
            </w:r>
          </w:p>
        </w:tc>
        <w:tc>
          <w:tcPr>
            <w:tcW w:w="2018" w:type="pct"/>
            <w:vAlign w:val="center"/>
          </w:tcPr>
          <w:p w14:paraId="158EA4E5" w14:textId="77777777" w:rsidR="003E3ED9" w:rsidRPr="00830439" w:rsidRDefault="003E3ED9" w:rsidP="00E8716B">
            <w:pPr>
              <w:jc w:val="both"/>
              <w:rPr>
                <w:rFonts w:eastAsia="Calibri" w:cs="Arial"/>
              </w:rPr>
            </w:pPr>
            <w:r w:rsidRPr="00830439">
              <w:rPr>
                <w:rFonts w:eastAsia="Calibri" w:cs="Arial"/>
              </w:rPr>
              <w:t xml:space="preserve">MSP </w:t>
            </w:r>
          </w:p>
          <w:p w14:paraId="1C589FDD" w14:textId="77777777" w:rsidR="003E3ED9" w:rsidRPr="00830439" w:rsidRDefault="003E3ED9" w:rsidP="00E8716B">
            <w:pPr>
              <w:rPr>
                <w:rFonts w:eastAsia="Calibri" w:cs="Arial"/>
              </w:rPr>
            </w:pPr>
          </w:p>
        </w:tc>
      </w:tr>
      <w:tr w:rsidR="003E3ED9" w:rsidRPr="00830439" w14:paraId="0111F656" w14:textId="77777777" w:rsidTr="00E8716B">
        <w:trPr>
          <w:gridAfter w:val="1"/>
          <w:wAfter w:w="4" w:type="pct"/>
        </w:trPr>
        <w:tc>
          <w:tcPr>
            <w:tcW w:w="1214" w:type="pct"/>
            <w:vAlign w:val="center"/>
          </w:tcPr>
          <w:p w14:paraId="19175FA4" w14:textId="77777777" w:rsidR="003E3ED9" w:rsidRPr="00F60B42" w:rsidRDefault="003E3ED9" w:rsidP="00E8716B">
            <w:pPr>
              <w:jc w:val="both"/>
              <w:rPr>
                <w:rFonts w:eastAsia="Calibri" w:cs="Arial"/>
              </w:rPr>
            </w:pPr>
            <w:r w:rsidRPr="00830439">
              <w:rPr>
                <w:rFonts w:eastAsia="Calibri" w:cs="Arial"/>
              </w:rPr>
              <w:t xml:space="preserve">Lastniško </w:t>
            </w:r>
            <w:r w:rsidRPr="00F60B42">
              <w:rPr>
                <w:rFonts w:eastAsia="Calibri" w:cs="Arial"/>
              </w:rPr>
              <w:t>financiranje</w:t>
            </w:r>
          </w:p>
        </w:tc>
        <w:tc>
          <w:tcPr>
            <w:tcW w:w="1764" w:type="pct"/>
            <w:vAlign w:val="center"/>
          </w:tcPr>
          <w:p w14:paraId="30BCE268" w14:textId="77777777" w:rsidR="003E3ED9" w:rsidRPr="00F60B42" w:rsidRDefault="003E3ED9" w:rsidP="00E8716B">
            <w:pPr>
              <w:jc w:val="both"/>
              <w:rPr>
                <w:rFonts w:eastAsia="Calibri" w:cs="Arial"/>
              </w:rPr>
            </w:pPr>
            <w:r w:rsidRPr="00F60B42">
              <w:rPr>
                <w:rFonts w:eastAsia="Calibri" w:cs="Arial"/>
              </w:rPr>
              <w:t>6,4 mio EUR</w:t>
            </w:r>
          </w:p>
        </w:tc>
        <w:tc>
          <w:tcPr>
            <w:tcW w:w="2018" w:type="pct"/>
            <w:vAlign w:val="center"/>
          </w:tcPr>
          <w:p w14:paraId="594682BA" w14:textId="77777777" w:rsidR="003E3ED9" w:rsidRPr="00830439" w:rsidRDefault="003E3ED9" w:rsidP="00E8716B">
            <w:pPr>
              <w:jc w:val="both"/>
              <w:rPr>
                <w:rFonts w:eastAsia="Calibri" w:cs="Arial"/>
              </w:rPr>
            </w:pPr>
            <w:r w:rsidRPr="00830439">
              <w:rPr>
                <w:rFonts w:eastAsia="Calibri" w:cs="Arial"/>
              </w:rPr>
              <w:t>MSP</w:t>
            </w:r>
          </w:p>
        </w:tc>
      </w:tr>
      <w:tr w:rsidR="003E3ED9" w:rsidRPr="00830439" w14:paraId="62B2510D" w14:textId="77777777" w:rsidTr="00E8716B">
        <w:tc>
          <w:tcPr>
            <w:tcW w:w="5000" w:type="pct"/>
            <w:gridSpan w:val="4"/>
            <w:shd w:val="clear" w:color="auto" w:fill="B9D7E3"/>
            <w:vAlign w:val="center"/>
          </w:tcPr>
          <w:p w14:paraId="2923EFC6" w14:textId="77777777" w:rsidR="003E3ED9" w:rsidRPr="00F60B42" w:rsidRDefault="003E3ED9" w:rsidP="00E8716B">
            <w:pPr>
              <w:jc w:val="center"/>
              <w:rPr>
                <w:rFonts w:eastAsia="Calibri" w:cs="Arial"/>
              </w:rPr>
            </w:pPr>
            <w:r w:rsidRPr="00830439">
              <w:rPr>
                <w:rFonts w:eastAsia="Calibri" w:cs="Arial"/>
              </w:rPr>
              <w:t>Področje: Energetska učinkovitost - TC 4</w:t>
            </w:r>
          </w:p>
        </w:tc>
      </w:tr>
      <w:tr w:rsidR="003E3ED9" w:rsidRPr="00830439" w14:paraId="2F7A6F56" w14:textId="77777777" w:rsidTr="00E8716B">
        <w:trPr>
          <w:gridAfter w:val="1"/>
          <w:wAfter w:w="4" w:type="pct"/>
        </w:trPr>
        <w:tc>
          <w:tcPr>
            <w:tcW w:w="1214" w:type="pct"/>
            <w:vAlign w:val="center"/>
          </w:tcPr>
          <w:p w14:paraId="6DDC480F" w14:textId="77777777" w:rsidR="003E3ED9" w:rsidRPr="00830439" w:rsidRDefault="003E3ED9" w:rsidP="00E8716B">
            <w:pPr>
              <w:rPr>
                <w:rFonts w:cs="Arial"/>
              </w:rPr>
            </w:pPr>
            <w:r w:rsidRPr="00830439">
              <w:rPr>
                <w:rFonts w:cs="Arial"/>
              </w:rPr>
              <w:t>Posojila, garancijske sheme, lastniško financiranje</w:t>
            </w:r>
            <w:r w:rsidRPr="00830439">
              <w:rPr>
                <w:rFonts w:cs="Arial"/>
                <w:vertAlign w:val="superscript"/>
              </w:rPr>
              <w:footnoteReference w:id="2"/>
            </w:r>
          </w:p>
        </w:tc>
        <w:tc>
          <w:tcPr>
            <w:tcW w:w="1764" w:type="pct"/>
            <w:vAlign w:val="center"/>
          </w:tcPr>
          <w:p w14:paraId="36C55200" w14:textId="77777777" w:rsidR="003E3ED9" w:rsidRPr="00830439" w:rsidRDefault="003E3ED9" w:rsidP="00E8716B">
            <w:pPr>
              <w:jc w:val="both"/>
              <w:rPr>
                <w:rFonts w:eastAsia="Calibri" w:cs="Arial"/>
              </w:rPr>
            </w:pPr>
            <w:r w:rsidRPr="00F60B42">
              <w:rPr>
                <w:rFonts w:eastAsia="Calibri" w:cs="Arial"/>
              </w:rPr>
              <w:t>6,73 mio EUR</w:t>
            </w:r>
            <w:r w:rsidRPr="00830439">
              <w:rPr>
                <w:rFonts w:eastAsia="Calibri" w:cs="Arial"/>
                <w:vertAlign w:val="superscript"/>
              </w:rPr>
              <w:footnoteReference w:id="3"/>
            </w:r>
          </w:p>
        </w:tc>
        <w:tc>
          <w:tcPr>
            <w:tcW w:w="2018" w:type="pct"/>
            <w:vAlign w:val="center"/>
          </w:tcPr>
          <w:p w14:paraId="4AE788DD" w14:textId="77777777" w:rsidR="003E3ED9" w:rsidRPr="00F60B42" w:rsidRDefault="003E3ED9" w:rsidP="00E8716B">
            <w:pPr>
              <w:jc w:val="both"/>
              <w:rPr>
                <w:rFonts w:eastAsia="Calibri" w:cs="Arial"/>
              </w:rPr>
            </w:pPr>
            <w:r w:rsidRPr="00F60B42">
              <w:rPr>
                <w:rFonts w:eastAsia="Calibri" w:cs="Arial"/>
              </w:rPr>
              <w:t>Javni sektor, ESCO podjetja</w:t>
            </w:r>
          </w:p>
        </w:tc>
      </w:tr>
      <w:tr w:rsidR="003E3ED9" w:rsidRPr="00830439" w14:paraId="3F979DCE" w14:textId="77777777" w:rsidTr="00E8716B">
        <w:tc>
          <w:tcPr>
            <w:tcW w:w="5000" w:type="pct"/>
            <w:gridSpan w:val="4"/>
            <w:shd w:val="clear" w:color="auto" w:fill="B9D7E3"/>
            <w:vAlign w:val="center"/>
          </w:tcPr>
          <w:p w14:paraId="070E030C" w14:textId="77777777" w:rsidR="003E3ED9" w:rsidRPr="00F60B42" w:rsidRDefault="003E3ED9" w:rsidP="00E8716B">
            <w:pPr>
              <w:jc w:val="center"/>
              <w:rPr>
                <w:rFonts w:eastAsia="Calibri" w:cs="Arial"/>
              </w:rPr>
            </w:pPr>
            <w:r w:rsidRPr="00830439">
              <w:rPr>
                <w:rFonts w:eastAsia="Calibri" w:cs="Arial"/>
              </w:rPr>
              <w:t>Področje: Urbani razvoj - TC 6</w:t>
            </w:r>
          </w:p>
        </w:tc>
      </w:tr>
      <w:tr w:rsidR="003E3ED9" w:rsidRPr="00830439" w14:paraId="46F4CACD" w14:textId="77777777" w:rsidTr="00E8716B">
        <w:trPr>
          <w:gridAfter w:val="1"/>
          <w:wAfter w:w="4" w:type="pct"/>
        </w:trPr>
        <w:tc>
          <w:tcPr>
            <w:tcW w:w="1214" w:type="pct"/>
            <w:vAlign w:val="center"/>
          </w:tcPr>
          <w:p w14:paraId="368DB563" w14:textId="77777777" w:rsidR="003E3ED9" w:rsidRPr="00F60B42" w:rsidRDefault="003E3ED9" w:rsidP="00E8716B">
            <w:pPr>
              <w:jc w:val="both"/>
              <w:rPr>
                <w:rFonts w:eastAsia="Calibri" w:cs="Arial"/>
              </w:rPr>
            </w:pPr>
            <w:r w:rsidRPr="00830439">
              <w:rPr>
                <w:rFonts w:eastAsia="Calibri" w:cs="Arial"/>
              </w:rPr>
              <w:t>Posojila</w:t>
            </w:r>
          </w:p>
        </w:tc>
        <w:tc>
          <w:tcPr>
            <w:tcW w:w="1764" w:type="pct"/>
            <w:vAlign w:val="center"/>
          </w:tcPr>
          <w:p w14:paraId="757470BA" w14:textId="77777777" w:rsidR="003E3ED9" w:rsidRPr="00F60B42" w:rsidRDefault="003E3ED9" w:rsidP="00E8716B">
            <w:pPr>
              <w:jc w:val="both"/>
              <w:rPr>
                <w:rFonts w:eastAsia="Calibri" w:cs="Arial"/>
              </w:rPr>
            </w:pPr>
            <w:r w:rsidRPr="00F60B42">
              <w:rPr>
                <w:rFonts w:eastAsia="Calibri" w:cs="Arial"/>
              </w:rPr>
              <w:t>5 mio EUR</w:t>
            </w:r>
          </w:p>
        </w:tc>
        <w:tc>
          <w:tcPr>
            <w:tcW w:w="2018" w:type="pct"/>
            <w:vAlign w:val="center"/>
          </w:tcPr>
          <w:p w14:paraId="0F1580A4" w14:textId="77777777" w:rsidR="003E3ED9" w:rsidRPr="00830439" w:rsidRDefault="003E3ED9" w:rsidP="00E8716B">
            <w:pPr>
              <w:rPr>
                <w:rFonts w:eastAsia="Calibri" w:cs="Arial"/>
              </w:rPr>
            </w:pPr>
            <w:r w:rsidRPr="00830439">
              <w:rPr>
                <w:rFonts w:eastAsia="Calibri" w:cs="Arial"/>
              </w:rPr>
              <w:t>Gospodarstvo, lokalne skupnosti, upravljavci javnih površin in stavb, stanovanjske kooperative in ponudniki drugih alternativnih oblik bivanja v mestih.</w:t>
            </w:r>
          </w:p>
        </w:tc>
      </w:tr>
    </w:tbl>
    <w:p w14:paraId="3814EF4B" w14:textId="77777777" w:rsidR="003E3ED9" w:rsidRPr="00830439" w:rsidRDefault="003E3ED9" w:rsidP="003E3ED9">
      <w:pPr>
        <w:jc w:val="both"/>
        <w:rPr>
          <w:rFonts w:cs="Arial"/>
          <w:color w:val="000000"/>
          <w:szCs w:val="20"/>
        </w:rPr>
      </w:pPr>
    </w:p>
    <w:p w14:paraId="162CDB67" w14:textId="77777777" w:rsidR="003E3ED9" w:rsidRPr="00F60B42" w:rsidRDefault="003E3ED9" w:rsidP="003E3ED9">
      <w:pPr>
        <w:numPr>
          <w:ilvl w:val="0"/>
          <w:numId w:val="21"/>
        </w:numPr>
        <w:spacing w:line="240" w:lineRule="atLeast"/>
        <w:contextualSpacing/>
        <w:jc w:val="both"/>
        <w:rPr>
          <w:rFonts w:eastAsia="Calibri" w:cs="Arial"/>
          <w:color w:val="000000"/>
          <w:szCs w:val="20"/>
        </w:rPr>
      </w:pPr>
      <w:r w:rsidRPr="00F60B42">
        <w:rPr>
          <w:rFonts w:eastAsia="Calibri" w:cs="Arial"/>
          <w:color w:val="000000"/>
          <w:szCs w:val="20"/>
        </w:rPr>
        <w:t>Kombinacija FI z nepovratnimi viri je možna.</w:t>
      </w:r>
    </w:p>
    <w:p w14:paraId="51E9B903" w14:textId="77777777" w:rsidR="003E3ED9" w:rsidRPr="00830439" w:rsidRDefault="003E3ED9" w:rsidP="003E3ED9">
      <w:pPr>
        <w:numPr>
          <w:ilvl w:val="0"/>
          <w:numId w:val="21"/>
        </w:numPr>
        <w:spacing w:line="240" w:lineRule="atLeast"/>
        <w:ind w:left="0" w:firstLine="426"/>
        <w:contextualSpacing/>
        <w:jc w:val="both"/>
        <w:rPr>
          <w:rFonts w:eastAsia="Calibri" w:cs="Arial"/>
          <w:color w:val="000000"/>
          <w:szCs w:val="20"/>
        </w:rPr>
      </w:pPr>
      <w:r w:rsidRPr="00F60B42">
        <w:rPr>
          <w:rFonts w:eastAsia="Calibri" w:cs="Arial"/>
          <w:color w:val="000000"/>
          <w:szCs w:val="20"/>
        </w:rPr>
        <w:t>Viri za izvajanje FI se lahko zagotavljajo iz sredstev evropskih strukturnih in investicijskih skladov (ESIF), nacionalnih virov, drugih EU virov (npr. EFSI), lastnih virov upravljavca sklada skladov, lastnih virov finančnih posrednikov in drugih virov. Prav tako j</w:t>
      </w:r>
      <w:r w:rsidRPr="00830439">
        <w:rPr>
          <w:rFonts w:eastAsia="Calibri" w:cs="Arial"/>
          <w:color w:val="000000"/>
          <w:szCs w:val="20"/>
        </w:rPr>
        <w:t>e mogoče v okviru sklada skladov ponovno uporabiti vrnjena sredstva iz naslova prve porabe sredstev ESIF.</w:t>
      </w:r>
    </w:p>
    <w:p w14:paraId="0E6B8395" w14:textId="77777777" w:rsidR="003E3ED9" w:rsidRPr="00830439" w:rsidRDefault="003E3ED9" w:rsidP="003E3ED9">
      <w:pPr>
        <w:jc w:val="both"/>
        <w:rPr>
          <w:rFonts w:cs="Arial"/>
          <w:color w:val="000000"/>
          <w:szCs w:val="20"/>
        </w:rPr>
      </w:pPr>
      <w:r w:rsidRPr="00830439">
        <w:rPr>
          <w:rFonts w:cs="Arial"/>
          <w:color w:val="000000"/>
          <w:szCs w:val="20"/>
        </w:rPr>
        <w:t>V poglavju Spremljanje izvajanja in poročanje so predvidena potrebna poročila z namenom spremljanja izvajanja FI. Upravljavec sklada skladov bo moral vzpostaviti enoten informacijski sistem, v katerem bo evidentiral podatke z namenom stalnega spremljanja sredstev vplačanih v sklad skladov do prenehanja njegovega delovanja, doseganja ciljev in kazalnikov itd.</w:t>
      </w:r>
    </w:p>
    <w:p w14:paraId="4DA39649" w14:textId="77777777" w:rsidR="003E3ED9" w:rsidRPr="00830439" w:rsidRDefault="003E3ED9" w:rsidP="003E3ED9">
      <w:pPr>
        <w:jc w:val="both"/>
        <w:rPr>
          <w:rFonts w:cs="Arial"/>
          <w:color w:val="000000"/>
          <w:szCs w:val="20"/>
        </w:rPr>
      </w:pPr>
    </w:p>
    <w:p w14:paraId="17C96057" w14:textId="77777777" w:rsidR="003E3ED9" w:rsidRPr="00830439" w:rsidRDefault="003E3ED9" w:rsidP="003E3ED9">
      <w:pPr>
        <w:jc w:val="both"/>
        <w:rPr>
          <w:rFonts w:cs="Arial"/>
          <w:color w:val="000000"/>
          <w:szCs w:val="20"/>
        </w:rPr>
      </w:pPr>
      <w:r w:rsidRPr="00830439">
        <w:rPr>
          <w:rFonts w:cs="Arial"/>
          <w:color w:val="000000"/>
          <w:szCs w:val="20"/>
        </w:rPr>
        <w:t>V poglavju Izdelan program porabe sredstev so predvidena vplačila ESIF sredstev v sklad skladov v okviru štirih področij – tematskih ciljev: raziskave, razvoj in inovacije (TC 1), mala in srednje velika podjetja (TC 3), energetska učinkovitost (TC 4) in urbani razvoj (TC 6). Prva tranša je bila izplačana po podpisu sporazuma o financiranju v višini 63,25 mio EUR (25 % celotne predvidene alokacije sredstev na sklad skladov). Ostala sredstva so bila vplačana v sklad skladov skladno z 41. členom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nadaljevanju: Uredba (EU) št. 1303/2013), pri čemer je za nemoteno izvajanje FI potrebno zagotoviti določeno fleksibilnost, med drugim tudi na način, kot ga omogoča 10. člen Delegirane uredbe Komisije (EU) št. 480/2014 z dne 3. marca 2014.</w:t>
      </w:r>
    </w:p>
    <w:p w14:paraId="238199B6" w14:textId="77777777" w:rsidR="003E3ED9" w:rsidRPr="00830439" w:rsidRDefault="003E3ED9" w:rsidP="003E3ED9">
      <w:pPr>
        <w:jc w:val="both"/>
        <w:rPr>
          <w:rFonts w:cs="Arial"/>
          <w:color w:val="000000"/>
          <w:szCs w:val="20"/>
        </w:rPr>
      </w:pPr>
    </w:p>
    <w:p w14:paraId="3DF2A61F" w14:textId="77777777" w:rsidR="003E3ED9" w:rsidRPr="00830439" w:rsidRDefault="003E3ED9" w:rsidP="003E3ED9">
      <w:pPr>
        <w:jc w:val="both"/>
        <w:rPr>
          <w:rFonts w:cs="Arial"/>
          <w:color w:val="000000"/>
          <w:szCs w:val="20"/>
        </w:rPr>
      </w:pPr>
      <w:r w:rsidRPr="00830439">
        <w:rPr>
          <w:rFonts w:cs="Arial"/>
          <w:color w:val="000000"/>
          <w:szCs w:val="20"/>
        </w:rPr>
        <w:t>V poglavju Obdobje porabe sredstev je določeno obdobje potrebnega vplačila sredstev ESIF skladov v sklad skladov od 1. 1. 2014 – 31. 12. 2022. Skrajni rok za nakazilo sredstev končnim prejemnikom oziroma za odobritev kreditov v primeru garancij ali drugih instrumentov prevzema tveganj je 31. 12. 2023 oz. kasneje v primeru podaljšanja rokov s strani Evropske komisije, in se določi s sporazumom o financiranju. Rok se lahko tudi skrajša zaradi postopkov zaključevanja OP 2014-2020.</w:t>
      </w:r>
    </w:p>
    <w:p w14:paraId="20DBC649" w14:textId="77777777" w:rsidR="003E3ED9" w:rsidRPr="00830439" w:rsidRDefault="003E3ED9" w:rsidP="003E3ED9">
      <w:pPr>
        <w:jc w:val="both"/>
        <w:rPr>
          <w:rFonts w:cs="Arial"/>
          <w:color w:val="000000"/>
          <w:szCs w:val="20"/>
        </w:rPr>
      </w:pPr>
    </w:p>
    <w:p w14:paraId="2A529BE3" w14:textId="77777777" w:rsidR="003E3ED9" w:rsidRPr="00830439" w:rsidRDefault="003E3ED9" w:rsidP="003E3ED9">
      <w:pPr>
        <w:jc w:val="both"/>
        <w:rPr>
          <w:rFonts w:cs="Arial"/>
          <w:color w:val="000000"/>
          <w:szCs w:val="20"/>
        </w:rPr>
      </w:pPr>
      <w:r w:rsidRPr="00830439">
        <w:rPr>
          <w:rFonts w:cs="Arial"/>
          <w:color w:val="000000"/>
          <w:szCs w:val="20"/>
        </w:rPr>
        <w:t>V poglavju Način ponovne uporabe sredstev so predstavljene možnosti ponovne uporabe sredstev skladno s 44. členom Uredbe (EU) št. 1303/2013.</w:t>
      </w:r>
    </w:p>
    <w:p w14:paraId="3E33243D" w14:textId="77777777" w:rsidR="003E3ED9" w:rsidRPr="00830439" w:rsidRDefault="003E3ED9" w:rsidP="003E3ED9">
      <w:pPr>
        <w:jc w:val="both"/>
        <w:rPr>
          <w:rFonts w:cs="Arial"/>
          <w:color w:val="000000"/>
          <w:szCs w:val="20"/>
        </w:rPr>
      </w:pPr>
    </w:p>
    <w:p w14:paraId="4B020AA8" w14:textId="77777777" w:rsidR="003E3ED9" w:rsidRPr="00830439" w:rsidRDefault="003E3ED9" w:rsidP="003E3ED9">
      <w:pPr>
        <w:jc w:val="both"/>
        <w:rPr>
          <w:rFonts w:cs="Arial"/>
          <w:color w:val="000000"/>
          <w:szCs w:val="20"/>
        </w:rPr>
      </w:pPr>
      <w:r w:rsidRPr="00830439">
        <w:rPr>
          <w:rFonts w:cs="Arial"/>
          <w:color w:val="000000"/>
          <w:szCs w:val="20"/>
        </w:rPr>
        <w:t>V poglavju Obresti od finančnih instrumentov je navedeno, da se obresti in drugi donosi uporabijo za financiranje dejavnosti FI, v skladu z namenom in vsebino OP 2014-2020.</w:t>
      </w:r>
    </w:p>
    <w:p w14:paraId="285FA859" w14:textId="77777777" w:rsidR="003E3ED9" w:rsidRPr="00830439" w:rsidRDefault="003E3ED9" w:rsidP="003E3ED9">
      <w:pPr>
        <w:jc w:val="both"/>
        <w:rPr>
          <w:rFonts w:cs="Arial"/>
          <w:color w:val="000000"/>
          <w:szCs w:val="20"/>
        </w:rPr>
      </w:pPr>
    </w:p>
    <w:p w14:paraId="78CA2596" w14:textId="77777777" w:rsidR="003E3ED9" w:rsidRPr="00830439" w:rsidRDefault="003E3ED9" w:rsidP="003E3ED9">
      <w:pPr>
        <w:jc w:val="both"/>
        <w:rPr>
          <w:rFonts w:cs="Arial"/>
          <w:color w:val="000000"/>
          <w:szCs w:val="20"/>
        </w:rPr>
      </w:pPr>
      <w:r w:rsidRPr="00830439">
        <w:rPr>
          <w:rFonts w:cs="Arial"/>
          <w:color w:val="000000"/>
          <w:szCs w:val="20"/>
        </w:rPr>
        <w:t>V poglavju Pogoji prispevka iz državnega proračuna v finančne instrumente so predstavljeni:</w:t>
      </w:r>
    </w:p>
    <w:p w14:paraId="7E10E1BA"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učinek finančnega vzvoda,</w:t>
      </w:r>
    </w:p>
    <w:p w14:paraId="68B08EAF"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upravljavska provizija,</w:t>
      </w:r>
    </w:p>
    <w:p w14:paraId="585EC1FD"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vodenje evidenc,</w:t>
      </w:r>
    </w:p>
    <w:p w14:paraId="4644EEC3"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hranjenje dokumentacije,</w:t>
      </w:r>
    </w:p>
    <w:p w14:paraId="5D887F3D"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spremljanje državnih pomoči,</w:t>
      </w:r>
    </w:p>
    <w:p w14:paraId="58861D2D"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spremljanje ciljev in kazalnikov,</w:t>
      </w:r>
    </w:p>
    <w:p w14:paraId="2C1A3545"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informiranje in obveščanje,</w:t>
      </w:r>
    </w:p>
    <w:p w14:paraId="047A5D74"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obvladovanje tveganja,</w:t>
      </w:r>
    </w:p>
    <w:p w14:paraId="655FE642" w14:textId="77777777" w:rsidR="003E3ED9" w:rsidRPr="00830439" w:rsidRDefault="003E3ED9" w:rsidP="003E3ED9">
      <w:pPr>
        <w:numPr>
          <w:ilvl w:val="0"/>
          <w:numId w:val="22"/>
        </w:numPr>
        <w:spacing w:line="240" w:lineRule="atLeast"/>
        <w:contextualSpacing/>
        <w:jc w:val="both"/>
        <w:rPr>
          <w:rFonts w:eastAsia="Calibri" w:cs="Arial"/>
          <w:color w:val="000000"/>
          <w:szCs w:val="20"/>
        </w:rPr>
      </w:pPr>
      <w:r w:rsidRPr="00830439">
        <w:rPr>
          <w:rFonts w:eastAsia="Calibri" w:cs="Arial"/>
          <w:color w:val="000000"/>
          <w:szCs w:val="20"/>
        </w:rPr>
        <w:t>strategija izstopa.</w:t>
      </w:r>
    </w:p>
    <w:p w14:paraId="2B1157E1" w14:textId="77777777" w:rsidR="003E3ED9" w:rsidRPr="00830439" w:rsidRDefault="003E3ED9" w:rsidP="003E3ED9">
      <w:pPr>
        <w:jc w:val="both"/>
        <w:rPr>
          <w:rFonts w:cs="Arial"/>
          <w:color w:val="000000"/>
          <w:szCs w:val="20"/>
        </w:rPr>
      </w:pPr>
      <w:r w:rsidRPr="00830439">
        <w:rPr>
          <w:rFonts w:cs="Arial"/>
          <w:color w:val="000000"/>
          <w:szCs w:val="20"/>
        </w:rPr>
        <w:t>V poglavju Politika prekinitve finančnega instrumenta je predvidena možnost prekinitve finančnega instrumenta v obdobju upravičenosti.</w:t>
      </w:r>
    </w:p>
    <w:p w14:paraId="53652DC6" w14:textId="77777777" w:rsidR="003E3ED9" w:rsidRPr="00830439" w:rsidRDefault="003E3ED9" w:rsidP="003E3ED9">
      <w:pPr>
        <w:jc w:val="both"/>
        <w:rPr>
          <w:rFonts w:cs="Arial"/>
          <w:color w:val="000000"/>
          <w:szCs w:val="20"/>
        </w:rPr>
      </w:pPr>
      <w:r w:rsidRPr="00830439">
        <w:rPr>
          <w:rFonts w:cs="Arial"/>
          <w:color w:val="000000"/>
          <w:szCs w:val="20"/>
        </w:rPr>
        <w:t>V poglavju Podlaga za izvajanje revizij je določen nadzor nad skladom skladov.</w:t>
      </w:r>
    </w:p>
    <w:p w14:paraId="6B99F95E" w14:textId="77777777" w:rsidR="003E3ED9" w:rsidRPr="00830439" w:rsidRDefault="003E3ED9" w:rsidP="003E3ED9">
      <w:pPr>
        <w:jc w:val="both"/>
        <w:rPr>
          <w:rFonts w:cs="Arial"/>
          <w:color w:val="000000"/>
          <w:szCs w:val="20"/>
        </w:rPr>
      </w:pPr>
    </w:p>
    <w:p w14:paraId="0D006F55" w14:textId="77777777" w:rsidR="003E3ED9" w:rsidRPr="00830439" w:rsidRDefault="003E3ED9" w:rsidP="003E3ED9">
      <w:pPr>
        <w:jc w:val="both"/>
        <w:rPr>
          <w:rFonts w:cs="Arial"/>
          <w:color w:val="000000"/>
          <w:szCs w:val="20"/>
        </w:rPr>
      </w:pPr>
      <w:r w:rsidRPr="00830439">
        <w:rPr>
          <w:rFonts w:cs="Arial"/>
          <w:color w:val="000000"/>
          <w:szCs w:val="20"/>
        </w:rPr>
        <w:lastRenderedPageBreak/>
        <w:t xml:space="preserve">Vlada Republike Slovenije je na 139. redni seji, 15. 6. 2017, s sklepom št. 30300-4/2017/4 dala soglasje h Ključnim elementom finančnih instrumentov v programskem obdobju 2014–2020 (različica 1.0, 12. 6. 2017), na 150. redni seji, 28. 9. 2017, s sklepom št. 30300-4/2017/8 sprejela prvo spremembo dokumenta (različica 1.1, 24. 8. 2017) in na 72. redni seji dne 28. 4. 2021, s sklepom št. 30300-3/2020/7, drugo spremembo, ki vključuje trajno dodelitev kvote iz finančnega instrumenta </w:t>
      </w:r>
      <w:proofErr w:type="spellStart"/>
      <w:r w:rsidRPr="00830439">
        <w:rPr>
          <w:rFonts w:cs="Arial"/>
          <w:color w:val="000000"/>
          <w:szCs w:val="20"/>
        </w:rPr>
        <w:t>portfeljske</w:t>
      </w:r>
      <w:proofErr w:type="spellEnd"/>
      <w:r w:rsidRPr="00830439">
        <w:rPr>
          <w:rFonts w:cs="Arial"/>
          <w:color w:val="000000"/>
          <w:szCs w:val="20"/>
        </w:rPr>
        <w:t xml:space="preserve"> garancije za RRI za velika podjetja na posojila za RRI (različica 1.2, marec 2021). Na 10. redni seji, 28. 7. 2022, je bila s sklepom št. 30300-1/2022/5 sprejeta različica 1.3, maj 2022, s katero se je uredilo nižanje operacije v delu podpore EU za PN 4.1 EE.</w:t>
      </w:r>
    </w:p>
    <w:p w14:paraId="64BBBDCF" w14:textId="77777777" w:rsidR="003E3ED9" w:rsidRPr="00830439" w:rsidRDefault="003E3ED9" w:rsidP="003E3ED9">
      <w:pPr>
        <w:jc w:val="both"/>
        <w:rPr>
          <w:rFonts w:cs="Arial"/>
          <w:color w:val="000000"/>
          <w:szCs w:val="20"/>
        </w:rPr>
      </w:pPr>
    </w:p>
    <w:p w14:paraId="116D954E" w14:textId="77777777" w:rsidR="003E3ED9" w:rsidRPr="00830439" w:rsidRDefault="003E3ED9" w:rsidP="003E3ED9">
      <w:pPr>
        <w:jc w:val="both"/>
        <w:rPr>
          <w:rFonts w:cs="Arial"/>
          <w:color w:val="000000"/>
          <w:szCs w:val="20"/>
        </w:rPr>
      </w:pPr>
      <w:r w:rsidRPr="00830439">
        <w:rPr>
          <w:rFonts w:cs="Arial"/>
          <w:color w:val="000000"/>
          <w:szCs w:val="20"/>
        </w:rPr>
        <w:t>Z različico 1.4, marec 2023, se urejata trajna prenosa še neporabljenega a že dodeljenega dela podpore za PN 3.1 iz finančnega produkta (</w:t>
      </w:r>
      <w:proofErr w:type="spellStart"/>
      <w:r w:rsidRPr="00830439">
        <w:rPr>
          <w:rFonts w:cs="Arial"/>
          <w:color w:val="000000"/>
          <w:szCs w:val="20"/>
        </w:rPr>
        <w:t>kvazi</w:t>
      </w:r>
      <w:proofErr w:type="spellEnd"/>
      <w:r w:rsidRPr="00830439">
        <w:rPr>
          <w:rFonts w:cs="Arial"/>
          <w:color w:val="000000"/>
          <w:szCs w:val="20"/>
        </w:rPr>
        <w:t xml:space="preserve">)lastniško financiranje na finančni produkt mikrokrediti in znotraj PN 1.2 iz finančnega produkta </w:t>
      </w:r>
      <w:proofErr w:type="spellStart"/>
      <w:r w:rsidRPr="00830439">
        <w:rPr>
          <w:rFonts w:cs="Arial"/>
          <w:color w:val="000000"/>
          <w:szCs w:val="20"/>
        </w:rPr>
        <w:t>portfeljske</w:t>
      </w:r>
      <w:proofErr w:type="spellEnd"/>
      <w:r w:rsidRPr="00830439">
        <w:rPr>
          <w:rFonts w:cs="Arial"/>
          <w:color w:val="000000"/>
          <w:szCs w:val="20"/>
        </w:rPr>
        <w:t xml:space="preserve"> garancije za RRI za MSP na posojila RRI.</w:t>
      </w:r>
    </w:p>
    <w:p w14:paraId="3405826A" w14:textId="77777777" w:rsidR="003E3ED9" w:rsidRPr="00830439" w:rsidRDefault="003E3ED9" w:rsidP="003E3ED9">
      <w:pPr>
        <w:jc w:val="both"/>
        <w:rPr>
          <w:rFonts w:cs="Arial"/>
          <w:color w:val="000000"/>
          <w:szCs w:val="20"/>
        </w:rPr>
      </w:pPr>
    </w:p>
    <w:p w14:paraId="5268F55F" w14:textId="77777777" w:rsidR="003E3ED9" w:rsidRPr="00830439" w:rsidRDefault="003E3ED9" w:rsidP="003E3ED9">
      <w:pPr>
        <w:jc w:val="both"/>
        <w:rPr>
          <w:rFonts w:cs="Arial"/>
          <w:color w:val="000000"/>
          <w:szCs w:val="20"/>
        </w:rPr>
      </w:pPr>
      <w:r w:rsidRPr="00830439">
        <w:rPr>
          <w:rFonts w:cs="Arial"/>
          <w:color w:val="000000"/>
          <w:szCs w:val="20"/>
        </w:rPr>
        <w:t>Skladno s sprejetimi Ključnimi elementi FI in po izdaji Odločitve o podpori neposredni potrditvi operacije Finančni instrumenti v programskem obdobju 2014-2020, s katero je bilo za upravljanje sklada skladov potrjeno financiranje iz sredstev evropske kohezijske politike, je bil s SID banko, d. d., Ljubljana, 24. 11. 2017 sklenjen Sporazum o financiranju operacije Finančni instrumenti v programskem obdobju 2014-2020, s katerim ji je bilo zaupano upravljanje sklada skladov.</w:t>
      </w:r>
    </w:p>
    <w:p w14:paraId="1F9A27B0" w14:textId="77777777" w:rsidR="003E3ED9" w:rsidRPr="002A1F16" w:rsidRDefault="003E3ED9" w:rsidP="003E3ED9">
      <w:pPr>
        <w:spacing w:line="240" w:lineRule="auto"/>
        <w:rPr>
          <w:rFonts w:cs="Arial"/>
          <w:szCs w:val="20"/>
        </w:rPr>
      </w:pPr>
      <w:r w:rsidRPr="002A1F16">
        <w:rPr>
          <w:rFonts w:cs="Arial"/>
          <w:szCs w:val="20"/>
        </w:rPr>
        <w:br w:type="page"/>
      </w:r>
    </w:p>
    <w:p w14:paraId="77F14D2C" w14:textId="77777777" w:rsidR="003E3ED9" w:rsidRPr="00F60B42" w:rsidRDefault="003E3ED9" w:rsidP="003E3ED9">
      <w:pPr>
        <w:spacing w:before="240" w:after="120"/>
        <w:ind w:left="2"/>
        <w:outlineLvl w:val="0"/>
        <w:rPr>
          <w:rFonts w:cs="Arial"/>
          <w:b/>
          <w:color w:val="AACDDB"/>
          <w:szCs w:val="20"/>
        </w:rPr>
      </w:pPr>
      <w:bookmarkStart w:id="5" w:name="_Toc132097814"/>
      <w:r w:rsidRPr="00830439">
        <w:rPr>
          <w:rFonts w:cs="Arial"/>
          <w:b/>
          <w:color w:val="AACDDB"/>
          <w:szCs w:val="20"/>
        </w:rPr>
        <w:lastRenderedPageBreak/>
        <w:t>1. UVOD</w:t>
      </w:r>
      <w:bookmarkEnd w:id="4"/>
      <w:bookmarkEnd w:id="5"/>
    </w:p>
    <w:p w14:paraId="7F2A80B3" w14:textId="77777777" w:rsidR="003E3ED9" w:rsidRPr="00F60B42" w:rsidRDefault="003E3ED9" w:rsidP="003E3ED9">
      <w:pPr>
        <w:jc w:val="both"/>
        <w:rPr>
          <w:rFonts w:cs="Arial"/>
          <w:color w:val="000000"/>
          <w:szCs w:val="20"/>
        </w:rPr>
      </w:pPr>
      <w:r w:rsidRPr="00F60B42">
        <w:rPr>
          <w:rFonts w:cs="Arial"/>
          <w:color w:val="000000"/>
          <w:szCs w:val="20"/>
        </w:rPr>
        <w:t xml:space="preserve">Ključni elementi finančnih instrumentov </w:t>
      </w:r>
      <w:r w:rsidRPr="004005A5">
        <w:rPr>
          <w:rFonts w:cs="Arial"/>
          <w:color w:val="000000"/>
          <w:szCs w:val="20"/>
        </w:rPr>
        <w:t>v programskem obdobju 2014-2020 (v nadaljevanju: KEFI)  predstavljajo (i) izhodišče za izbor upravljavca sklada skladov v Sloveniji za programsko obdobje 2014-2020 skladno s točko b) četrtega odstavka 38. člena Uredbe (EU) št. 1303/2013 na podlagi Zakona o</w:t>
      </w:r>
      <w:r w:rsidRPr="00830439">
        <w:rPr>
          <w:rFonts w:cs="Arial"/>
          <w:color w:val="000000"/>
          <w:szCs w:val="20"/>
        </w:rPr>
        <w:t xml:space="preserve"> javnem naročanju (ZJN-3), (ii) pripravo sporazuma o financiranju med Ministrstvom za gospodarski razvoj in tehnologijo</w:t>
      </w:r>
      <w:r w:rsidRPr="00830439">
        <w:rPr>
          <w:rFonts w:cs="Arial"/>
          <w:color w:val="000000"/>
          <w:szCs w:val="20"/>
          <w:vertAlign w:val="superscript"/>
        </w:rPr>
        <w:footnoteReference w:id="4"/>
      </w:r>
      <w:r w:rsidRPr="00830439">
        <w:rPr>
          <w:rFonts w:cs="Arial"/>
          <w:color w:val="000000"/>
          <w:szCs w:val="20"/>
        </w:rPr>
        <w:t xml:space="preserve"> kot posredniškim organom, in upravljavcem sklada skladov (v nadaljevanju: sporazum o financiranju), (iii) podlago za potrditev operacije s strani OU ter (iv) usmeritve za določitev finančnih produktov. Hkrati predstavljajo Ključni elementi FI osnovo za iz</w:t>
      </w:r>
      <w:r w:rsidRPr="00F60B42">
        <w:rPr>
          <w:rFonts w:cs="Arial"/>
          <w:color w:val="000000"/>
          <w:szCs w:val="20"/>
        </w:rPr>
        <w:t>vajanje finančnih instrumentov po zaključku programskega obdobja skladno z ugotovljenimi vrzelmi financiranja.</w:t>
      </w:r>
    </w:p>
    <w:p w14:paraId="1C984CA3" w14:textId="77777777" w:rsidR="003E3ED9" w:rsidRPr="00F60B42" w:rsidRDefault="003E3ED9" w:rsidP="003E3ED9">
      <w:pPr>
        <w:jc w:val="both"/>
        <w:rPr>
          <w:rFonts w:cs="Arial"/>
          <w:color w:val="000000"/>
          <w:szCs w:val="20"/>
        </w:rPr>
      </w:pPr>
    </w:p>
    <w:p w14:paraId="19C0DB90" w14:textId="77777777" w:rsidR="003E3ED9" w:rsidRPr="00830439" w:rsidRDefault="003E3ED9" w:rsidP="003E3ED9">
      <w:pPr>
        <w:jc w:val="both"/>
        <w:rPr>
          <w:rFonts w:cs="Arial"/>
          <w:color w:val="000000"/>
          <w:szCs w:val="20"/>
        </w:rPr>
      </w:pPr>
      <w:r w:rsidRPr="00830439">
        <w:rPr>
          <w:rFonts w:cs="Arial"/>
          <w:color w:val="000000"/>
          <w:szCs w:val="20"/>
        </w:rPr>
        <w:t xml:space="preserve">Podlago za pripravo KEFI predstavljata (i) Predhodna ocena finančnih instrumentov v Sloveniji - Končno poročilo z dne 27. 11. 2015 (v nadaljevanju Predhodna ocena FI), ki jo je v skladu s 37. členom Uredbe (EU) št. 1303/2013 v sodelovanju z organoma upravljanja: Službo vlade za razvoj in evropsko kohezijsko politiko (pristojen za kohezijsko politiko) in Ministrstvom za kmetijstvo, gozdarstvo in prehrano (pristojen za kmetijsko politiko), izdelalo podjetje PWC </w:t>
      </w:r>
      <w:proofErr w:type="spellStart"/>
      <w:r w:rsidRPr="00830439">
        <w:rPr>
          <w:rFonts w:cs="Arial"/>
          <w:color w:val="000000"/>
          <w:szCs w:val="20"/>
        </w:rPr>
        <w:t>d.o.o</w:t>
      </w:r>
      <w:proofErr w:type="spellEnd"/>
      <w:r w:rsidRPr="00830439">
        <w:rPr>
          <w:rFonts w:cs="Arial"/>
          <w:color w:val="000000"/>
          <w:szCs w:val="20"/>
        </w:rPr>
        <w:t>. Slovenija, in (ii) mnenje Evropske investicijske banke z dne 13. 7. 2016 k Predhodni oceni FI, s katerim se je Predhodna ocena FI posodobila.</w:t>
      </w:r>
    </w:p>
    <w:p w14:paraId="16B3EEB1" w14:textId="77777777" w:rsidR="003E3ED9" w:rsidRPr="00830439" w:rsidRDefault="003E3ED9" w:rsidP="003E3ED9">
      <w:pPr>
        <w:jc w:val="both"/>
        <w:rPr>
          <w:rFonts w:cs="Arial"/>
          <w:color w:val="000000"/>
          <w:szCs w:val="20"/>
        </w:rPr>
      </w:pPr>
    </w:p>
    <w:p w14:paraId="0FD8CBCE" w14:textId="77777777" w:rsidR="003E3ED9" w:rsidRPr="00830439" w:rsidRDefault="003E3ED9" w:rsidP="003E3ED9">
      <w:pPr>
        <w:jc w:val="both"/>
        <w:rPr>
          <w:rFonts w:cs="Arial"/>
          <w:color w:val="000000"/>
          <w:szCs w:val="20"/>
        </w:rPr>
      </w:pPr>
      <w:r w:rsidRPr="00830439">
        <w:rPr>
          <w:rFonts w:cs="Arial"/>
          <w:color w:val="000000"/>
          <w:szCs w:val="20"/>
        </w:rPr>
        <w:t>KEFI, vključno z naložbeno strategijo je pripravilo Ministrstvo za gospodarski razvoj in tehnologijo skupaj s sodelujočimi ministrstvi, Ministrstvom za infrastrukturo in Ministrstvom za okolje, ter organom upravljanja Službo Vlade RS za razvoj in evropsko kohezijsko politiko in Ministrstvom za finance (MF). Del Ključnih elementov FI, ki se nanaša na urbani razvoj, je usklajen tudi z Združenjem mestnih občin kot posredniškim organom za urbani razvoj.</w:t>
      </w:r>
    </w:p>
    <w:p w14:paraId="0B0F469A" w14:textId="77777777" w:rsidR="003E3ED9" w:rsidRPr="00830439" w:rsidRDefault="003E3ED9" w:rsidP="003E3ED9">
      <w:pPr>
        <w:jc w:val="both"/>
        <w:rPr>
          <w:rFonts w:cs="Arial"/>
          <w:color w:val="000000"/>
          <w:szCs w:val="20"/>
        </w:rPr>
      </w:pPr>
    </w:p>
    <w:p w14:paraId="64142E3A" w14:textId="77777777" w:rsidR="003E3ED9" w:rsidRPr="00830439" w:rsidRDefault="003E3ED9" w:rsidP="003E3ED9">
      <w:pPr>
        <w:jc w:val="both"/>
        <w:rPr>
          <w:rFonts w:cs="Arial"/>
          <w:color w:val="000000"/>
          <w:szCs w:val="20"/>
        </w:rPr>
      </w:pPr>
      <w:r w:rsidRPr="00830439">
        <w:rPr>
          <w:rFonts w:cs="Arial"/>
          <w:color w:val="000000"/>
          <w:szCs w:val="20"/>
        </w:rPr>
        <w:t xml:space="preserve">S KEFI se je skladno s 37.b členom Uredbe o porabi sredstev evropske kohezijske politike v Republiki Sloveniji v programskem obdobju 2014-2020 za cilj naložbe za rast in delovna mesta (Uradni list RS, št. 29/15, 36/16,58/16, 69/16 – </w:t>
      </w:r>
      <w:proofErr w:type="spellStart"/>
      <w:r w:rsidRPr="00830439">
        <w:rPr>
          <w:rFonts w:cs="Arial"/>
          <w:color w:val="000000"/>
          <w:szCs w:val="20"/>
        </w:rPr>
        <w:t>popr</w:t>
      </w:r>
      <w:proofErr w:type="spellEnd"/>
      <w:r w:rsidRPr="00830439">
        <w:rPr>
          <w:rFonts w:cs="Arial"/>
          <w:color w:val="000000"/>
          <w:szCs w:val="20"/>
        </w:rPr>
        <w:t>., 15/17, 69/17, 67/18, 51/21 in 208/21) seznanil Usmerjevalni odbor za finančne instrumente. Skladno s to uredbo deluje Usmerjevalni odbor kot posvetovalni organ posredniškega organa, pristojnega za izvajanje finančnih instrumentov, h katerim prispevajo sredstva ESIF skladov.</w:t>
      </w:r>
    </w:p>
    <w:p w14:paraId="753E4E52" w14:textId="77777777" w:rsidR="003E3ED9" w:rsidRPr="00830439" w:rsidRDefault="003E3ED9" w:rsidP="003E3ED9">
      <w:pPr>
        <w:jc w:val="both"/>
        <w:rPr>
          <w:rFonts w:cs="Arial"/>
          <w:color w:val="000000"/>
          <w:szCs w:val="20"/>
        </w:rPr>
      </w:pPr>
    </w:p>
    <w:p w14:paraId="724F852A" w14:textId="77777777" w:rsidR="003E3ED9" w:rsidRPr="00830439" w:rsidRDefault="003E3ED9" w:rsidP="003E3ED9">
      <w:pPr>
        <w:jc w:val="both"/>
        <w:rPr>
          <w:rFonts w:cs="Arial"/>
          <w:color w:val="000000"/>
          <w:szCs w:val="20"/>
        </w:rPr>
      </w:pPr>
      <w:r w:rsidRPr="00830439">
        <w:rPr>
          <w:rFonts w:cs="Arial"/>
          <w:color w:val="000000"/>
          <w:szCs w:val="20"/>
        </w:rPr>
        <w:t xml:space="preserve">Finančni instrumenti (v nadaljevanju: FI) se uporabljajo v skladu z načeli dobrega finančnega </w:t>
      </w:r>
      <w:proofErr w:type="spellStart"/>
      <w:r w:rsidRPr="00830439">
        <w:rPr>
          <w:rFonts w:cs="Arial"/>
          <w:color w:val="000000"/>
          <w:szCs w:val="20"/>
        </w:rPr>
        <w:t>poslovodenja</w:t>
      </w:r>
      <w:proofErr w:type="spellEnd"/>
      <w:r w:rsidRPr="00830439">
        <w:rPr>
          <w:rFonts w:cs="Arial"/>
          <w:color w:val="000000"/>
          <w:szCs w:val="20"/>
        </w:rPr>
        <w:t>, preglednosti, sorazmernosti, nediskriminacije, enakega obravnavanja in subsidiarnosti, zato FI:</w:t>
      </w:r>
    </w:p>
    <w:p w14:paraId="6FB49351" w14:textId="77777777" w:rsidR="003E3ED9" w:rsidRPr="00830439" w:rsidRDefault="003E3ED9" w:rsidP="003E3ED9">
      <w:pPr>
        <w:numPr>
          <w:ilvl w:val="0"/>
          <w:numId w:val="23"/>
        </w:numPr>
        <w:spacing w:line="240" w:lineRule="atLeast"/>
        <w:contextualSpacing/>
        <w:jc w:val="both"/>
        <w:rPr>
          <w:rFonts w:eastAsia="Calibri" w:cs="Arial"/>
          <w:color w:val="000000"/>
          <w:szCs w:val="20"/>
        </w:rPr>
      </w:pPr>
      <w:r w:rsidRPr="00830439">
        <w:rPr>
          <w:rFonts w:eastAsia="Calibri" w:cs="Arial"/>
          <w:color w:val="000000"/>
          <w:szCs w:val="20"/>
        </w:rPr>
        <w:t>obravnavajo nedelovanje trga ali naložbene okoliščine, ki niso optimalne;</w:t>
      </w:r>
    </w:p>
    <w:p w14:paraId="7D847C63" w14:textId="77777777" w:rsidR="003E3ED9" w:rsidRPr="00830439" w:rsidRDefault="003E3ED9" w:rsidP="003E3ED9">
      <w:pPr>
        <w:numPr>
          <w:ilvl w:val="0"/>
          <w:numId w:val="23"/>
        </w:numPr>
        <w:spacing w:line="240" w:lineRule="atLeast"/>
        <w:contextualSpacing/>
        <w:jc w:val="both"/>
        <w:rPr>
          <w:rFonts w:eastAsia="Calibri" w:cs="Arial"/>
          <w:color w:val="000000"/>
          <w:szCs w:val="20"/>
        </w:rPr>
      </w:pPr>
      <w:r w:rsidRPr="00830439">
        <w:rPr>
          <w:rFonts w:eastAsia="Calibri" w:cs="Arial"/>
          <w:color w:val="000000"/>
          <w:szCs w:val="20"/>
        </w:rPr>
        <w:t>so na voljo za naložbe za katere je bilo dokazano, da so finančno obstojne, vendar zanje na trgu ni dovolj finančnih sredstev;</w:t>
      </w:r>
    </w:p>
    <w:p w14:paraId="5EA4ECCE" w14:textId="77777777" w:rsidR="003E3ED9" w:rsidRPr="00830439" w:rsidRDefault="003E3ED9" w:rsidP="003E3ED9">
      <w:pPr>
        <w:numPr>
          <w:ilvl w:val="0"/>
          <w:numId w:val="23"/>
        </w:numPr>
        <w:spacing w:line="240" w:lineRule="atLeast"/>
        <w:contextualSpacing/>
        <w:jc w:val="both"/>
        <w:rPr>
          <w:rFonts w:eastAsia="Calibri" w:cs="Arial"/>
          <w:color w:val="000000"/>
          <w:szCs w:val="20"/>
        </w:rPr>
      </w:pPr>
      <w:r w:rsidRPr="00830439">
        <w:rPr>
          <w:rFonts w:eastAsia="Calibri" w:cs="Arial"/>
          <w:color w:val="000000"/>
          <w:szCs w:val="20"/>
        </w:rPr>
        <w:t xml:space="preserve">zagotavljajo </w:t>
      </w:r>
      <w:proofErr w:type="spellStart"/>
      <w:r w:rsidRPr="00830439">
        <w:rPr>
          <w:rFonts w:eastAsia="Calibri" w:cs="Arial"/>
          <w:color w:val="000000"/>
          <w:szCs w:val="20"/>
        </w:rPr>
        <w:t>dodatnost</w:t>
      </w:r>
      <w:proofErr w:type="spellEnd"/>
      <w:r w:rsidRPr="00830439">
        <w:rPr>
          <w:rFonts w:eastAsia="Calibri" w:cs="Arial"/>
          <w:color w:val="000000"/>
          <w:szCs w:val="20"/>
        </w:rPr>
        <w:t xml:space="preserve">: ne smejo nadomestiti zasebnega financiranja; </w:t>
      </w:r>
    </w:p>
    <w:p w14:paraId="781D8B00" w14:textId="77777777" w:rsidR="003E3ED9" w:rsidRPr="00830439" w:rsidRDefault="003E3ED9" w:rsidP="003E3ED9">
      <w:pPr>
        <w:numPr>
          <w:ilvl w:val="0"/>
          <w:numId w:val="23"/>
        </w:numPr>
        <w:spacing w:line="240" w:lineRule="atLeast"/>
        <w:contextualSpacing/>
        <w:jc w:val="both"/>
        <w:rPr>
          <w:rFonts w:eastAsia="Calibri" w:cs="Arial"/>
          <w:color w:val="000000"/>
          <w:szCs w:val="20"/>
        </w:rPr>
      </w:pPr>
      <w:r w:rsidRPr="00830439">
        <w:rPr>
          <w:rFonts w:eastAsia="Calibri" w:cs="Arial"/>
          <w:color w:val="000000"/>
          <w:szCs w:val="20"/>
        </w:rPr>
        <w:t>ne izkrivljajo konkurence na trgu in dosledno upoštevajo pravila o državnih pomočeh;</w:t>
      </w:r>
    </w:p>
    <w:p w14:paraId="206A7BFC" w14:textId="77777777" w:rsidR="003E3ED9" w:rsidRPr="00830439" w:rsidRDefault="003E3ED9" w:rsidP="003E3ED9">
      <w:pPr>
        <w:numPr>
          <w:ilvl w:val="0"/>
          <w:numId w:val="23"/>
        </w:numPr>
        <w:spacing w:line="240" w:lineRule="atLeast"/>
        <w:contextualSpacing/>
        <w:jc w:val="both"/>
        <w:rPr>
          <w:rFonts w:eastAsia="Calibri" w:cs="Arial"/>
          <w:color w:val="000000"/>
          <w:szCs w:val="20"/>
        </w:rPr>
      </w:pPr>
      <w:r w:rsidRPr="00830439">
        <w:rPr>
          <w:rFonts w:eastAsia="Calibri" w:cs="Arial"/>
          <w:color w:val="000000"/>
          <w:szCs w:val="20"/>
        </w:rPr>
        <w:t>zagotavljajo vzvod: aktivirati morajo udeležbo zasebnih vlagateljev in finančnih institucij na podlagi ustrezne delitve tveganja.</w:t>
      </w:r>
    </w:p>
    <w:p w14:paraId="30232520" w14:textId="77777777" w:rsidR="003E3ED9" w:rsidRPr="00830439" w:rsidRDefault="003E3ED9" w:rsidP="003E3ED9">
      <w:pPr>
        <w:jc w:val="both"/>
        <w:rPr>
          <w:rFonts w:cs="Arial"/>
          <w:color w:val="000000"/>
          <w:szCs w:val="20"/>
        </w:rPr>
      </w:pPr>
      <w:r w:rsidRPr="00830439">
        <w:rPr>
          <w:rFonts w:cs="Arial"/>
          <w:color w:val="000000"/>
          <w:szCs w:val="20"/>
        </w:rPr>
        <w:t>FI se bodo izvajali v naslednjih oblikah :</w:t>
      </w:r>
    </w:p>
    <w:p w14:paraId="4F540767" w14:textId="77777777" w:rsidR="003E3ED9" w:rsidRPr="00830439" w:rsidRDefault="003E3ED9" w:rsidP="003E3ED9">
      <w:pPr>
        <w:numPr>
          <w:ilvl w:val="0"/>
          <w:numId w:val="24"/>
        </w:numPr>
        <w:spacing w:line="240" w:lineRule="atLeast"/>
        <w:contextualSpacing/>
        <w:jc w:val="both"/>
        <w:rPr>
          <w:rFonts w:eastAsia="Calibri" w:cs="Arial"/>
          <w:color w:val="000000"/>
          <w:szCs w:val="20"/>
        </w:rPr>
      </w:pPr>
      <w:r w:rsidRPr="00830439">
        <w:rPr>
          <w:rFonts w:eastAsia="Calibri" w:cs="Arial"/>
          <w:color w:val="000000"/>
          <w:szCs w:val="20"/>
        </w:rPr>
        <w:t xml:space="preserve">instrumenti lastniškega financiranja (lastniški kapital, </w:t>
      </w:r>
      <w:proofErr w:type="spellStart"/>
      <w:r w:rsidRPr="00830439">
        <w:rPr>
          <w:rFonts w:eastAsia="Calibri" w:cs="Arial"/>
          <w:color w:val="000000"/>
          <w:szCs w:val="20"/>
        </w:rPr>
        <w:t>kvazi</w:t>
      </w:r>
      <w:proofErr w:type="spellEnd"/>
      <w:r w:rsidRPr="00830439">
        <w:rPr>
          <w:rFonts w:eastAsia="Calibri" w:cs="Arial"/>
          <w:color w:val="000000"/>
          <w:szCs w:val="20"/>
        </w:rPr>
        <w:t>-lastniški kapital itd.),</w:t>
      </w:r>
    </w:p>
    <w:p w14:paraId="65ACDEE5" w14:textId="77777777" w:rsidR="003E3ED9" w:rsidRPr="00830439" w:rsidRDefault="003E3ED9" w:rsidP="003E3ED9">
      <w:pPr>
        <w:numPr>
          <w:ilvl w:val="0"/>
          <w:numId w:val="24"/>
        </w:numPr>
        <w:spacing w:line="240" w:lineRule="atLeast"/>
        <w:contextualSpacing/>
        <w:jc w:val="both"/>
        <w:rPr>
          <w:rFonts w:eastAsia="Calibri" w:cs="Arial"/>
          <w:color w:val="000000"/>
          <w:szCs w:val="20"/>
        </w:rPr>
      </w:pPr>
      <w:r w:rsidRPr="00830439">
        <w:rPr>
          <w:rFonts w:eastAsia="Calibri" w:cs="Arial"/>
          <w:color w:val="000000"/>
          <w:szCs w:val="20"/>
        </w:rPr>
        <w:t>instrumenti dolžniškega financiranja (garancije, krediti itd.),</w:t>
      </w:r>
    </w:p>
    <w:p w14:paraId="33EFE749" w14:textId="77777777" w:rsidR="003E3ED9" w:rsidRPr="00830439" w:rsidRDefault="003E3ED9" w:rsidP="003E3ED9">
      <w:pPr>
        <w:jc w:val="both"/>
        <w:rPr>
          <w:rFonts w:cs="Arial"/>
          <w:color w:val="000000"/>
          <w:szCs w:val="20"/>
        </w:rPr>
      </w:pPr>
      <w:r w:rsidRPr="00830439">
        <w:rPr>
          <w:rFonts w:cs="Arial"/>
          <w:color w:val="000000"/>
          <w:szCs w:val="20"/>
        </w:rPr>
        <w:t>ki se bodo lahko kombinirali tudi z nepovratnimi viri.</w:t>
      </w:r>
    </w:p>
    <w:p w14:paraId="1588AB2C" w14:textId="77777777" w:rsidR="003E3ED9" w:rsidRPr="00830439" w:rsidRDefault="003E3ED9" w:rsidP="003E3ED9">
      <w:pPr>
        <w:jc w:val="both"/>
        <w:rPr>
          <w:rFonts w:cs="Arial"/>
          <w:color w:val="000000"/>
          <w:szCs w:val="20"/>
        </w:rPr>
      </w:pPr>
    </w:p>
    <w:p w14:paraId="371B6DAF" w14:textId="77777777" w:rsidR="003E3ED9" w:rsidRPr="00830439" w:rsidRDefault="003E3ED9" w:rsidP="003E3ED9">
      <w:pPr>
        <w:jc w:val="both"/>
        <w:rPr>
          <w:rFonts w:cs="Arial"/>
          <w:color w:val="000000"/>
          <w:szCs w:val="20"/>
        </w:rPr>
      </w:pPr>
      <w:r w:rsidRPr="00830439">
        <w:rPr>
          <w:rFonts w:cs="Arial"/>
          <w:color w:val="000000"/>
          <w:szCs w:val="20"/>
        </w:rPr>
        <w:t>Sredstva za izvajanje FI v okviru sklada skladov se lahko zagotovijo iz različnih virov:</w:t>
      </w:r>
    </w:p>
    <w:p w14:paraId="324B9CFB"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lastRenderedPageBreak/>
        <w:t>sredstev ESIF skladov,</w:t>
      </w:r>
    </w:p>
    <w:p w14:paraId="19D20AD3"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t>nacionalnih virov,</w:t>
      </w:r>
    </w:p>
    <w:p w14:paraId="29F5F8A0"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t>drugih EU virov (npr. viri COSME, Obzorje 2020, Evropski sklad za strateške investicije (EFSI), EASI itd.),</w:t>
      </w:r>
    </w:p>
    <w:p w14:paraId="5C4FDFE6"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t>lastnih virov upravljavca sklada skladov,</w:t>
      </w:r>
    </w:p>
    <w:p w14:paraId="7F4D6938"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t>lastnih virov finančnih posrednikov in</w:t>
      </w:r>
    </w:p>
    <w:p w14:paraId="57CA9469" w14:textId="77777777" w:rsidR="003E3ED9" w:rsidRPr="00830439" w:rsidRDefault="003E3ED9" w:rsidP="003E3ED9">
      <w:pPr>
        <w:numPr>
          <w:ilvl w:val="0"/>
          <w:numId w:val="25"/>
        </w:numPr>
        <w:spacing w:line="240" w:lineRule="atLeast"/>
        <w:contextualSpacing/>
        <w:jc w:val="both"/>
        <w:rPr>
          <w:rFonts w:eastAsia="Calibri" w:cs="Arial"/>
          <w:color w:val="000000"/>
          <w:szCs w:val="20"/>
        </w:rPr>
      </w:pPr>
      <w:r w:rsidRPr="00830439">
        <w:rPr>
          <w:rFonts w:eastAsia="Calibri" w:cs="Arial"/>
          <w:color w:val="000000"/>
          <w:szCs w:val="20"/>
        </w:rPr>
        <w:t>drugih virov.</w:t>
      </w:r>
    </w:p>
    <w:p w14:paraId="11AC5EC8" w14:textId="77777777" w:rsidR="003E3ED9" w:rsidRPr="00830439" w:rsidRDefault="003E3ED9" w:rsidP="003E3ED9">
      <w:pPr>
        <w:jc w:val="both"/>
        <w:rPr>
          <w:rFonts w:cs="Arial"/>
          <w:color w:val="000000"/>
          <w:szCs w:val="20"/>
        </w:rPr>
      </w:pPr>
      <w:r w:rsidRPr="00830439">
        <w:rPr>
          <w:rFonts w:cs="Arial"/>
          <w:color w:val="000000"/>
          <w:szCs w:val="20"/>
        </w:rPr>
        <w:t>Sredstva, ki se vrnejo finančnim instrumentom na ločen(e) podračun(e), se ponovno uporabijo za namene skladno s 44. členom Uredbe (EU) št. 1303/2013.</w:t>
      </w:r>
    </w:p>
    <w:p w14:paraId="1CBCE1F2" w14:textId="77777777" w:rsidR="003E3ED9" w:rsidRPr="00830439" w:rsidRDefault="003E3ED9" w:rsidP="003E3ED9">
      <w:pPr>
        <w:jc w:val="both"/>
        <w:rPr>
          <w:rFonts w:cs="Arial"/>
          <w:color w:val="000000"/>
          <w:szCs w:val="20"/>
        </w:rPr>
      </w:pPr>
    </w:p>
    <w:p w14:paraId="1534B8BD" w14:textId="77777777" w:rsidR="003E3ED9" w:rsidRPr="00830439" w:rsidRDefault="003E3ED9" w:rsidP="003E3ED9">
      <w:pPr>
        <w:jc w:val="both"/>
        <w:rPr>
          <w:rFonts w:cs="Arial"/>
          <w:color w:val="000000"/>
          <w:szCs w:val="20"/>
        </w:rPr>
      </w:pPr>
      <w:r w:rsidRPr="00830439">
        <w:rPr>
          <w:rFonts w:cs="Arial"/>
          <w:color w:val="000000"/>
          <w:szCs w:val="20"/>
        </w:rPr>
        <w:t xml:space="preserve">Predlagani finančni produkti so: mikrokrediti, </w:t>
      </w:r>
      <w:proofErr w:type="spellStart"/>
      <w:r w:rsidRPr="00830439">
        <w:rPr>
          <w:rFonts w:cs="Arial"/>
          <w:color w:val="000000"/>
          <w:szCs w:val="20"/>
        </w:rPr>
        <w:t>mikrogarancije</w:t>
      </w:r>
      <w:proofErr w:type="spellEnd"/>
      <w:r w:rsidRPr="00830439">
        <w:rPr>
          <w:rFonts w:cs="Arial"/>
          <w:color w:val="000000"/>
          <w:szCs w:val="20"/>
        </w:rPr>
        <w:t xml:space="preserve">, krediti, garancijske sheme oz. </w:t>
      </w:r>
      <w:proofErr w:type="spellStart"/>
      <w:r w:rsidRPr="00830439">
        <w:rPr>
          <w:rFonts w:cs="Arial"/>
          <w:color w:val="000000"/>
          <w:szCs w:val="20"/>
        </w:rPr>
        <w:t>portfeljske</w:t>
      </w:r>
      <w:proofErr w:type="spellEnd"/>
      <w:r w:rsidRPr="00830439">
        <w:rPr>
          <w:rFonts w:cs="Arial"/>
          <w:color w:val="000000"/>
          <w:szCs w:val="20"/>
        </w:rPr>
        <w:t xml:space="preserve"> garancije, instrumenti lastniškega financiranja.</w:t>
      </w:r>
    </w:p>
    <w:p w14:paraId="229FEA80" w14:textId="77777777" w:rsidR="003E3ED9" w:rsidRPr="00830439" w:rsidRDefault="003E3ED9" w:rsidP="003E3ED9">
      <w:pPr>
        <w:jc w:val="both"/>
        <w:rPr>
          <w:rFonts w:cs="Arial"/>
          <w:color w:val="000000"/>
          <w:szCs w:val="20"/>
        </w:rPr>
      </w:pPr>
    </w:p>
    <w:p w14:paraId="6BF4010C" w14:textId="77777777" w:rsidR="003E3ED9" w:rsidRPr="00F60B42" w:rsidRDefault="003E3ED9" w:rsidP="003E3ED9">
      <w:pPr>
        <w:jc w:val="both"/>
        <w:rPr>
          <w:rFonts w:cs="Arial"/>
          <w:color w:val="000000"/>
          <w:szCs w:val="20"/>
        </w:rPr>
      </w:pPr>
      <w:r w:rsidRPr="00830439">
        <w:rPr>
          <w:rFonts w:cs="Arial"/>
          <w:color w:val="000000"/>
          <w:szCs w:val="20"/>
        </w:rPr>
        <w:t>Ključni deležniki pri FI so</w:t>
      </w:r>
      <w:r w:rsidRPr="00830439">
        <w:rPr>
          <w:rFonts w:cs="Arial"/>
          <w:color w:val="000000"/>
          <w:szCs w:val="20"/>
          <w:vertAlign w:val="superscript"/>
        </w:rPr>
        <w:footnoteReference w:id="5"/>
      </w:r>
      <w:r w:rsidRPr="00830439">
        <w:rPr>
          <w:rFonts w:cs="Arial"/>
          <w:color w:val="000000"/>
          <w:szCs w:val="20"/>
        </w:rPr>
        <w:t>:</w:t>
      </w:r>
    </w:p>
    <w:p w14:paraId="0AD90D51" w14:textId="77777777" w:rsidR="003E3ED9" w:rsidRPr="00F60B42" w:rsidRDefault="003E3ED9" w:rsidP="003E3ED9">
      <w:pPr>
        <w:numPr>
          <w:ilvl w:val="0"/>
          <w:numId w:val="26"/>
        </w:numPr>
        <w:spacing w:line="240" w:lineRule="atLeast"/>
        <w:contextualSpacing/>
        <w:jc w:val="both"/>
        <w:rPr>
          <w:rFonts w:eastAsia="Calibri" w:cs="Arial"/>
          <w:color w:val="000000"/>
          <w:szCs w:val="20"/>
        </w:rPr>
      </w:pPr>
      <w:r w:rsidRPr="00F60B42">
        <w:rPr>
          <w:rFonts w:eastAsia="Calibri" w:cs="Arial"/>
          <w:color w:val="000000"/>
          <w:szCs w:val="20"/>
        </w:rPr>
        <w:t>Ministrstvo za gospodarstvo, turizem in šport (v nadaljevanju: MGTŠ), kot pristojni posredniški organ (v nadaljevanju: PO),</w:t>
      </w:r>
    </w:p>
    <w:p w14:paraId="43E09BE4"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Ministrstvo za okolje, podnebje in energijo (v nadaljevanju: MOPE), kot sodelujoče ministrstvo,</w:t>
      </w:r>
    </w:p>
    <w:p w14:paraId="1AC94DE6"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Ministrstvo za naravne vire in prostor (v nadaljevanju: MNVP), kot sodelujoče ministrstvo,</w:t>
      </w:r>
    </w:p>
    <w:p w14:paraId="37BE42C0"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Združenje mestnih občin Slovenije (v nadaljevanju: ZMOS), kot posredniški organ za celostne teritorialne naložbe,</w:t>
      </w:r>
    </w:p>
    <w:p w14:paraId="1913A38F"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Usmerjevalni odbor za finančne instrumente, kot posvetovalno telo PO,</w:t>
      </w:r>
    </w:p>
    <w:p w14:paraId="21765654"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Ministrstvo za kohezijsko politiko in regionalni razvoj, kot organ upravljanja (v nadaljevanju: OU),</w:t>
      </w:r>
    </w:p>
    <w:p w14:paraId="53DAA2E4"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Ministrstvo za finance, organ za potrjevanje (v nadaljevanju MF-CA),</w:t>
      </w:r>
    </w:p>
    <w:p w14:paraId="05A7DE85"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Urad RS za nadzor proračuna, kot revizijski organ,</w:t>
      </w:r>
    </w:p>
    <w:p w14:paraId="1410580E"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upravljavec sklada skladov kot upravičenec, ki (i) za izvajanje FI izbere finančne posrednike ali (ii) izjemoma sam nastopa kot neposredni izvajalec FI,</w:t>
      </w:r>
    </w:p>
    <w:p w14:paraId="520ECC5A"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finančni posredniki, ki izvajajo FI,</w:t>
      </w:r>
    </w:p>
    <w:p w14:paraId="1CC28C89" w14:textId="77777777" w:rsidR="003E3ED9" w:rsidRPr="00830439" w:rsidRDefault="003E3ED9" w:rsidP="003E3ED9">
      <w:pPr>
        <w:numPr>
          <w:ilvl w:val="0"/>
          <w:numId w:val="26"/>
        </w:numPr>
        <w:spacing w:line="240" w:lineRule="atLeast"/>
        <w:contextualSpacing/>
        <w:jc w:val="both"/>
        <w:rPr>
          <w:rFonts w:eastAsia="Calibri" w:cs="Arial"/>
          <w:color w:val="000000"/>
          <w:szCs w:val="20"/>
        </w:rPr>
      </w:pPr>
      <w:r w:rsidRPr="00830439">
        <w:rPr>
          <w:rFonts w:eastAsia="Calibri" w:cs="Arial"/>
          <w:color w:val="000000"/>
          <w:szCs w:val="20"/>
        </w:rPr>
        <w:t>končni prejemniki, ki prejmejo finančno podporo iz FI.</w:t>
      </w:r>
    </w:p>
    <w:p w14:paraId="6E963690" w14:textId="77777777" w:rsidR="003E3ED9" w:rsidRPr="00830439" w:rsidRDefault="003E3ED9" w:rsidP="003E3ED9">
      <w:pPr>
        <w:jc w:val="both"/>
        <w:rPr>
          <w:rFonts w:cs="Arial"/>
          <w:color w:val="000000"/>
          <w:szCs w:val="20"/>
        </w:rPr>
      </w:pPr>
      <w:r w:rsidRPr="00830439">
        <w:rPr>
          <w:rFonts w:cs="Arial"/>
          <w:color w:val="000000"/>
          <w:szCs w:val="20"/>
        </w:rPr>
        <w:t>Za namen priprave izvedbe predlaganih FI preko sklada skladov in naložbene strategije je potrebno izvesti preverjanje na trgu (</w:t>
      </w:r>
      <w:proofErr w:type="spellStart"/>
      <w:r w:rsidRPr="00830439">
        <w:rPr>
          <w:rFonts w:cs="Arial"/>
          <w:color w:val="000000"/>
          <w:szCs w:val="20"/>
        </w:rPr>
        <w:t>t.i</w:t>
      </w:r>
      <w:proofErr w:type="spellEnd"/>
      <w:r w:rsidRPr="00830439">
        <w:rPr>
          <w:rFonts w:cs="Arial"/>
          <w:color w:val="000000"/>
          <w:szCs w:val="20"/>
        </w:rPr>
        <w:t>. market test), ki ga izvede pravna oseba, ki ji bo PO posredoval poziv za predložitev vloge za imenovanje upravljavca sklada skladov. Z njim in z uporabo podatkov iz Predhodne ocene FI ter Analize EIB ugotovi interes za izvajanje FI predvsem pa pod kakšnimi pogoji bi bili finančni posredniki pripravljeni nasloviti ugotovljene tržne vrzeli. Na ta način se bodo opredelili okvirji in pogoji, pod katerimi bi se lahko plasirala sredstva končnim prejemnikom. Pri tem upošteva usposobljenost finančnih posrednikov za izvajanje FI.</w:t>
      </w:r>
    </w:p>
    <w:p w14:paraId="13B82781" w14:textId="77777777" w:rsidR="003E3ED9" w:rsidRPr="00830439" w:rsidRDefault="003E3ED9" w:rsidP="003E3ED9">
      <w:pPr>
        <w:jc w:val="both"/>
        <w:rPr>
          <w:rFonts w:cs="Arial"/>
          <w:color w:val="000000"/>
          <w:szCs w:val="20"/>
        </w:rPr>
      </w:pPr>
    </w:p>
    <w:p w14:paraId="1AD036A3" w14:textId="77777777" w:rsidR="003E3ED9" w:rsidRPr="00830439" w:rsidRDefault="003E3ED9" w:rsidP="003E3ED9">
      <w:pPr>
        <w:jc w:val="both"/>
        <w:rPr>
          <w:rFonts w:cs="Arial"/>
          <w:color w:val="000000"/>
          <w:szCs w:val="20"/>
        </w:rPr>
      </w:pPr>
      <w:r w:rsidRPr="00830439">
        <w:rPr>
          <w:rFonts w:cs="Arial"/>
          <w:color w:val="000000"/>
          <w:szCs w:val="20"/>
        </w:rPr>
        <w:t>Upravljavska provizija se dogovori z upravljavcem sklada skladov upoštevaje dogovorjene aktivnosti in obenem ne presega pragov iz 13. člena 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(v nadaljevanju: Delegirana uredba Komisije (EU) št. 480/2014).</w:t>
      </w:r>
    </w:p>
    <w:p w14:paraId="40CCDC96" w14:textId="77777777" w:rsidR="003E3ED9" w:rsidRPr="00830439" w:rsidRDefault="003E3ED9" w:rsidP="003E3ED9">
      <w:pPr>
        <w:jc w:val="both"/>
        <w:rPr>
          <w:rFonts w:cs="Arial"/>
          <w:color w:val="000000"/>
          <w:szCs w:val="20"/>
        </w:rPr>
      </w:pPr>
    </w:p>
    <w:p w14:paraId="0E374A60" w14:textId="77777777" w:rsidR="003E3ED9" w:rsidRPr="00830439" w:rsidRDefault="003E3ED9" w:rsidP="003E3ED9">
      <w:pPr>
        <w:jc w:val="both"/>
        <w:rPr>
          <w:rFonts w:cs="Arial"/>
          <w:color w:val="000000"/>
          <w:szCs w:val="20"/>
        </w:rPr>
      </w:pPr>
      <w:r w:rsidRPr="00830439">
        <w:rPr>
          <w:rFonts w:cs="Arial"/>
          <w:color w:val="000000"/>
          <w:szCs w:val="20"/>
        </w:rPr>
        <w:t xml:space="preserve">S KEFI sledimo ciljem OP 2014-2020 in kazalnikom posameznih specifičnih ciljev prednostnih naložb 1.2, 3.1, 4.1 in 6.3., h katerim morajo glede na cilje OP 2014-2020 prispevati FI. V ta </w:t>
      </w:r>
      <w:r w:rsidRPr="00830439">
        <w:rPr>
          <w:rFonts w:cs="Arial"/>
          <w:color w:val="000000"/>
          <w:szCs w:val="20"/>
        </w:rPr>
        <w:lastRenderedPageBreak/>
        <w:t>namen se v sporazumu o financiranju (upoštevaje oceno market testa) določijo ciljne vrednosti kazalnikov.</w:t>
      </w:r>
    </w:p>
    <w:p w14:paraId="7A2CFD38" w14:textId="77777777" w:rsidR="003E3ED9" w:rsidRPr="00830439" w:rsidRDefault="003E3ED9" w:rsidP="003E3ED9">
      <w:pPr>
        <w:jc w:val="both"/>
        <w:rPr>
          <w:rFonts w:cs="Arial"/>
          <w:color w:val="000000"/>
          <w:szCs w:val="20"/>
        </w:rPr>
      </w:pPr>
    </w:p>
    <w:p w14:paraId="2AFB3DF6" w14:textId="77777777" w:rsidR="003E3ED9" w:rsidRPr="00830439" w:rsidRDefault="003E3ED9" w:rsidP="003E3ED9">
      <w:pPr>
        <w:jc w:val="both"/>
        <w:rPr>
          <w:rFonts w:cs="Arial"/>
          <w:color w:val="000000"/>
          <w:szCs w:val="20"/>
        </w:rPr>
      </w:pPr>
      <w:r w:rsidRPr="00830439">
        <w:rPr>
          <w:rFonts w:cs="Arial"/>
          <w:color w:val="000000"/>
          <w:szCs w:val="20"/>
        </w:rPr>
        <w:t>FI se izvajajo v okviru obdobja upravičenosti, ki se prične z datumom odločitve organa upravljanja in se zaključi 31. 12. 2023 oz. kasneje v primeru podaljšanja rokov s strani Evropske komisije, in se določi s sporazumom o financiranju. Rok se lahko tudi skrajša zaradi postopkov zaključevanja OP 2014-2020.</w:t>
      </w:r>
    </w:p>
    <w:p w14:paraId="0384E083" w14:textId="77777777" w:rsidR="003E3ED9" w:rsidRPr="00830439" w:rsidRDefault="003E3ED9" w:rsidP="003E3ED9">
      <w:pPr>
        <w:jc w:val="both"/>
        <w:rPr>
          <w:rFonts w:cs="Arial"/>
          <w:color w:val="000000"/>
          <w:szCs w:val="20"/>
        </w:rPr>
      </w:pPr>
    </w:p>
    <w:p w14:paraId="1BA5A269" w14:textId="77777777" w:rsidR="003E3ED9" w:rsidRPr="00830439" w:rsidRDefault="003E3ED9" w:rsidP="003E3ED9">
      <w:pPr>
        <w:jc w:val="both"/>
        <w:rPr>
          <w:rFonts w:cs="Arial"/>
          <w:color w:val="000000"/>
          <w:szCs w:val="20"/>
        </w:rPr>
      </w:pPr>
      <w:r w:rsidRPr="00830439">
        <w:rPr>
          <w:rFonts w:cs="Arial"/>
          <w:color w:val="000000"/>
          <w:szCs w:val="20"/>
        </w:rPr>
        <w:t xml:space="preserve">Skladnost FI s pravili o državni pomoči se bo presojala glede na sheme državnih in de </w:t>
      </w:r>
      <w:proofErr w:type="spellStart"/>
      <w:r w:rsidRPr="00830439">
        <w:rPr>
          <w:rFonts w:cs="Arial"/>
          <w:color w:val="000000"/>
          <w:szCs w:val="20"/>
        </w:rPr>
        <w:t>minimis</w:t>
      </w:r>
      <w:proofErr w:type="spellEnd"/>
      <w:r w:rsidRPr="00830439">
        <w:rPr>
          <w:rFonts w:cs="Arial"/>
          <w:color w:val="000000"/>
          <w:szCs w:val="20"/>
        </w:rPr>
        <w:t xml:space="preserve"> pomoči v okviru »Programa izvajanja finančnih spodbud MGRT 2015-2020« in drugih shem državnih in/ali de </w:t>
      </w:r>
      <w:proofErr w:type="spellStart"/>
      <w:r w:rsidRPr="00830439">
        <w:rPr>
          <w:rFonts w:cs="Arial"/>
          <w:color w:val="000000"/>
          <w:szCs w:val="20"/>
        </w:rPr>
        <w:t>minimis</w:t>
      </w:r>
      <w:proofErr w:type="spellEnd"/>
      <w:r w:rsidRPr="00830439">
        <w:rPr>
          <w:rFonts w:cs="Arial"/>
          <w:color w:val="000000"/>
          <w:szCs w:val="20"/>
        </w:rPr>
        <w:t xml:space="preserve"> pomoči, ki jih bo posredniški organ, upravljavec sklada skladov, finančni posrednik ali drug organ priglasil, skladno z Zakonom o spremljanju državnih pomoči (Uradni list RS, št. 37/04).</w:t>
      </w:r>
    </w:p>
    <w:p w14:paraId="3C545F0D" w14:textId="77777777" w:rsidR="003E3ED9" w:rsidRPr="00830439" w:rsidRDefault="003E3ED9" w:rsidP="003E3ED9">
      <w:pPr>
        <w:jc w:val="both"/>
        <w:rPr>
          <w:rFonts w:cs="Arial"/>
          <w:color w:val="000000"/>
          <w:szCs w:val="20"/>
        </w:rPr>
      </w:pPr>
    </w:p>
    <w:p w14:paraId="0BCF4573" w14:textId="77777777" w:rsidR="003E3ED9" w:rsidRPr="00830439" w:rsidRDefault="003E3ED9" w:rsidP="003E3ED9">
      <w:pPr>
        <w:jc w:val="both"/>
        <w:rPr>
          <w:rFonts w:cs="Arial"/>
          <w:color w:val="000000"/>
          <w:szCs w:val="20"/>
        </w:rPr>
      </w:pPr>
      <w:r w:rsidRPr="00830439">
        <w:rPr>
          <w:rFonts w:cs="Arial"/>
          <w:color w:val="000000"/>
          <w:szCs w:val="20"/>
        </w:rPr>
        <w:t>KEFI upoštevajo tudi okvir horizontalnih načel trajnostnega razvoja, nediskriminacije, enakih možnosti in dostopnosti in enakosti moških in žensk.</w:t>
      </w:r>
    </w:p>
    <w:p w14:paraId="29A80A72" w14:textId="77777777" w:rsidR="003E3ED9" w:rsidRPr="00830439" w:rsidRDefault="003E3ED9" w:rsidP="003E3ED9">
      <w:pPr>
        <w:jc w:val="both"/>
        <w:rPr>
          <w:rFonts w:cs="Arial"/>
          <w:color w:val="000000"/>
          <w:szCs w:val="20"/>
        </w:rPr>
      </w:pPr>
      <w:r w:rsidRPr="00830439">
        <w:rPr>
          <w:rFonts w:cs="Arial"/>
          <w:color w:val="000000"/>
          <w:szCs w:val="20"/>
        </w:rPr>
        <w:t xml:space="preserve"> </w:t>
      </w:r>
    </w:p>
    <w:p w14:paraId="2EA57DB3" w14:textId="77777777" w:rsidR="003E3ED9" w:rsidRPr="00830439" w:rsidRDefault="003E3ED9" w:rsidP="003E3ED9">
      <w:pPr>
        <w:jc w:val="both"/>
        <w:rPr>
          <w:rFonts w:cs="Arial"/>
          <w:color w:val="000000"/>
          <w:szCs w:val="20"/>
        </w:rPr>
      </w:pPr>
      <w:r w:rsidRPr="00830439">
        <w:rPr>
          <w:rFonts w:cs="Arial"/>
          <w:color w:val="000000"/>
          <w:szCs w:val="20"/>
        </w:rPr>
        <w:t>PO skupaj s sodelujočimi ministrstvi in OU zagotavlja vzpostavitev sklada skladov za izvajanje FI vzpostavljenih na ravni Republike Slovenije pri upravljavcu sklada skladov skladno s predhodno oceno FI.</w:t>
      </w:r>
    </w:p>
    <w:p w14:paraId="1DD3FE0B" w14:textId="77777777" w:rsidR="003E3ED9" w:rsidRPr="00830439" w:rsidRDefault="003E3ED9" w:rsidP="003E3ED9">
      <w:pPr>
        <w:jc w:val="both"/>
        <w:rPr>
          <w:rFonts w:cs="Arial"/>
          <w:color w:val="000000"/>
          <w:szCs w:val="20"/>
        </w:rPr>
      </w:pPr>
    </w:p>
    <w:p w14:paraId="68C5A072" w14:textId="77777777" w:rsidR="003E3ED9" w:rsidRPr="00830439" w:rsidRDefault="003E3ED9" w:rsidP="003E3ED9">
      <w:pPr>
        <w:jc w:val="both"/>
        <w:rPr>
          <w:rFonts w:cs="Arial"/>
          <w:color w:val="000000"/>
          <w:szCs w:val="20"/>
        </w:rPr>
      </w:pPr>
      <w:r w:rsidRPr="00830439">
        <w:rPr>
          <w:rFonts w:cs="Arial"/>
          <w:color w:val="000000"/>
          <w:szCs w:val="20"/>
        </w:rPr>
        <w:t>Skladno s prvim odstavkom 37.a člena Uredbe o porabi sredstev evropske kohezijske politike v Republiki Sloveniji v programskem obdobju 2014–2020 za cilj naložbe za rast in delovna mesta gre pri KEFI za elemente, ki so opredeljeni v drugem odstavku 106.j člena Zakona o javnih financah, h katerim pa mora PO skladno s podzakonskim predpisom pridobiti soglasje Vlade RS. PO na podlagi soglasja Vlade RS h KEFI izpelje postopek izbora upravljavca sklada skladov in pripravi predlog sporazuma o financiranju s predpisanimi vsebinami, ki je predmet uskladitve z upravljavcem sklada skladov in neposredne potrditve operacije s strani OU.</w:t>
      </w:r>
    </w:p>
    <w:p w14:paraId="00A914F4" w14:textId="77777777" w:rsidR="003E3ED9" w:rsidRPr="002A1F16" w:rsidRDefault="003E3ED9" w:rsidP="003E3ED9">
      <w:pPr>
        <w:rPr>
          <w:rFonts w:cs="Arial"/>
          <w:szCs w:val="20"/>
        </w:rPr>
      </w:pPr>
      <w:r w:rsidRPr="002A1F16">
        <w:rPr>
          <w:rFonts w:cs="Arial"/>
          <w:szCs w:val="20"/>
        </w:rPr>
        <w:br w:type="page"/>
      </w:r>
    </w:p>
    <w:p w14:paraId="71957874" w14:textId="77777777" w:rsidR="003E3ED9" w:rsidRPr="002A1F16" w:rsidRDefault="003E3ED9" w:rsidP="003E3ED9">
      <w:pPr>
        <w:spacing w:before="240" w:after="120"/>
        <w:ind w:left="2"/>
        <w:outlineLvl w:val="0"/>
        <w:rPr>
          <w:rFonts w:cs="Arial"/>
          <w:b/>
          <w:color w:val="AACDDB"/>
          <w:szCs w:val="20"/>
        </w:rPr>
      </w:pPr>
      <w:bookmarkStart w:id="6" w:name="_Toc122425434"/>
      <w:bookmarkStart w:id="7" w:name="_Toc132097815"/>
      <w:r w:rsidRPr="002A1F16">
        <w:rPr>
          <w:rFonts w:cs="Arial"/>
          <w:b/>
          <w:color w:val="AACDDB"/>
          <w:szCs w:val="20"/>
        </w:rPr>
        <w:lastRenderedPageBreak/>
        <w:t>2. IZHODIŠČA</w:t>
      </w:r>
      <w:bookmarkEnd w:id="6"/>
      <w:bookmarkEnd w:id="7"/>
    </w:p>
    <w:p w14:paraId="0E3AF39B" w14:textId="77777777" w:rsidR="003E3ED9" w:rsidRPr="002A1F16" w:rsidRDefault="003E3ED9" w:rsidP="003E3ED9">
      <w:pPr>
        <w:spacing w:before="240" w:after="120"/>
        <w:ind w:left="2"/>
        <w:outlineLvl w:val="0"/>
        <w:rPr>
          <w:rFonts w:cs="Arial"/>
          <w:b/>
          <w:color w:val="AACDDB"/>
          <w:szCs w:val="20"/>
        </w:rPr>
      </w:pPr>
      <w:r w:rsidRPr="002A1F16">
        <w:rPr>
          <w:rFonts w:cs="Arial"/>
          <w:b/>
          <w:color w:val="AACDDB"/>
          <w:szCs w:val="20"/>
        </w:rPr>
        <w:tab/>
      </w:r>
      <w:bookmarkStart w:id="8" w:name="_Toc132097816"/>
      <w:r w:rsidRPr="002A1F16">
        <w:rPr>
          <w:rFonts w:cs="Arial"/>
          <w:b/>
          <w:color w:val="AACDDB"/>
          <w:szCs w:val="20"/>
        </w:rPr>
        <w:t>2.1 Pravne podlage</w:t>
      </w:r>
      <w:bookmarkEnd w:id="8"/>
    </w:p>
    <w:p w14:paraId="06A02AE6" w14:textId="77777777" w:rsidR="003E3ED9" w:rsidRPr="00830439" w:rsidRDefault="003E3ED9" w:rsidP="003E3ED9">
      <w:pPr>
        <w:jc w:val="both"/>
        <w:rPr>
          <w:rFonts w:cs="Arial"/>
          <w:szCs w:val="20"/>
        </w:rPr>
      </w:pPr>
      <w:r w:rsidRPr="00830439">
        <w:rPr>
          <w:rFonts w:cs="Arial"/>
          <w:szCs w:val="20"/>
        </w:rPr>
        <w:t>Pravne podlage za izvajanje finančnih instrumentov:</w:t>
      </w:r>
    </w:p>
    <w:p w14:paraId="499A65C3"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 xml:space="preserve">Uredba (EU, EURATOM) št. 966/2012 Evropskega parlamenta in Sveta z dne 25. oktobra 2012, o finančnih pravilih, ki se uporabljajo za splošni proračun Unije in razveljavitvi Uredbe Sveta (ES, </w:t>
      </w:r>
      <w:proofErr w:type="spellStart"/>
      <w:r w:rsidRPr="00830439">
        <w:rPr>
          <w:rFonts w:eastAsia="Calibri" w:cs="Arial"/>
          <w:szCs w:val="20"/>
        </w:rPr>
        <w:t>Euratom</w:t>
      </w:r>
      <w:proofErr w:type="spellEnd"/>
      <w:r w:rsidRPr="00830439">
        <w:rPr>
          <w:rFonts w:eastAsia="Calibri" w:cs="Arial"/>
          <w:szCs w:val="20"/>
        </w:rPr>
        <w:t>) št. 1605/2002,</w:t>
      </w:r>
    </w:p>
    <w:p w14:paraId="433ECA1F"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(Uradni list EU, št. 347, 20. 12. 2013),</w:t>
      </w:r>
    </w:p>
    <w:p w14:paraId="5ADCF0C2"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Delegirana uredba Komisije (EU) št. 480/2014 z dne 3. marca 2014 o dopolnitvi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w:t>
      </w:r>
    </w:p>
    <w:p w14:paraId="690D3916"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B53EF70"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Izvedbena uredba Komisije (EU) št. 964/2014 z dne 11. septembra 2014 o pravilih za uporabo Uredbe (EU) št. 1303/2013 Evropskega parlamenta in Sveta v zvezi s standardnimi pogoji za finančne instrumente uredba,</w:t>
      </w:r>
    </w:p>
    <w:p w14:paraId="1E156B7D"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36C95F0C"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Uredba Komisije (EU) št. 651/2014 z dne 17. junija 2014 o razglasitvi nekaterih vrst pomoči za združljive z notranjim trgom pri uporabi členov 107 in 108 Pogodbe ,</w:t>
      </w:r>
    </w:p>
    <w:p w14:paraId="66501185"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 xml:space="preserve">Uredba Komisije (EU) št. 1407/2013 z dne 18. decembra 2013 o uporabi členov 107. in 108. Pogodbe o delovanju Evropske unije pri pomoči de </w:t>
      </w:r>
      <w:proofErr w:type="spellStart"/>
      <w:r w:rsidRPr="00830439">
        <w:rPr>
          <w:rFonts w:eastAsia="Calibri" w:cs="Arial"/>
          <w:szCs w:val="20"/>
        </w:rPr>
        <w:t>minimis</w:t>
      </w:r>
      <w:proofErr w:type="spellEnd"/>
      <w:r w:rsidRPr="00830439">
        <w:rPr>
          <w:rFonts w:eastAsia="Calibri" w:cs="Arial"/>
          <w:szCs w:val="20"/>
        </w:rPr>
        <w:t>,</w:t>
      </w:r>
    </w:p>
    <w:p w14:paraId="28BD0411"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 xml:space="preserve">Uredba o porabi sredstev evropske kohezijske politike v Republiki Sloveniji v programskem obdobju 2014-2020 za cilj naložbe za rast in delovna mesta (Uradni list RS, št. 29/15, 36/16, 58/16, 69/16 – </w:t>
      </w:r>
      <w:proofErr w:type="spellStart"/>
      <w:r w:rsidRPr="00830439">
        <w:rPr>
          <w:rFonts w:eastAsia="Calibri" w:cs="Arial"/>
          <w:szCs w:val="20"/>
        </w:rPr>
        <w:t>popr</w:t>
      </w:r>
      <w:proofErr w:type="spellEnd"/>
      <w:r w:rsidRPr="00830439">
        <w:rPr>
          <w:rFonts w:eastAsia="Calibri" w:cs="Arial"/>
          <w:szCs w:val="20"/>
        </w:rPr>
        <w:t>., 15/17, 69/17 in 67/18),</w:t>
      </w:r>
    </w:p>
    <w:p w14:paraId="7651D777"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Zakon o javnem naročanju (Uradni list RS, št. 91/15 in 14/18),</w:t>
      </w:r>
    </w:p>
    <w:p w14:paraId="3CC3E186"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 xml:space="preserve">Zakon o javnih financah (Uradni list RS, št. 11/11 – uradno prečiščeno besedilo, 14/13 – </w:t>
      </w:r>
      <w:proofErr w:type="spellStart"/>
      <w:r w:rsidRPr="00830439">
        <w:rPr>
          <w:rFonts w:eastAsia="Calibri" w:cs="Arial"/>
          <w:szCs w:val="20"/>
        </w:rPr>
        <w:t>popr</w:t>
      </w:r>
      <w:proofErr w:type="spellEnd"/>
      <w:r w:rsidRPr="00830439">
        <w:rPr>
          <w:rFonts w:eastAsia="Calibri" w:cs="Arial"/>
          <w:szCs w:val="20"/>
        </w:rPr>
        <w:t xml:space="preserve">., 101/13, 55/15 – </w:t>
      </w:r>
      <w:proofErr w:type="spellStart"/>
      <w:r w:rsidRPr="00830439">
        <w:rPr>
          <w:rFonts w:eastAsia="Calibri" w:cs="Arial"/>
          <w:szCs w:val="20"/>
        </w:rPr>
        <w:t>ZFisP</w:t>
      </w:r>
      <w:proofErr w:type="spellEnd"/>
      <w:r w:rsidRPr="00830439">
        <w:rPr>
          <w:rFonts w:eastAsia="Calibri" w:cs="Arial"/>
          <w:szCs w:val="20"/>
        </w:rPr>
        <w:t>, 96/15 – ZIPRS1617</w:t>
      </w:r>
      <w:r>
        <w:rPr>
          <w:rFonts w:eastAsia="Calibri" w:cs="Arial"/>
          <w:szCs w:val="20"/>
        </w:rPr>
        <w:t>,</w:t>
      </w:r>
      <w:r w:rsidRPr="00830439">
        <w:rPr>
          <w:rFonts w:eastAsia="Calibri" w:cs="Arial"/>
          <w:szCs w:val="20"/>
        </w:rPr>
        <w:t xml:space="preserve">  13/18</w:t>
      </w:r>
      <w:r>
        <w:rPr>
          <w:rFonts w:eastAsia="Calibri" w:cs="Arial"/>
          <w:szCs w:val="20"/>
        </w:rPr>
        <w:t xml:space="preserve"> in 76/23</w:t>
      </w:r>
      <w:r w:rsidRPr="00830439">
        <w:rPr>
          <w:rFonts w:eastAsia="Calibri" w:cs="Arial"/>
          <w:szCs w:val="20"/>
        </w:rPr>
        <w:t>),</w:t>
      </w:r>
    </w:p>
    <w:p w14:paraId="41AF9DBB"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Uredba o postopku, merilih in načinih dodeljevanja sredstev za spodbujanje razvojnih programov in prednostnih nalog (Uradni list RS, št. 56/11),</w:t>
      </w:r>
    </w:p>
    <w:p w14:paraId="0942F6CA"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Navodila OU in smernice EK,</w:t>
      </w:r>
    </w:p>
    <w:p w14:paraId="69024D6A"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Operativni program za izvajanje evropske kohezijske politike za programsko obdobje 2014-2020 (prednostne osi 1, 3, 4, 6),</w:t>
      </w:r>
    </w:p>
    <w:p w14:paraId="1860D7E4"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Program izvajanja finančnih spodbud Ministrstva za gospodarski razvoj in tehnologijo 2015-2020,</w:t>
      </w:r>
    </w:p>
    <w:p w14:paraId="56470D62" w14:textId="77777777" w:rsidR="003E3ED9" w:rsidRPr="00830439" w:rsidRDefault="003E3ED9" w:rsidP="003E3ED9">
      <w:pPr>
        <w:numPr>
          <w:ilvl w:val="0"/>
          <w:numId w:val="27"/>
        </w:numPr>
        <w:spacing w:line="240" w:lineRule="atLeast"/>
        <w:contextualSpacing/>
        <w:jc w:val="both"/>
        <w:rPr>
          <w:rFonts w:eastAsia="Calibri" w:cs="Arial"/>
          <w:szCs w:val="20"/>
        </w:rPr>
      </w:pPr>
      <w:r w:rsidRPr="00830439">
        <w:rPr>
          <w:rFonts w:eastAsia="Calibri" w:cs="Arial"/>
          <w:szCs w:val="20"/>
        </w:rPr>
        <w:t>Sporočilo Komisije - Začasni okvir za ukrepe državne pomoči v podporo gospodarstvu ob izbruhu COVID-19 2020/C 91 I/01, C/2020/1863, OJ C 91I, 20. 3. 2020 z obema spremembama.</w:t>
      </w:r>
    </w:p>
    <w:p w14:paraId="7ED95458" w14:textId="77777777" w:rsidR="003E3ED9" w:rsidRPr="00830439" w:rsidRDefault="003E3ED9" w:rsidP="003E3ED9">
      <w:pPr>
        <w:jc w:val="both"/>
        <w:rPr>
          <w:rFonts w:cs="Arial"/>
          <w:szCs w:val="20"/>
        </w:rPr>
      </w:pPr>
      <w:r w:rsidRPr="00830439">
        <w:rPr>
          <w:rFonts w:cs="Arial"/>
          <w:szCs w:val="20"/>
        </w:rPr>
        <w:lastRenderedPageBreak/>
        <w:t>Vsebinski podlagi za pripravo in izvajanje FI sta:</w:t>
      </w:r>
    </w:p>
    <w:p w14:paraId="7285BBD0" w14:textId="77777777" w:rsidR="003E3ED9" w:rsidRPr="00830439" w:rsidRDefault="003E3ED9" w:rsidP="003E3ED9">
      <w:pPr>
        <w:numPr>
          <w:ilvl w:val="0"/>
          <w:numId w:val="28"/>
        </w:numPr>
        <w:spacing w:line="240" w:lineRule="atLeast"/>
        <w:contextualSpacing/>
        <w:jc w:val="both"/>
        <w:rPr>
          <w:rFonts w:eastAsia="Calibri" w:cs="Arial"/>
          <w:szCs w:val="20"/>
        </w:rPr>
      </w:pPr>
      <w:r w:rsidRPr="00830439">
        <w:rPr>
          <w:rFonts w:eastAsia="Calibri" w:cs="Arial"/>
          <w:szCs w:val="20"/>
        </w:rPr>
        <w:t xml:space="preserve">Predhodna ocena finančnih instrumentov v Sloveniji – Končno poročilo (PWC Svetovanje, </w:t>
      </w:r>
      <w:proofErr w:type="spellStart"/>
      <w:r w:rsidRPr="00830439">
        <w:rPr>
          <w:rFonts w:eastAsia="Calibri" w:cs="Arial"/>
          <w:szCs w:val="20"/>
        </w:rPr>
        <w:t>d.o.o</w:t>
      </w:r>
      <w:proofErr w:type="spellEnd"/>
      <w:r w:rsidRPr="00830439">
        <w:rPr>
          <w:rFonts w:eastAsia="Calibri" w:cs="Arial"/>
          <w:szCs w:val="20"/>
        </w:rPr>
        <w:t>., november 2015) z vsemi posodobitvami (market testi, analize, študije),</w:t>
      </w:r>
    </w:p>
    <w:p w14:paraId="0F83008B" w14:textId="77777777" w:rsidR="003E3ED9" w:rsidRPr="00830439" w:rsidRDefault="003E3ED9" w:rsidP="003E3ED9">
      <w:pPr>
        <w:numPr>
          <w:ilvl w:val="0"/>
          <w:numId w:val="28"/>
        </w:numPr>
        <w:spacing w:line="240" w:lineRule="atLeast"/>
        <w:contextualSpacing/>
        <w:jc w:val="both"/>
        <w:rPr>
          <w:rFonts w:eastAsia="Calibri" w:cs="Arial"/>
          <w:szCs w:val="20"/>
        </w:rPr>
      </w:pPr>
      <w:r w:rsidRPr="00830439">
        <w:rPr>
          <w:rFonts w:eastAsia="Calibri" w:cs="Arial"/>
          <w:szCs w:val="20"/>
        </w:rPr>
        <w:t>Storitve strukturirane v okviru sklada za izvajanje finančnih instrumentov v Sloveniji, Končno poročilo, EIB, 13. 7. 2016 (v nadaljevanju: EIB analiza).</w:t>
      </w:r>
    </w:p>
    <w:p w14:paraId="2FB89037" w14:textId="77777777" w:rsidR="003E3ED9" w:rsidRPr="00830439" w:rsidRDefault="003E3ED9" w:rsidP="003E3ED9">
      <w:pPr>
        <w:jc w:val="both"/>
        <w:rPr>
          <w:rFonts w:cs="Arial"/>
          <w:szCs w:val="20"/>
        </w:rPr>
      </w:pPr>
      <w:r w:rsidRPr="00830439">
        <w:rPr>
          <w:rFonts w:cs="Arial"/>
          <w:szCs w:val="20"/>
        </w:rPr>
        <w:t>Hkrati se glede na naravo FI prek strukture izvajanja FI in pogojev FI (vključno s cilji, definicijami itd.) zasleduje načela krožnega gospodarstva.</w:t>
      </w:r>
    </w:p>
    <w:p w14:paraId="56815EE7" w14:textId="77777777" w:rsidR="003E3ED9" w:rsidRPr="00830439" w:rsidRDefault="003E3ED9" w:rsidP="003E3ED9">
      <w:pPr>
        <w:jc w:val="both"/>
        <w:rPr>
          <w:rFonts w:cs="Arial"/>
          <w:szCs w:val="20"/>
        </w:rPr>
      </w:pPr>
    </w:p>
    <w:p w14:paraId="3C22A45A" w14:textId="77777777" w:rsidR="003E3ED9" w:rsidRPr="00830439" w:rsidRDefault="003E3ED9" w:rsidP="003E3ED9">
      <w:pPr>
        <w:jc w:val="both"/>
        <w:rPr>
          <w:rFonts w:cs="Arial"/>
          <w:szCs w:val="20"/>
        </w:rPr>
      </w:pPr>
      <w:r w:rsidRPr="00830439">
        <w:rPr>
          <w:rFonts w:cs="Arial"/>
          <w:szCs w:val="20"/>
        </w:rPr>
        <w:t xml:space="preserve">Pristojna ministrstva vključijo upravljavca sklada skladov v usklajevanje glede sprememb ali priprave novih pravnih podlag oz. </w:t>
      </w:r>
      <w:proofErr w:type="spellStart"/>
      <w:r w:rsidRPr="00830439">
        <w:rPr>
          <w:rFonts w:cs="Arial"/>
          <w:szCs w:val="20"/>
        </w:rPr>
        <w:t>kogentnih</w:t>
      </w:r>
      <w:proofErr w:type="spellEnd"/>
      <w:r w:rsidRPr="00830439">
        <w:rPr>
          <w:rFonts w:cs="Arial"/>
          <w:szCs w:val="20"/>
        </w:rPr>
        <w:t xml:space="preserve"> predpisov, ki imajo lahko vpliv na izvajanje sklada skladov ali FI.</w:t>
      </w:r>
    </w:p>
    <w:p w14:paraId="1807E1C5" w14:textId="77777777" w:rsidR="003E3ED9" w:rsidRPr="00830439" w:rsidRDefault="003E3ED9" w:rsidP="003E3ED9">
      <w:pPr>
        <w:jc w:val="both"/>
        <w:rPr>
          <w:rFonts w:cs="Arial"/>
          <w:szCs w:val="20"/>
        </w:rPr>
      </w:pPr>
    </w:p>
    <w:p w14:paraId="016D0A94" w14:textId="77777777" w:rsidR="003E3ED9" w:rsidRPr="00830439" w:rsidRDefault="003E3ED9" w:rsidP="003E3ED9">
      <w:pPr>
        <w:jc w:val="both"/>
        <w:rPr>
          <w:rFonts w:cs="Arial"/>
          <w:szCs w:val="20"/>
        </w:rPr>
      </w:pPr>
      <w:r w:rsidRPr="00830439">
        <w:rPr>
          <w:rFonts w:cs="Arial"/>
          <w:szCs w:val="20"/>
        </w:rPr>
        <w:t>FI se izvajajo skladno z OP 2014-2020 v okviru naslednjih prednostnih naložb:</w:t>
      </w:r>
    </w:p>
    <w:p w14:paraId="4F3B723B" w14:textId="77777777" w:rsidR="003E3ED9" w:rsidRPr="00830439" w:rsidRDefault="003E3ED9" w:rsidP="003E3ED9">
      <w:pPr>
        <w:jc w:val="both"/>
        <w:rPr>
          <w:rFonts w:cs="Arial"/>
          <w:szCs w:val="20"/>
        </w:rPr>
      </w:pPr>
    </w:p>
    <w:p w14:paraId="369A308E" w14:textId="77777777" w:rsidR="003E3ED9" w:rsidRPr="00830439" w:rsidRDefault="003E3ED9" w:rsidP="003E3ED9">
      <w:pPr>
        <w:jc w:val="both"/>
        <w:rPr>
          <w:rFonts w:cs="Arial"/>
          <w:szCs w:val="20"/>
        </w:rPr>
      </w:pPr>
      <w:r w:rsidRPr="00830439">
        <w:rPr>
          <w:rFonts w:cs="Arial"/>
          <w:szCs w:val="20"/>
        </w:rPr>
        <w:t>1.2 prednostna naložba: Spodbujanje naložb podjetij v raziskave, razvoj in inovacije ter vzpostavljanje povezav in sinergij med podjetji, centri za raziskave in razvoj ter visokošolskimi izobraževalnimi ustanovami.</w:t>
      </w:r>
    </w:p>
    <w:p w14:paraId="544584D6" w14:textId="77777777" w:rsidR="003E3ED9" w:rsidRPr="00830439" w:rsidRDefault="003E3ED9" w:rsidP="003E3ED9">
      <w:pPr>
        <w:jc w:val="both"/>
        <w:rPr>
          <w:rFonts w:cs="Arial"/>
          <w:szCs w:val="20"/>
        </w:rPr>
      </w:pPr>
    </w:p>
    <w:p w14:paraId="0A05EA00" w14:textId="77777777" w:rsidR="003E3ED9" w:rsidRPr="00830439" w:rsidRDefault="003E3ED9" w:rsidP="003E3ED9">
      <w:pPr>
        <w:jc w:val="both"/>
        <w:rPr>
          <w:rFonts w:cs="Arial"/>
          <w:szCs w:val="20"/>
        </w:rPr>
      </w:pPr>
      <w:r w:rsidRPr="00830439">
        <w:rPr>
          <w:rFonts w:cs="Arial"/>
          <w:szCs w:val="20"/>
        </w:rPr>
        <w:t>Sredstva namenjena prednostni naložbi 1.2 se v skladu z OP 2014-2020 namenijo povečanju deleža inovacijsko aktivnih podjetij. Vrste in primeri področij, ki jim je namenjena podpora, in njihovega pričakovanega prispevka k specifičnim ciljem so predvidoma:</w:t>
      </w:r>
    </w:p>
    <w:p w14:paraId="1FEEB6D4" w14:textId="77777777" w:rsidR="003E3ED9" w:rsidRPr="00830439" w:rsidRDefault="003E3ED9" w:rsidP="003E3ED9">
      <w:pPr>
        <w:numPr>
          <w:ilvl w:val="0"/>
          <w:numId w:val="29"/>
        </w:numPr>
        <w:spacing w:line="240" w:lineRule="atLeast"/>
        <w:contextualSpacing/>
        <w:jc w:val="both"/>
        <w:rPr>
          <w:rFonts w:eastAsia="Calibri" w:cs="Arial"/>
          <w:szCs w:val="20"/>
        </w:rPr>
      </w:pPr>
      <w:r w:rsidRPr="00830439">
        <w:rPr>
          <w:rFonts w:eastAsia="Calibri" w:cs="Arial"/>
          <w:szCs w:val="20"/>
        </w:rPr>
        <w:t>mreženje in krepitev vezi ter sinergij v inovacijskem sistemu,</w:t>
      </w:r>
    </w:p>
    <w:p w14:paraId="23E898AB" w14:textId="77777777" w:rsidR="003E3ED9" w:rsidRPr="00830439" w:rsidRDefault="003E3ED9" w:rsidP="003E3ED9">
      <w:pPr>
        <w:numPr>
          <w:ilvl w:val="0"/>
          <w:numId w:val="29"/>
        </w:numPr>
        <w:spacing w:line="240" w:lineRule="atLeast"/>
        <w:contextualSpacing/>
        <w:jc w:val="both"/>
        <w:rPr>
          <w:rFonts w:eastAsia="Calibri" w:cs="Arial"/>
          <w:szCs w:val="20"/>
        </w:rPr>
      </w:pPr>
      <w:r w:rsidRPr="00830439">
        <w:rPr>
          <w:rFonts w:eastAsia="Calibri" w:cs="Arial"/>
          <w:szCs w:val="20"/>
        </w:rPr>
        <w:t xml:space="preserve">spodbujanje inovacijskih procesov in z njimi povezanih naložb (aplikativne raziskave, vlaganja v </w:t>
      </w:r>
      <w:proofErr w:type="spellStart"/>
      <w:r w:rsidRPr="00830439">
        <w:rPr>
          <w:rFonts w:eastAsia="Calibri" w:cs="Arial"/>
          <w:szCs w:val="20"/>
        </w:rPr>
        <w:t>netehnološke</w:t>
      </w:r>
      <w:proofErr w:type="spellEnd"/>
      <w:r w:rsidRPr="00830439">
        <w:rPr>
          <w:rFonts w:eastAsia="Calibri" w:cs="Arial"/>
          <w:szCs w:val="20"/>
        </w:rPr>
        <w:t xml:space="preserve"> inovacije, </w:t>
      </w:r>
      <w:proofErr w:type="spellStart"/>
      <w:r w:rsidRPr="00830439">
        <w:rPr>
          <w:rFonts w:eastAsia="Calibri" w:cs="Arial"/>
          <w:szCs w:val="20"/>
        </w:rPr>
        <w:t>eko</w:t>
      </w:r>
      <w:proofErr w:type="spellEnd"/>
      <w:r w:rsidRPr="00830439">
        <w:rPr>
          <w:rFonts w:eastAsia="Calibri" w:cs="Arial"/>
          <w:szCs w:val="20"/>
        </w:rPr>
        <w:t xml:space="preserve"> inovacije in pilotne linije, zgodnje validacije, napredne proizvodne zmogljivosti in začetno proizvodnjo na področju ključnih </w:t>
      </w:r>
      <w:proofErr w:type="spellStart"/>
      <w:r w:rsidRPr="00830439">
        <w:rPr>
          <w:rFonts w:eastAsia="Calibri" w:cs="Arial"/>
          <w:szCs w:val="20"/>
        </w:rPr>
        <w:t>omogočitvenih</w:t>
      </w:r>
      <w:proofErr w:type="spellEnd"/>
      <w:r w:rsidRPr="00830439">
        <w:rPr>
          <w:rFonts w:eastAsia="Calibri" w:cs="Arial"/>
          <w:szCs w:val="20"/>
        </w:rPr>
        <w:t xml:space="preserve"> tehnologij),</w:t>
      </w:r>
    </w:p>
    <w:p w14:paraId="2D358DB2" w14:textId="77777777" w:rsidR="003E3ED9" w:rsidRPr="00830439" w:rsidRDefault="003E3ED9" w:rsidP="003E3ED9">
      <w:pPr>
        <w:numPr>
          <w:ilvl w:val="0"/>
          <w:numId w:val="29"/>
        </w:numPr>
        <w:spacing w:line="240" w:lineRule="atLeast"/>
        <w:contextualSpacing/>
        <w:jc w:val="both"/>
        <w:rPr>
          <w:rFonts w:eastAsia="Calibri" w:cs="Arial"/>
          <w:szCs w:val="20"/>
        </w:rPr>
      </w:pPr>
      <w:r w:rsidRPr="00830439">
        <w:rPr>
          <w:rFonts w:eastAsia="Calibri" w:cs="Arial"/>
          <w:szCs w:val="20"/>
        </w:rPr>
        <w:t>podpora projektom za razvoj in testiranje inovacij v praksi,</w:t>
      </w:r>
    </w:p>
    <w:p w14:paraId="7A89BAA1" w14:textId="77777777" w:rsidR="003E3ED9" w:rsidRPr="00830439" w:rsidRDefault="003E3ED9" w:rsidP="003E3ED9">
      <w:pPr>
        <w:numPr>
          <w:ilvl w:val="0"/>
          <w:numId w:val="29"/>
        </w:numPr>
        <w:spacing w:line="240" w:lineRule="atLeast"/>
        <w:contextualSpacing/>
        <w:jc w:val="both"/>
        <w:rPr>
          <w:rFonts w:eastAsia="Calibri" w:cs="Arial"/>
          <w:szCs w:val="20"/>
        </w:rPr>
      </w:pPr>
      <w:r w:rsidRPr="00830439">
        <w:rPr>
          <w:rFonts w:eastAsia="Calibri" w:cs="Arial"/>
          <w:szCs w:val="20"/>
        </w:rPr>
        <w:t>komercializacija razvitih rešitev in spodbujanje povpraševanja,</w:t>
      </w:r>
    </w:p>
    <w:p w14:paraId="10C9B1F2" w14:textId="77777777" w:rsidR="003E3ED9" w:rsidRPr="00830439" w:rsidRDefault="003E3ED9" w:rsidP="003E3ED9">
      <w:pPr>
        <w:numPr>
          <w:ilvl w:val="0"/>
          <w:numId w:val="29"/>
        </w:numPr>
        <w:spacing w:line="240" w:lineRule="atLeast"/>
        <w:contextualSpacing/>
        <w:jc w:val="both"/>
        <w:rPr>
          <w:rFonts w:eastAsia="Calibri" w:cs="Arial"/>
          <w:szCs w:val="20"/>
        </w:rPr>
      </w:pPr>
      <w:r w:rsidRPr="00830439">
        <w:rPr>
          <w:rFonts w:eastAsia="Calibri" w:cs="Arial"/>
          <w:szCs w:val="20"/>
        </w:rPr>
        <w:t>krepitev razvojnih kompetenc.</w:t>
      </w:r>
    </w:p>
    <w:p w14:paraId="24BC4358" w14:textId="77777777" w:rsidR="003E3ED9" w:rsidRPr="00830439" w:rsidRDefault="003E3ED9" w:rsidP="003E3ED9">
      <w:pPr>
        <w:jc w:val="both"/>
        <w:rPr>
          <w:rFonts w:cs="Arial"/>
          <w:szCs w:val="20"/>
        </w:rPr>
      </w:pPr>
      <w:r w:rsidRPr="00830439">
        <w:rPr>
          <w:rFonts w:cs="Arial"/>
          <w:szCs w:val="20"/>
        </w:rPr>
        <w:t>3.1 prednostna naložba: Spodbujanje podjetništva, zlasti z omogočanjem lažje gospodarske izrabe novih idej in spodbujanjem ustanavljanja novih podjetij, vključno s podjetniškimi inkubatorji.</w:t>
      </w:r>
    </w:p>
    <w:p w14:paraId="657043CF" w14:textId="77777777" w:rsidR="003E3ED9" w:rsidRPr="00830439" w:rsidRDefault="003E3ED9" w:rsidP="003E3ED9">
      <w:pPr>
        <w:jc w:val="both"/>
        <w:rPr>
          <w:rFonts w:cs="Arial"/>
          <w:szCs w:val="20"/>
        </w:rPr>
      </w:pPr>
    </w:p>
    <w:p w14:paraId="1EE648EC" w14:textId="77777777" w:rsidR="003E3ED9" w:rsidRPr="00830439" w:rsidRDefault="003E3ED9" w:rsidP="003E3ED9">
      <w:pPr>
        <w:jc w:val="both"/>
        <w:rPr>
          <w:rFonts w:cs="Arial"/>
          <w:szCs w:val="20"/>
        </w:rPr>
      </w:pPr>
      <w:r w:rsidRPr="00830439">
        <w:rPr>
          <w:rFonts w:cs="Arial"/>
          <w:szCs w:val="20"/>
        </w:rPr>
        <w:t>Sredstva namenjena prednostni naložbi 3.1 se v skladu z OP 2014-2020 namenijo za:</w:t>
      </w:r>
    </w:p>
    <w:p w14:paraId="03884EB8" w14:textId="77777777" w:rsidR="003E3ED9" w:rsidRPr="00830439" w:rsidRDefault="003E3ED9" w:rsidP="003E3ED9">
      <w:pPr>
        <w:numPr>
          <w:ilvl w:val="0"/>
          <w:numId w:val="30"/>
        </w:numPr>
        <w:spacing w:line="240" w:lineRule="atLeast"/>
        <w:contextualSpacing/>
        <w:jc w:val="both"/>
        <w:rPr>
          <w:rFonts w:eastAsia="Calibri" w:cs="Arial"/>
          <w:szCs w:val="20"/>
        </w:rPr>
      </w:pPr>
      <w:r w:rsidRPr="00830439">
        <w:rPr>
          <w:rFonts w:eastAsia="Calibri" w:cs="Arial"/>
          <w:szCs w:val="20"/>
        </w:rPr>
        <w:t xml:space="preserve">spodbujanje nastajanja in delovanja podjetij, predvsem start-up podjetij (specifični cilj 1). Cilj je povečanje podjetniške dinamike, ki se izraža v večjem številu novonastalih podjetij, ki zaposlujejo in se uspešno odzivajo na potrebe trga. Še posebno pomembna so </w:t>
      </w:r>
      <w:proofErr w:type="spellStart"/>
      <w:r w:rsidRPr="00830439">
        <w:rPr>
          <w:rFonts w:eastAsia="Calibri" w:cs="Arial"/>
          <w:szCs w:val="20"/>
        </w:rPr>
        <w:t>t.i</w:t>
      </w:r>
      <w:proofErr w:type="spellEnd"/>
      <w:r w:rsidRPr="00830439">
        <w:rPr>
          <w:rFonts w:eastAsia="Calibri" w:cs="Arial"/>
          <w:szCs w:val="20"/>
        </w:rPr>
        <w:t>. start-up podjetja;</w:t>
      </w:r>
    </w:p>
    <w:p w14:paraId="1F40992D" w14:textId="77777777" w:rsidR="003E3ED9" w:rsidRPr="00830439" w:rsidRDefault="003E3ED9" w:rsidP="003E3ED9">
      <w:pPr>
        <w:numPr>
          <w:ilvl w:val="0"/>
          <w:numId w:val="30"/>
        </w:numPr>
        <w:spacing w:line="240" w:lineRule="atLeast"/>
        <w:contextualSpacing/>
        <w:jc w:val="both"/>
        <w:rPr>
          <w:rFonts w:eastAsia="Calibri" w:cs="Arial"/>
          <w:szCs w:val="20"/>
        </w:rPr>
      </w:pPr>
      <w:r w:rsidRPr="00830439">
        <w:rPr>
          <w:rFonts w:eastAsia="Calibri" w:cs="Arial"/>
          <w:szCs w:val="20"/>
        </w:rPr>
        <w:t xml:space="preserve">spodbujanje rasti MSP, predvsem hitro rastočih podjetij, kar se bo odražalo v povečanju dodane vrednosti MSP (specifični cilj 2). Cilja sta (i) rast in razvoj MSP preko spodbujanja inovativnosti in ustvarjalnosti, tehnološkega in </w:t>
      </w:r>
      <w:proofErr w:type="spellStart"/>
      <w:r w:rsidRPr="00830439">
        <w:rPr>
          <w:rFonts w:eastAsia="Calibri" w:cs="Arial"/>
          <w:szCs w:val="20"/>
        </w:rPr>
        <w:t>netehnološkega</w:t>
      </w:r>
      <w:proofErr w:type="spellEnd"/>
      <w:r w:rsidRPr="00830439">
        <w:rPr>
          <w:rFonts w:eastAsia="Calibri" w:cs="Arial"/>
          <w:szCs w:val="20"/>
        </w:rPr>
        <w:t xml:space="preserve"> razvoja in razvojnih vlaganj podjetij ter (ii) izboljšanje energetske in snovne učinkovitosti podjetij.</w:t>
      </w:r>
    </w:p>
    <w:p w14:paraId="0C410CE5" w14:textId="77777777" w:rsidR="003E3ED9" w:rsidRPr="00830439" w:rsidRDefault="003E3ED9" w:rsidP="003E3ED9">
      <w:pPr>
        <w:jc w:val="both"/>
        <w:rPr>
          <w:rFonts w:cs="Arial"/>
          <w:szCs w:val="20"/>
        </w:rPr>
      </w:pPr>
      <w:r w:rsidRPr="00830439">
        <w:rPr>
          <w:rFonts w:cs="Arial"/>
          <w:szCs w:val="20"/>
        </w:rPr>
        <w:t>4.1 prednostna naložba: Spodbujanje energetske učinkovitosti, pametnega upravljanja z energijo in uporabe obnovljivih virov energije v javni infrastrukturi, vključno z javnimi stavbami, in stanovanjskem sektorju.</w:t>
      </w:r>
    </w:p>
    <w:p w14:paraId="369873DA" w14:textId="77777777" w:rsidR="003E3ED9" w:rsidRPr="00830439" w:rsidRDefault="003E3ED9" w:rsidP="003E3ED9">
      <w:pPr>
        <w:jc w:val="both"/>
        <w:rPr>
          <w:rFonts w:cs="Arial"/>
          <w:szCs w:val="20"/>
        </w:rPr>
      </w:pPr>
    </w:p>
    <w:p w14:paraId="11A130B0" w14:textId="77777777" w:rsidR="003E3ED9" w:rsidRPr="00830439" w:rsidRDefault="003E3ED9" w:rsidP="003E3ED9">
      <w:pPr>
        <w:jc w:val="both"/>
        <w:rPr>
          <w:rFonts w:cs="Arial"/>
          <w:szCs w:val="20"/>
        </w:rPr>
      </w:pPr>
      <w:r w:rsidRPr="00830439">
        <w:rPr>
          <w:rFonts w:cs="Arial"/>
          <w:szCs w:val="20"/>
        </w:rPr>
        <w:t>Sredstva namenjena prednostni naložbi 4.1 se v skladu z OP 2014-2020 namenijo spodbujanju energetske učinkovitosti, pametnega upravljanja z energijo in uporabe obnovljivih virov energije v javni infrastrukturi, vključno z javnimi stavbami, in stanovanjskem sektorju (prednostna naložba 4.1, specifični cilj 1 – povečanje učinkovitosti rabe energije v javnem sektorju).</w:t>
      </w:r>
    </w:p>
    <w:p w14:paraId="6FD59625" w14:textId="77777777" w:rsidR="003E3ED9" w:rsidRPr="00830439" w:rsidRDefault="003E3ED9" w:rsidP="003E3ED9">
      <w:pPr>
        <w:jc w:val="both"/>
        <w:rPr>
          <w:rFonts w:cs="Arial"/>
          <w:szCs w:val="20"/>
        </w:rPr>
      </w:pPr>
    </w:p>
    <w:p w14:paraId="6FEDEAD8" w14:textId="77777777" w:rsidR="003E3ED9" w:rsidRPr="00830439" w:rsidRDefault="003E3ED9" w:rsidP="003E3ED9">
      <w:pPr>
        <w:jc w:val="both"/>
        <w:rPr>
          <w:rFonts w:cs="Arial"/>
          <w:szCs w:val="20"/>
        </w:rPr>
      </w:pPr>
      <w:r w:rsidRPr="00830439">
        <w:rPr>
          <w:rFonts w:cs="Arial"/>
          <w:szCs w:val="20"/>
        </w:rPr>
        <w:t>6.3 prednostna naložba: Ukrepi za izboljšanje urbanega okolja, oživitev mest, sanacijo in dekontaminacijo degradiranih zemljišč (vključno z območji, na katerih poteka preobrazba), zmanjšanje onesnaženosti zraka in spodbujanje ukrepov za zmanjšanje hrupa.</w:t>
      </w:r>
    </w:p>
    <w:p w14:paraId="155765C5" w14:textId="77777777" w:rsidR="003E3ED9" w:rsidRPr="00830439" w:rsidRDefault="003E3ED9" w:rsidP="003E3ED9">
      <w:pPr>
        <w:jc w:val="both"/>
        <w:rPr>
          <w:rFonts w:cs="Arial"/>
          <w:szCs w:val="20"/>
        </w:rPr>
      </w:pPr>
    </w:p>
    <w:p w14:paraId="54E7EF70" w14:textId="77777777" w:rsidR="003E3ED9" w:rsidRPr="00830439" w:rsidRDefault="003E3ED9" w:rsidP="003E3ED9">
      <w:pPr>
        <w:jc w:val="both"/>
        <w:rPr>
          <w:rFonts w:cs="Arial"/>
          <w:szCs w:val="20"/>
        </w:rPr>
      </w:pPr>
      <w:r w:rsidRPr="00830439">
        <w:rPr>
          <w:rFonts w:cs="Arial"/>
          <w:szCs w:val="20"/>
        </w:rPr>
        <w:lastRenderedPageBreak/>
        <w:t>Veljavni OP predvideva, da sta obseg in vsebina FI opredeljena glede na študijo ocenjene vrzeli (</w:t>
      </w:r>
      <w:proofErr w:type="spellStart"/>
      <w:r w:rsidRPr="00830439">
        <w:rPr>
          <w:rFonts w:cs="Arial"/>
          <w:szCs w:val="20"/>
        </w:rPr>
        <w:t>t.j</w:t>
      </w:r>
      <w:proofErr w:type="spellEnd"/>
      <w:r w:rsidRPr="00830439">
        <w:rPr>
          <w:rFonts w:cs="Arial"/>
          <w:szCs w:val="20"/>
        </w:rPr>
        <w:t>. Predhodne ocene FI), ki predlaga širitev nabora upravičencev in na podlagi delitev (delitev na povratna in nepovratna sredstva) EU sredstev za področje urbane prenove, kot jo predlaga OU.</w:t>
      </w:r>
    </w:p>
    <w:p w14:paraId="60D9705B" w14:textId="77777777" w:rsidR="003E3ED9" w:rsidRPr="00830439" w:rsidRDefault="003E3ED9" w:rsidP="003E3ED9">
      <w:pPr>
        <w:jc w:val="both"/>
        <w:rPr>
          <w:rFonts w:cs="Arial"/>
          <w:szCs w:val="20"/>
        </w:rPr>
      </w:pPr>
    </w:p>
    <w:p w14:paraId="10B836A4" w14:textId="77777777" w:rsidR="003E3ED9" w:rsidRPr="00830439" w:rsidRDefault="003E3ED9" w:rsidP="003E3ED9">
      <w:pPr>
        <w:jc w:val="both"/>
        <w:rPr>
          <w:rFonts w:cs="Arial"/>
          <w:szCs w:val="20"/>
        </w:rPr>
      </w:pPr>
      <w:r w:rsidRPr="00830439">
        <w:rPr>
          <w:rFonts w:cs="Arial"/>
          <w:szCs w:val="20"/>
        </w:rPr>
        <w:t xml:space="preserve">Pred vzpostavitvijo FI za programsko obdobje 2014 - 2020 je bila sprejeta odločitev, da se za področje urbanega razvoja projektno vzpostavi finančni instrument na prednostni naložbi 6.3, v vrednosti 5 milijonov evrov, kar je bilo z izbiro upravičenca s podpisom sporazuma o financiranju tudi ustrezno opredeljeno. </w:t>
      </w:r>
    </w:p>
    <w:p w14:paraId="0614F46B" w14:textId="77777777" w:rsidR="003E3ED9" w:rsidRPr="00830439" w:rsidRDefault="003E3ED9" w:rsidP="003E3ED9">
      <w:pPr>
        <w:jc w:val="both"/>
        <w:rPr>
          <w:rFonts w:cs="Arial"/>
          <w:szCs w:val="20"/>
        </w:rPr>
      </w:pPr>
    </w:p>
    <w:p w14:paraId="6CF1613E" w14:textId="77777777" w:rsidR="003E3ED9" w:rsidRPr="00F60B42" w:rsidRDefault="003E3ED9" w:rsidP="003E3ED9">
      <w:pPr>
        <w:jc w:val="both"/>
        <w:rPr>
          <w:rFonts w:cs="Arial"/>
          <w:szCs w:val="20"/>
        </w:rPr>
      </w:pPr>
      <w:r w:rsidRPr="00830439">
        <w:rPr>
          <w:rFonts w:cs="Arial"/>
          <w:szCs w:val="20"/>
        </w:rPr>
        <w:t>Predlagani FI za urbani razvoj so posojila za izvedbo ukrepov, ki prispevajo k doseganju specifičnega cilja te prednostne naložbe in drugih prednostnih naložb OP EKP 2014-2020 in ciljem trajnostnih urbanih strategij v 12</w:t>
      </w:r>
      <w:r w:rsidRPr="00830439">
        <w:rPr>
          <w:rFonts w:cs="Arial"/>
          <w:szCs w:val="20"/>
          <w:vertAlign w:val="superscript"/>
        </w:rPr>
        <w:footnoteReference w:id="6"/>
      </w:r>
      <w:r w:rsidRPr="00830439">
        <w:rPr>
          <w:rFonts w:cs="Arial"/>
          <w:szCs w:val="20"/>
        </w:rPr>
        <w:t xml:space="preserve"> mestnih občinah. S posojili se bo predvidoma podprlo:</w:t>
      </w:r>
    </w:p>
    <w:p w14:paraId="032C8675" w14:textId="77777777" w:rsidR="003E3ED9" w:rsidRPr="004005A5" w:rsidRDefault="003E3ED9" w:rsidP="003E3ED9">
      <w:pPr>
        <w:numPr>
          <w:ilvl w:val="0"/>
          <w:numId w:val="31"/>
        </w:numPr>
        <w:spacing w:line="240" w:lineRule="atLeast"/>
        <w:contextualSpacing/>
        <w:jc w:val="both"/>
        <w:rPr>
          <w:rFonts w:eastAsia="Calibri" w:cs="Arial"/>
          <w:szCs w:val="20"/>
        </w:rPr>
      </w:pPr>
      <w:r w:rsidRPr="00F60B42">
        <w:rPr>
          <w:rFonts w:eastAsia="Calibri" w:cs="Arial"/>
          <w:szCs w:val="20"/>
        </w:rPr>
        <w:t>izvedbo projektov prenove ali novogradnje stanovanj, ki so rezultat urbane prenove s c</w:t>
      </w:r>
      <w:r w:rsidRPr="004005A5">
        <w:rPr>
          <w:rFonts w:eastAsia="Calibri" w:cs="Arial"/>
          <w:szCs w:val="20"/>
        </w:rPr>
        <w:t>iljem povečanja javnega stanovanjskega fonda, skladno z izkazanimi potrebami po posameznih mestnih občinah;</w:t>
      </w:r>
    </w:p>
    <w:p w14:paraId="5E2EDE97" w14:textId="77777777" w:rsidR="003E3ED9" w:rsidRPr="00830439" w:rsidRDefault="003E3ED9" w:rsidP="003E3ED9">
      <w:pPr>
        <w:numPr>
          <w:ilvl w:val="0"/>
          <w:numId w:val="31"/>
        </w:numPr>
        <w:spacing w:line="240" w:lineRule="atLeast"/>
        <w:contextualSpacing/>
        <w:jc w:val="both"/>
        <w:rPr>
          <w:rFonts w:eastAsia="Calibri" w:cs="Arial"/>
          <w:szCs w:val="20"/>
        </w:rPr>
      </w:pPr>
      <w:r w:rsidRPr="00830439">
        <w:rPr>
          <w:rFonts w:eastAsia="Calibri" w:cs="Arial"/>
          <w:szCs w:val="20"/>
        </w:rPr>
        <w:t>Izvedbo drugih projektov, katerih namen bo izvajanje posegov fizične prenove urbanih območij, ki so skladni s cilji trajnostnih urbanih strategij v 12 mestnih občinah.</w:t>
      </w:r>
    </w:p>
    <w:p w14:paraId="471E2784" w14:textId="77777777" w:rsidR="003E3ED9" w:rsidRPr="002A1F16" w:rsidRDefault="003E3ED9" w:rsidP="003E3ED9">
      <w:pPr>
        <w:spacing w:before="240" w:after="120"/>
        <w:ind w:left="2"/>
        <w:outlineLvl w:val="0"/>
        <w:rPr>
          <w:rFonts w:cs="Arial"/>
          <w:b/>
          <w:color w:val="AACDDB"/>
          <w:szCs w:val="20"/>
        </w:rPr>
      </w:pPr>
      <w:bookmarkStart w:id="9" w:name="_Toc132097817"/>
      <w:r w:rsidRPr="002A1F16">
        <w:rPr>
          <w:rFonts w:cs="Arial"/>
          <w:b/>
          <w:color w:val="AACDDB"/>
          <w:szCs w:val="20"/>
        </w:rPr>
        <w:t>2.2 Tržne vrzeli na področju FI</w:t>
      </w:r>
      <w:bookmarkEnd w:id="9"/>
    </w:p>
    <w:p w14:paraId="6ADEC991" w14:textId="77777777" w:rsidR="003E3ED9" w:rsidRPr="00830439" w:rsidRDefault="003E3ED9" w:rsidP="003E3ED9">
      <w:pPr>
        <w:jc w:val="both"/>
        <w:rPr>
          <w:rFonts w:cs="Arial"/>
          <w:szCs w:val="20"/>
        </w:rPr>
      </w:pPr>
      <w:r w:rsidRPr="00830439">
        <w:rPr>
          <w:rFonts w:cs="Arial"/>
          <w:szCs w:val="20"/>
        </w:rPr>
        <w:t>Iz Predhodne ocene FI izhaja, da obstajajo tržne vrzeli na naslednjih področjih:</w:t>
      </w:r>
    </w:p>
    <w:p w14:paraId="7FE7BEFA" w14:textId="77777777" w:rsidR="003E3ED9" w:rsidRPr="00830439" w:rsidRDefault="003E3ED9" w:rsidP="003E3ED9">
      <w:pPr>
        <w:numPr>
          <w:ilvl w:val="0"/>
          <w:numId w:val="32"/>
        </w:numPr>
        <w:spacing w:line="240" w:lineRule="atLeast"/>
        <w:contextualSpacing/>
        <w:jc w:val="both"/>
        <w:rPr>
          <w:rFonts w:eastAsia="Calibri" w:cs="Arial"/>
          <w:szCs w:val="20"/>
        </w:rPr>
      </w:pPr>
      <w:r w:rsidRPr="00830439">
        <w:rPr>
          <w:rFonts w:eastAsia="Calibri" w:cs="Arial"/>
          <w:szCs w:val="20"/>
        </w:rPr>
        <w:t>malih in srednje velikih podjetij (MSP),</w:t>
      </w:r>
    </w:p>
    <w:p w14:paraId="78966E09" w14:textId="77777777" w:rsidR="003E3ED9" w:rsidRPr="00830439" w:rsidRDefault="003E3ED9" w:rsidP="003E3ED9">
      <w:pPr>
        <w:numPr>
          <w:ilvl w:val="0"/>
          <w:numId w:val="32"/>
        </w:numPr>
        <w:spacing w:line="240" w:lineRule="atLeast"/>
        <w:contextualSpacing/>
        <w:jc w:val="both"/>
        <w:rPr>
          <w:rFonts w:eastAsia="Calibri" w:cs="Arial"/>
          <w:szCs w:val="20"/>
        </w:rPr>
      </w:pPr>
      <w:r w:rsidRPr="00830439">
        <w:rPr>
          <w:rFonts w:eastAsia="Calibri" w:cs="Arial"/>
          <w:szCs w:val="20"/>
        </w:rPr>
        <w:t>raziskav, razvoja in inovacij (RRI),</w:t>
      </w:r>
    </w:p>
    <w:p w14:paraId="3E083ACB" w14:textId="77777777" w:rsidR="003E3ED9" w:rsidRPr="00830439" w:rsidRDefault="003E3ED9" w:rsidP="003E3ED9">
      <w:pPr>
        <w:numPr>
          <w:ilvl w:val="0"/>
          <w:numId w:val="32"/>
        </w:numPr>
        <w:spacing w:line="240" w:lineRule="atLeast"/>
        <w:contextualSpacing/>
        <w:jc w:val="both"/>
        <w:rPr>
          <w:rFonts w:eastAsia="Calibri" w:cs="Arial"/>
          <w:szCs w:val="20"/>
        </w:rPr>
      </w:pPr>
      <w:r w:rsidRPr="00830439">
        <w:rPr>
          <w:rFonts w:eastAsia="Calibri" w:cs="Arial"/>
          <w:szCs w:val="20"/>
        </w:rPr>
        <w:t>energetske učinkovitosti (EE) in</w:t>
      </w:r>
    </w:p>
    <w:p w14:paraId="5CC44A65" w14:textId="77777777" w:rsidR="003E3ED9" w:rsidRPr="00830439" w:rsidRDefault="003E3ED9" w:rsidP="003E3ED9">
      <w:pPr>
        <w:numPr>
          <w:ilvl w:val="0"/>
          <w:numId w:val="32"/>
        </w:numPr>
        <w:spacing w:line="240" w:lineRule="atLeast"/>
        <w:contextualSpacing/>
        <w:jc w:val="both"/>
        <w:rPr>
          <w:rFonts w:eastAsia="Calibri" w:cs="Arial"/>
          <w:szCs w:val="20"/>
        </w:rPr>
      </w:pPr>
      <w:r w:rsidRPr="00830439">
        <w:rPr>
          <w:rFonts w:eastAsia="Calibri" w:cs="Arial"/>
          <w:szCs w:val="20"/>
        </w:rPr>
        <w:t>urbanega razvoja (UR).</w:t>
      </w:r>
    </w:p>
    <w:p w14:paraId="7166FDEC" w14:textId="77777777" w:rsidR="003E3ED9" w:rsidRPr="00830439" w:rsidRDefault="003E3ED9" w:rsidP="003E3ED9">
      <w:pPr>
        <w:jc w:val="both"/>
        <w:rPr>
          <w:rFonts w:cs="Arial"/>
          <w:szCs w:val="20"/>
        </w:rPr>
      </w:pPr>
      <w:r w:rsidRPr="00830439">
        <w:rPr>
          <w:rFonts w:cs="Arial"/>
          <w:szCs w:val="20"/>
        </w:rPr>
        <w:t xml:space="preserve">Možni finančni produkti, ki izhajajo iz kasneje predstavljenih obstoječih tržnih vrzeli in že izvedenih finančnih produktov, so garancije (predvsem </w:t>
      </w:r>
      <w:proofErr w:type="spellStart"/>
      <w:r w:rsidRPr="00830439">
        <w:rPr>
          <w:rFonts w:cs="Arial"/>
          <w:szCs w:val="20"/>
        </w:rPr>
        <w:t>portfeljske</w:t>
      </w:r>
      <w:proofErr w:type="spellEnd"/>
      <w:r w:rsidRPr="00830439">
        <w:rPr>
          <w:rFonts w:cs="Arial"/>
          <w:szCs w:val="20"/>
        </w:rPr>
        <w:t>), krediti (mikrokrediti, krediti večjih vrednosti) in lastniško financiranje (v vseh fazah razvoja podjetja).</w:t>
      </w:r>
    </w:p>
    <w:p w14:paraId="172842E5" w14:textId="77777777" w:rsidR="003E3ED9" w:rsidRPr="00830439" w:rsidRDefault="003E3ED9" w:rsidP="003E3ED9">
      <w:pPr>
        <w:jc w:val="both"/>
        <w:rPr>
          <w:rFonts w:cs="Arial"/>
          <w:szCs w:val="20"/>
        </w:rPr>
      </w:pPr>
    </w:p>
    <w:p w14:paraId="7E9AFDEA" w14:textId="77777777" w:rsidR="003E3ED9" w:rsidRPr="00830439" w:rsidRDefault="003E3ED9" w:rsidP="003E3ED9">
      <w:pPr>
        <w:jc w:val="both"/>
        <w:rPr>
          <w:rFonts w:cs="Arial"/>
          <w:szCs w:val="20"/>
        </w:rPr>
      </w:pPr>
      <w:r w:rsidRPr="00830439">
        <w:rPr>
          <w:rFonts w:cs="Arial"/>
          <w:szCs w:val="20"/>
        </w:rPr>
        <w:t>Posodobitve predhodne ocene:</w:t>
      </w:r>
    </w:p>
    <w:p w14:paraId="1B0BF917" w14:textId="77777777" w:rsidR="003E3ED9" w:rsidRPr="00830439" w:rsidRDefault="003E3ED9" w:rsidP="003E3ED9">
      <w:pPr>
        <w:jc w:val="both"/>
        <w:rPr>
          <w:rFonts w:cs="Arial"/>
          <w:szCs w:val="20"/>
        </w:rPr>
      </w:pPr>
      <w:r w:rsidRPr="00830439">
        <w:rPr>
          <w:rFonts w:cs="Arial"/>
          <w:szCs w:val="20"/>
        </w:rPr>
        <w:t>V skladu s členom 37(2)(g) Uredbe EU 1303/2013 se OU lahko odloči, da se predhodna ocena po potrebi pregleda in posodobi med izvajanjem katerega koli FI-ja, ki se izvaja na podlagi takšne ocene, če v fazi izvajanja meni, da predhodna ocena ne ustreza več popolnoma tržnim pogojem, ki obstajajo v času izvajanja in se to tudi izraža na izvajanju FI-jev. Posodobitev predhodne ocene se v tem primeru izvede skladno s postopkom opredeljenim v tretjem odstavku 5. poglavja.</w:t>
      </w:r>
    </w:p>
    <w:p w14:paraId="355F9D3B" w14:textId="77777777" w:rsidR="003E3ED9" w:rsidRPr="00830439" w:rsidRDefault="003E3ED9" w:rsidP="003E3ED9">
      <w:pPr>
        <w:jc w:val="both"/>
        <w:rPr>
          <w:rFonts w:cs="Arial"/>
          <w:szCs w:val="20"/>
        </w:rPr>
      </w:pPr>
    </w:p>
    <w:p w14:paraId="301FAAEA" w14:textId="77777777" w:rsidR="003E3ED9" w:rsidRPr="00830439" w:rsidRDefault="003E3ED9" w:rsidP="003E3ED9">
      <w:pPr>
        <w:jc w:val="both"/>
        <w:rPr>
          <w:rFonts w:cs="Arial"/>
          <w:szCs w:val="20"/>
        </w:rPr>
      </w:pPr>
      <w:r w:rsidRPr="00830439">
        <w:rPr>
          <w:rFonts w:cs="Arial"/>
          <w:szCs w:val="20"/>
        </w:rPr>
        <w:t>Pri določitvi vrzeli financiranja je potrebno poleg potencialnega povpraševanja upoštevati tudi naslednje:</w:t>
      </w:r>
    </w:p>
    <w:p w14:paraId="49EC9B9D" w14:textId="77777777" w:rsidR="003E3ED9" w:rsidRPr="00830439" w:rsidRDefault="003E3ED9" w:rsidP="003E3ED9">
      <w:pPr>
        <w:numPr>
          <w:ilvl w:val="0"/>
          <w:numId w:val="33"/>
        </w:numPr>
        <w:spacing w:line="240" w:lineRule="atLeast"/>
        <w:contextualSpacing/>
        <w:jc w:val="both"/>
        <w:rPr>
          <w:rFonts w:eastAsia="Calibri" w:cs="Arial"/>
          <w:szCs w:val="20"/>
        </w:rPr>
      </w:pPr>
      <w:r w:rsidRPr="00830439">
        <w:rPr>
          <w:rFonts w:eastAsia="Calibri" w:cs="Arial"/>
          <w:szCs w:val="20"/>
        </w:rPr>
        <w:t>potencialno povpraševanje ne bo nujno prešlo v dejansko;</w:t>
      </w:r>
    </w:p>
    <w:p w14:paraId="151AB040" w14:textId="77777777" w:rsidR="003E3ED9" w:rsidRPr="00830439" w:rsidRDefault="003E3ED9" w:rsidP="003E3ED9">
      <w:pPr>
        <w:numPr>
          <w:ilvl w:val="0"/>
          <w:numId w:val="33"/>
        </w:numPr>
        <w:spacing w:line="240" w:lineRule="atLeast"/>
        <w:contextualSpacing/>
        <w:jc w:val="both"/>
        <w:rPr>
          <w:rFonts w:eastAsia="Calibri" w:cs="Arial"/>
          <w:szCs w:val="20"/>
        </w:rPr>
      </w:pPr>
      <w:r w:rsidRPr="00830439">
        <w:rPr>
          <w:rFonts w:eastAsia="Calibri" w:cs="Arial"/>
          <w:szCs w:val="20"/>
        </w:rPr>
        <w:t>pomanjkanje predhodnih investicij zaradi krize;</w:t>
      </w:r>
    </w:p>
    <w:p w14:paraId="3BE85567" w14:textId="77777777" w:rsidR="003E3ED9" w:rsidRPr="00830439" w:rsidRDefault="003E3ED9" w:rsidP="003E3ED9">
      <w:pPr>
        <w:numPr>
          <w:ilvl w:val="0"/>
          <w:numId w:val="33"/>
        </w:numPr>
        <w:spacing w:line="240" w:lineRule="atLeast"/>
        <w:contextualSpacing/>
        <w:jc w:val="both"/>
        <w:rPr>
          <w:rFonts w:eastAsia="Calibri" w:cs="Arial"/>
          <w:szCs w:val="20"/>
        </w:rPr>
      </w:pPr>
      <w:r w:rsidRPr="00830439">
        <w:rPr>
          <w:rFonts w:eastAsia="Calibri" w:cs="Arial"/>
          <w:szCs w:val="20"/>
        </w:rPr>
        <w:t>omejeno poznavanje virov financiranja in finančnih produktov in</w:t>
      </w:r>
    </w:p>
    <w:p w14:paraId="5B211533" w14:textId="77777777" w:rsidR="003E3ED9" w:rsidRPr="00830439" w:rsidRDefault="003E3ED9" w:rsidP="003E3ED9">
      <w:pPr>
        <w:numPr>
          <w:ilvl w:val="0"/>
          <w:numId w:val="33"/>
        </w:numPr>
        <w:spacing w:line="240" w:lineRule="atLeast"/>
        <w:contextualSpacing/>
        <w:jc w:val="both"/>
        <w:rPr>
          <w:rFonts w:eastAsia="Calibri" w:cs="Arial"/>
          <w:szCs w:val="20"/>
        </w:rPr>
      </w:pPr>
      <w:r w:rsidRPr="00830439">
        <w:rPr>
          <w:rFonts w:eastAsia="Calibri" w:cs="Arial"/>
          <w:szCs w:val="20"/>
        </w:rPr>
        <w:t>negotovo gospodarsko okolje.</w:t>
      </w:r>
    </w:p>
    <w:p w14:paraId="1F373BFE" w14:textId="77777777" w:rsidR="003E3ED9" w:rsidRPr="002A1F16" w:rsidRDefault="003E3ED9" w:rsidP="003E3ED9">
      <w:pPr>
        <w:spacing w:before="240" w:after="120"/>
        <w:ind w:left="2"/>
        <w:outlineLvl w:val="0"/>
        <w:rPr>
          <w:rFonts w:cs="Arial"/>
          <w:b/>
          <w:color w:val="AACDDB"/>
          <w:szCs w:val="20"/>
        </w:rPr>
      </w:pPr>
      <w:bookmarkStart w:id="10" w:name="_Toc132097818"/>
      <w:r w:rsidRPr="002A1F16">
        <w:rPr>
          <w:rFonts w:cs="Arial"/>
          <w:b/>
          <w:color w:val="AACDDB"/>
          <w:szCs w:val="20"/>
        </w:rPr>
        <w:t>2.2.1 Mala in srednje velika podjetja (MSP)</w:t>
      </w:r>
      <w:bookmarkEnd w:id="10"/>
      <w:r w:rsidRPr="002A1F16">
        <w:rPr>
          <w:rFonts w:cs="Arial"/>
          <w:b/>
          <w:color w:val="AACDDB"/>
          <w:szCs w:val="20"/>
        </w:rPr>
        <w:t xml:space="preserve"> </w:t>
      </w:r>
    </w:p>
    <w:p w14:paraId="2505396B" w14:textId="77777777" w:rsidR="003E3ED9" w:rsidRPr="00830439" w:rsidRDefault="003E3ED9" w:rsidP="003E3ED9">
      <w:pPr>
        <w:jc w:val="both"/>
        <w:rPr>
          <w:rFonts w:cs="Arial"/>
          <w:szCs w:val="20"/>
        </w:rPr>
      </w:pPr>
      <w:r w:rsidRPr="00830439">
        <w:rPr>
          <w:rFonts w:cs="Arial"/>
          <w:szCs w:val="20"/>
        </w:rPr>
        <w:t>Za MSP je ocenjena kvantificirana skupna ponudba vsakega finančnega produkta za dve kategoriji velikosti MSP (</w:t>
      </w:r>
      <w:proofErr w:type="spellStart"/>
      <w:r w:rsidRPr="00830439">
        <w:rPr>
          <w:rFonts w:cs="Arial"/>
          <w:szCs w:val="20"/>
        </w:rPr>
        <w:t>mikro</w:t>
      </w:r>
      <w:proofErr w:type="spellEnd"/>
      <w:r w:rsidRPr="00830439">
        <w:rPr>
          <w:rFonts w:cs="Arial"/>
          <w:szCs w:val="20"/>
        </w:rPr>
        <w:t xml:space="preserve"> ter mala in srednje velika).</w:t>
      </w:r>
    </w:p>
    <w:p w14:paraId="547895E9" w14:textId="77777777" w:rsidR="003E3ED9" w:rsidRPr="00830439" w:rsidRDefault="003E3ED9" w:rsidP="003E3ED9">
      <w:pPr>
        <w:jc w:val="both"/>
        <w:rPr>
          <w:rFonts w:cs="Arial"/>
          <w:szCs w:val="20"/>
        </w:rPr>
      </w:pPr>
    </w:p>
    <w:p w14:paraId="311BF5E5" w14:textId="77777777" w:rsidR="003E3ED9" w:rsidRPr="00830439" w:rsidRDefault="003E3ED9" w:rsidP="003E3ED9">
      <w:pPr>
        <w:jc w:val="both"/>
        <w:rPr>
          <w:rFonts w:cs="Arial"/>
          <w:szCs w:val="20"/>
        </w:rPr>
      </w:pPr>
      <w:proofErr w:type="spellStart"/>
      <w:r w:rsidRPr="00830439">
        <w:rPr>
          <w:rFonts w:cs="Arial"/>
          <w:szCs w:val="20"/>
        </w:rPr>
        <w:t>Mikrofinanciranje</w:t>
      </w:r>
      <w:proofErr w:type="spellEnd"/>
    </w:p>
    <w:p w14:paraId="18B51B66" w14:textId="77777777" w:rsidR="003E3ED9" w:rsidRPr="00830439" w:rsidRDefault="003E3ED9" w:rsidP="003E3ED9">
      <w:pPr>
        <w:jc w:val="both"/>
        <w:rPr>
          <w:rFonts w:cs="Arial"/>
          <w:szCs w:val="20"/>
        </w:rPr>
      </w:pPr>
      <w:r w:rsidRPr="00830439">
        <w:rPr>
          <w:rFonts w:cs="Arial"/>
          <w:szCs w:val="20"/>
        </w:rPr>
        <w:t xml:space="preserve">V Sloveniji se potencialna vrzel financiranja za </w:t>
      </w:r>
      <w:proofErr w:type="spellStart"/>
      <w:r w:rsidRPr="00830439">
        <w:rPr>
          <w:rFonts w:cs="Arial"/>
          <w:szCs w:val="20"/>
        </w:rPr>
        <w:t>mikrofinanciranje</w:t>
      </w:r>
      <w:proofErr w:type="spellEnd"/>
      <w:r w:rsidRPr="00830439">
        <w:rPr>
          <w:rFonts w:cs="Arial"/>
          <w:szCs w:val="20"/>
        </w:rPr>
        <w:t xml:space="preserve"> v letu 2015 giblje med 1138 mio EUR in 1260 mio EUR. Vrzel </w:t>
      </w:r>
      <w:proofErr w:type="spellStart"/>
      <w:r w:rsidRPr="00830439">
        <w:rPr>
          <w:rFonts w:cs="Arial"/>
          <w:szCs w:val="20"/>
        </w:rPr>
        <w:t>mikrofinanciranja</w:t>
      </w:r>
      <w:proofErr w:type="spellEnd"/>
      <w:r w:rsidRPr="00830439">
        <w:rPr>
          <w:rFonts w:cs="Arial"/>
          <w:szCs w:val="20"/>
        </w:rPr>
        <w:t xml:space="preserve"> se delno lahko pojasni z omejeno ponudbo </w:t>
      </w:r>
      <w:proofErr w:type="spellStart"/>
      <w:r w:rsidRPr="00830439">
        <w:rPr>
          <w:rFonts w:cs="Arial"/>
          <w:szCs w:val="20"/>
        </w:rPr>
        <w:t>mikrofinanciranja</w:t>
      </w:r>
      <w:proofErr w:type="spellEnd"/>
      <w:r w:rsidRPr="00830439">
        <w:rPr>
          <w:rFonts w:cs="Arial"/>
          <w:szCs w:val="20"/>
        </w:rPr>
        <w:t xml:space="preserve"> v Sloveniji. Uporaba sredstev evropske kohezijske politike za financiranje produktov </w:t>
      </w:r>
      <w:proofErr w:type="spellStart"/>
      <w:r w:rsidRPr="00830439">
        <w:rPr>
          <w:rFonts w:cs="Arial"/>
          <w:szCs w:val="20"/>
        </w:rPr>
        <w:t>mikrofinanciranja</w:t>
      </w:r>
      <w:proofErr w:type="spellEnd"/>
      <w:r w:rsidRPr="00830439">
        <w:rPr>
          <w:rFonts w:cs="Arial"/>
          <w:szCs w:val="20"/>
        </w:rPr>
        <w:t xml:space="preserve"> ter za podporo institucijam, ki v programskem obdobju 2014-2020 </w:t>
      </w:r>
      <w:r w:rsidRPr="00830439">
        <w:rPr>
          <w:rFonts w:cs="Arial"/>
          <w:szCs w:val="20"/>
        </w:rPr>
        <w:lastRenderedPageBreak/>
        <w:t xml:space="preserve">nudijo </w:t>
      </w:r>
      <w:proofErr w:type="spellStart"/>
      <w:r w:rsidRPr="00830439">
        <w:rPr>
          <w:rFonts w:cs="Arial"/>
          <w:szCs w:val="20"/>
        </w:rPr>
        <w:t>mikrofinanciranje</w:t>
      </w:r>
      <w:proofErr w:type="spellEnd"/>
      <w:r w:rsidRPr="00830439">
        <w:rPr>
          <w:rFonts w:cs="Arial"/>
          <w:szCs w:val="20"/>
        </w:rPr>
        <w:t xml:space="preserve">, bi koristila velikemu številu </w:t>
      </w:r>
      <w:proofErr w:type="spellStart"/>
      <w:r w:rsidRPr="00830439">
        <w:rPr>
          <w:rFonts w:cs="Arial"/>
          <w:szCs w:val="20"/>
        </w:rPr>
        <w:t>mikro</w:t>
      </w:r>
      <w:proofErr w:type="spellEnd"/>
      <w:r w:rsidRPr="00830439">
        <w:rPr>
          <w:rFonts w:cs="Arial"/>
          <w:szCs w:val="20"/>
        </w:rPr>
        <w:t xml:space="preserve"> podjetij v državi in bi spodbudila ustanavljanje podjetij ter trajnost novo ustanovljenih podjetij.</w:t>
      </w:r>
    </w:p>
    <w:p w14:paraId="76E8DD49" w14:textId="77777777" w:rsidR="003E3ED9" w:rsidRPr="00830439" w:rsidRDefault="003E3ED9" w:rsidP="003E3ED9">
      <w:pPr>
        <w:jc w:val="both"/>
        <w:rPr>
          <w:rFonts w:cs="Arial"/>
          <w:szCs w:val="20"/>
        </w:rPr>
      </w:pPr>
    </w:p>
    <w:p w14:paraId="5E7E336D" w14:textId="77777777" w:rsidR="003E3ED9" w:rsidRPr="00F60B42" w:rsidRDefault="003E3ED9" w:rsidP="003E3ED9">
      <w:pPr>
        <w:keepNext/>
        <w:spacing w:line="240" w:lineRule="auto"/>
        <w:jc w:val="both"/>
        <w:rPr>
          <w:rFonts w:cs="Arial"/>
          <w:szCs w:val="20"/>
        </w:rPr>
      </w:pPr>
      <w:bookmarkStart w:id="11" w:name="_Toc132097852"/>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w:t>
      </w:r>
      <w:r w:rsidRPr="00F60B42">
        <w:rPr>
          <w:rFonts w:cs="Arial"/>
          <w:szCs w:val="20"/>
        </w:rPr>
        <w:fldChar w:fldCharType="end"/>
      </w:r>
      <w:r w:rsidRPr="00830439">
        <w:rPr>
          <w:rFonts w:cs="Arial"/>
          <w:szCs w:val="20"/>
        </w:rPr>
        <w:t xml:space="preserve">: Potencialna vrzel financiranja za </w:t>
      </w:r>
      <w:proofErr w:type="spellStart"/>
      <w:r w:rsidRPr="00830439">
        <w:rPr>
          <w:rFonts w:cs="Arial"/>
          <w:szCs w:val="20"/>
        </w:rPr>
        <w:t>m</w:t>
      </w:r>
      <w:r w:rsidRPr="00F60B42">
        <w:rPr>
          <w:rFonts w:cs="Arial"/>
          <w:szCs w:val="20"/>
        </w:rPr>
        <w:t>ikrofinanciranje</w:t>
      </w:r>
      <w:proofErr w:type="spellEnd"/>
      <w:r w:rsidRPr="00F60B42">
        <w:rPr>
          <w:rFonts w:cs="Arial"/>
          <w:szCs w:val="20"/>
        </w:rPr>
        <w:t xml:space="preserve"> </w:t>
      </w:r>
      <w:proofErr w:type="spellStart"/>
      <w:r w:rsidRPr="00F60B42">
        <w:rPr>
          <w:rFonts w:cs="Arial"/>
          <w:szCs w:val="20"/>
        </w:rPr>
        <w:t>mikro</w:t>
      </w:r>
      <w:proofErr w:type="spellEnd"/>
      <w:r w:rsidRPr="00F60B42">
        <w:rPr>
          <w:rFonts w:cs="Arial"/>
          <w:szCs w:val="20"/>
        </w:rPr>
        <w:t xml:space="preserve"> podjetij v letu 2015</w:t>
      </w:r>
      <w:bookmarkEnd w:id="11"/>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54" w:type="dxa"/>
          <w:right w:w="73" w:type="dxa"/>
        </w:tblCellMar>
        <w:tblLook w:val="04A0" w:firstRow="1" w:lastRow="0" w:firstColumn="1" w:lastColumn="0" w:noHBand="0" w:noVBand="1"/>
      </w:tblPr>
      <w:tblGrid>
        <w:gridCol w:w="1687"/>
        <w:gridCol w:w="1738"/>
        <w:gridCol w:w="2130"/>
        <w:gridCol w:w="2933"/>
      </w:tblGrid>
      <w:tr w:rsidR="003E3ED9" w:rsidRPr="00830439" w14:paraId="046C2482" w14:textId="77777777" w:rsidTr="00E8716B">
        <w:trPr>
          <w:trHeight w:val="743"/>
        </w:trPr>
        <w:tc>
          <w:tcPr>
            <w:tcW w:w="993" w:type="pct"/>
            <w:shd w:val="clear" w:color="auto" w:fill="auto"/>
            <w:vAlign w:val="center"/>
          </w:tcPr>
          <w:p w14:paraId="2A87CAD2" w14:textId="77777777" w:rsidR="003E3ED9" w:rsidRPr="00F60B42" w:rsidRDefault="003E3ED9" w:rsidP="00E8716B">
            <w:pPr>
              <w:keepNext/>
              <w:keepLines/>
              <w:widowControl w:val="0"/>
              <w:ind w:left="98"/>
              <w:jc w:val="center"/>
              <w:rPr>
                <w:rFonts w:cs="Arial"/>
                <w:sz w:val="20"/>
                <w:szCs w:val="20"/>
              </w:rPr>
            </w:pPr>
          </w:p>
        </w:tc>
        <w:tc>
          <w:tcPr>
            <w:tcW w:w="1024" w:type="pct"/>
            <w:shd w:val="clear" w:color="auto" w:fill="auto"/>
            <w:vAlign w:val="center"/>
          </w:tcPr>
          <w:p w14:paraId="367C952F"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Vrzel financiranja obstoječih </w:t>
            </w:r>
            <w:proofErr w:type="spellStart"/>
            <w:r w:rsidRPr="00830439">
              <w:rPr>
                <w:rFonts w:cs="Arial"/>
                <w:sz w:val="20"/>
                <w:szCs w:val="20"/>
              </w:rPr>
              <w:t>mikro</w:t>
            </w:r>
            <w:proofErr w:type="spellEnd"/>
            <w:r w:rsidRPr="00830439">
              <w:rPr>
                <w:rFonts w:cs="Arial"/>
                <w:sz w:val="20"/>
                <w:szCs w:val="20"/>
              </w:rPr>
              <w:t xml:space="preserve"> podjetij</w:t>
            </w:r>
          </w:p>
        </w:tc>
        <w:tc>
          <w:tcPr>
            <w:tcW w:w="1255" w:type="pct"/>
            <w:shd w:val="clear" w:color="auto" w:fill="auto"/>
            <w:vAlign w:val="center"/>
          </w:tcPr>
          <w:p w14:paraId="6473FD12" w14:textId="77777777" w:rsidR="003E3ED9" w:rsidRPr="00830439" w:rsidRDefault="003E3ED9" w:rsidP="00E8716B">
            <w:pPr>
              <w:keepNext/>
              <w:keepLines/>
              <w:widowControl w:val="0"/>
              <w:jc w:val="center"/>
              <w:rPr>
                <w:rFonts w:cs="Arial"/>
                <w:sz w:val="20"/>
                <w:szCs w:val="20"/>
              </w:rPr>
            </w:pPr>
            <w:r w:rsidRPr="00830439">
              <w:rPr>
                <w:rFonts w:cs="Arial"/>
                <w:sz w:val="20"/>
                <w:szCs w:val="20"/>
              </w:rPr>
              <w:t>Vrzel financiranja, vključno s finančnim vključevanjem</w:t>
            </w:r>
          </w:p>
        </w:tc>
        <w:tc>
          <w:tcPr>
            <w:tcW w:w="1729" w:type="pct"/>
            <w:shd w:val="clear" w:color="auto" w:fill="auto"/>
            <w:vAlign w:val="center"/>
          </w:tcPr>
          <w:p w14:paraId="50C082F0" w14:textId="77777777" w:rsidR="003E3ED9" w:rsidRPr="00830439" w:rsidRDefault="003E3ED9" w:rsidP="00E8716B">
            <w:pPr>
              <w:keepNext/>
              <w:keepLines/>
              <w:widowControl w:val="0"/>
              <w:jc w:val="center"/>
              <w:rPr>
                <w:rFonts w:cs="Arial"/>
                <w:sz w:val="20"/>
                <w:szCs w:val="20"/>
              </w:rPr>
            </w:pPr>
            <w:r w:rsidRPr="00830439">
              <w:rPr>
                <w:rFonts w:cs="Arial"/>
                <w:sz w:val="20"/>
                <w:szCs w:val="20"/>
              </w:rPr>
              <w:t>Vrzel financiranja, vključno s finančnim vključevanjem in socialnim podjetništvom</w:t>
            </w:r>
          </w:p>
        </w:tc>
      </w:tr>
      <w:tr w:rsidR="003E3ED9" w:rsidRPr="00830439" w14:paraId="3B0E2AAD" w14:textId="77777777" w:rsidTr="00E8716B">
        <w:trPr>
          <w:trHeight w:val="334"/>
        </w:trPr>
        <w:tc>
          <w:tcPr>
            <w:tcW w:w="993" w:type="pct"/>
            <w:shd w:val="clear" w:color="auto" w:fill="auto"/>
            <w:vAlign w:val="center"/>
          </w:tcPr>
          <w:p w14:paraId="43C1313E" w14:textId="77777777" w:rsidR="003E3ED9" w:rsidRPr="00F60B42" w:rsidRDefault="003E3ED9" w:rsidP="00E8716B">
            <w:pPr>
              <w:keepNext/>
              <w:keepLines/>
              <w:widowControl w:val="0"/>
              <w:jc w:val="center"/>
              <w:rPr>
                <w:rFonts w:cs="Arial"/>
                <w:sz w:val="20"/>
                <w:szCs w:val="20"/>
              </w:rPr>
            </w:pPr>
            <w:proofErr w:type="spellStart"/>
            <w:r w:rsidRPr="00830439">
              <w:rPr>
                <w:rFonts w:cs="Arial"/>
                <w:sz w:val="20"/>
                <w:szCs w:val="20"/>
              </w:rPr>
              <w:t>Mikrofinanciranje</w:t>
            </w:r>
            <w:proofErr w:type="spellEnd"/>
            <w:r w:rsidRPr="00830439">
              <w:rPr>
                <w:rFonts w:cs="Arial"/>
                <w:sz w:val="20"/>
                <w:szCs w:val="20"/>
              </w:rPr>
              <w:t xml:space="preserve"> v mio EUR</w:t>
            </w:r>
          </w:p>
        </w:tc>
        <w:tc>
          <w:tcPr>
            <w:tcW w:w="1024" w:type="pct"/>
            <w:shd w:val="clear" w:color="auto" w:fill="auto"/>
            <w:vAlign w:val="center"/>
          </w:tcPr>
          <w:p w14:paraId="658B0332" w14:textId="77777777" w:rsidR="003E3ED9" w:rsidRPr="004005A5" w:rsidRDefault="003E3ED9" w:rsidP="00E8716B">
            <w:pPr>
              <w:keepNext/>
              <w:keepLines/>
              <w:widowControl w:val="0"/>
              <w:ind w:left="20"/>
              <w:jc w:val="center"/>
              <w:rPr>
                <w:rFonts w:cs="Arial"/>
                <w:sz w:val="20"/>
                <w:szCs w:val="20"/>
              </w:rPr>
            </w:pPr>
            <w:r w:rsidRPr="00F60B42">
              <w:rPr>
                <w:rFonts w:cs="Arial"/>
                <w:b/>
                <w:sz w:val="20"/>
                <w:szCs w:val="20"/>
              </w:rPr>
              <w:t>1105 – 1227</w:t>
            </w:r>
          </w:p>
        </w:tc>
        <w:tc>
          <w:tcPr>
            <w:tcW w:w="1255" w:type="pct"/>
            <w:shd w:val="clear" w:color="auto" w:fill="auto"/>
            <w:vAlign w:val="center"/>
          </w:tcPr>
          <w:p w14:paraId="21066FAE" w14:textId="77777777" w:rsidR="003E3ED9" w:rsidRPr="00830439" w:rsidRDefault="003E3ED9" w:rsidP="00E8716B">
            <w:pPr>
              <w:keepNext/>
              <w:keepLines/>
              <w:widowControl w:val="0"/>
              <w:ind w:left="16"/>
              <w:jc w:val="center"/>
              <w:rPr>
                <w:rFonts w:cs="Arial"/>
                <w:sz w:val="20"/>
                <w:szCs w:val="20"/>
              </w:rPr>
            </w:pPr>
            <w:r w:rsidRPr="00830439">
              <w:rPr>
                <w:rFonts w:cs="Arial"/>
                <w:b/>
                <w:sz w:val="20"/>
                <w:szCs w:val="20"/>
              </w:rPr>
              <w:t>1137 – 1260</w:t>
            </w:r>
          </w:p>
        </w:tc>
        <w:tc>
          <w:tcPr>
            <w:tcW w:w="1729" w:type="pct"/>
            <w:shd w:val="clear" w:color="auto" w:fill="auto"/>
            <w:vAlign w:val="center"/>
          </w:tcPr>
          <w:p w14:paraId="0EF729E0" w14:textId="77777777" w:rsidR="003E3ED9" w:rsidRPr="00830439" w:rsidRDefault="003E3ED9" w:rsidP="00E8716B">
            <w:pPr>
              <w:keepNext/>
              <w:keepLines/>
              <w:widowControl w:val="0"/>
              <w:ind w:left="16"/>
              <w:jc w:val="center"/>
              <w:rPr>
                <w:rFonts w:cs="Arial"/>
                <w:sz w:val="20"/>
                <w:szCs w:val="20"/>
              </w:rPr>
            </w:pPr>
            <w:r w:rsidRPr="00830439">
              <w:rPr>
                <w:rFonts w:cs="Arial"/>
                <w:b/>
                <w:sz w:val="20"/>
                <w:szCs w:val="20"/>
              </w:rPr>
              <w:t>1138 – 1260</w:t>
            </w:r>
          </w:p>
        </w:tc>
      </w:tr>
    </w:tbl>
    <w:p w14:paraId="29880072" w14:textId="77777777" w:rsidR="003E3ED9" w:rsidRPr="00F60B42" w:rsidRDefault="003E3ED9" w:rsidP="003E3ED9">
      <w:pPr>
        <w:keepNext/>
        <w:keepLines/>
        <w:widowControl w:val="0"/>
        <w:jc w:val="both"/>
        <w:rPr>
          <w:rFonts w:cs="Arial"/>
          <w:szCs w:val="20"/>
        </w:rPr>
      </w:pPr>
      <w:r w:rsidRPr="00830439">
        <w:rPr>
          <w:rFonts w:cs="Arial"/>
          <w:szCs w:val="20"/>
        </w:rPr>
        <w:t>Vir: Predhodna analiza FI, 2015</w:t>
      </w:r>
    </w:p>
    <w:p w14:paraId="6185E7D5" w14:textId="77777777" w:rsidR="003E3ED9" w:rsidRPr="00F60B42" w:rsidRDefault="003E3ED9" w:rsidP="003E3ED9">
      <w:pPr>
        <w:jc w:val="both"/>
        <w:rPr>
          <w:rFonts w:cs="Arial"/>
          <w:szCs w:val="20"/>
        </w:rPr>
      </w:pPr>
    </w:p>
    <w:p w14:paraId="691BCF16" w14:textId="77777777" w:rsidR="003E3ED9" w:rsidRPr="00830439" w:rsidRDefault="003E3ED9" w:rsidP="003E3ED9">
      <w:pPr>
        <w:jc w:val="both"/>
        <w:rPr>
          <w:rFonts w:cs="Arial"/>
          <w:szCs w:val="20"/>
        </w:rPr>
      </w:pPr>
      <w:r w:rsidRPr="00830439">
        <w:rPr>
          <w:rFonts w:cs="Arial"/>
          <w:szCs w:val="20"/>
        </w:rPr>
        <w:t>Kratkoročna posojila</w:t>
      </w:r>
    </w:p>
    <w:p w14:paraId="6AE470BB" w14:textId="77777777" w:rsidR="003E3ED9" w:rsidRPr="00830439" w:rsidRDefault="003E3ED9" w:rsidP="003E3ED9">
      <w:pPr>
        <w:jc w:val="both"/>
        <w:rPr>
          <w:rFonts w:cs="Arial"/>
          <w:szCs w:val="20"/>
        </w:rPr>
      </w:pPr>
      <w:r w:rsidRPr="00830439">
        <w:rPr>
          <w:rFonts w:cs="Arial"/>
          <w:szCs w:val="20"/>
        </w:rPr>
        <w:t>Komercialne banke se ne soočajo z likvidnostnimi težavami, vendar so kljub temu posojila pripravljene dajati le stabilnim MSP z zanesljivimi prihodnjimi denarnimi tokovi.</w:t>
      </w:r>
    </w:p>
    <w:p w14:paraId="58C5ABCB" w14:textId="77777777" w:rsidR="003E3ED9" w:rsidRPr="00830439" w:rsidRDefault="003E3ED9" w:rsidP="003E3ED9">
      <w:pPr>
        <w:jc w:val="both"/>
        <w:rPr>
          <w:rFonts w:cs="Arial"/>
          <w:szCs w:val="20"/>
        </w:rPr>
      </w:pPr>
    </w:p>
    <w:p w14:paraId="325C804F" w14:textId="77777777" w:rsidR="003E3ED9" w:rsidRPr="00830439" w:rsidRDefault="003E3ED9" w:rsidP="003E3ED9">
      <w:pPr>
        <w:jc w:val="both"/>
        <w:rPr>
          <w:rFonts w:cs="Arial"/>
          <w:szCs w:val="20"/>
        </w:rPr>
      </w:pPr>
      <w:r w:rsidRPr="00830439">
        <w:rPr>
          <w:rFonts w:cs="Arial"/>
          <w:szCs w:val="20"/>
        </w:rPr>
        <w:t>Na strani povpraševanja vseh kategorij velikosti MSP, le-ta potrebujejo obratni kapital, da bi kratkoročno ostale operativne, čeprav je njihova aktivnost na relativno nizki ravni. Ugotovitve potencialnih vrzeli financiranja razkrivajo težave obeh kategorij MSP pri dostopanju do kratkoročnega posojilnega financiranja. Medtem, ko imajo po številu MSP manjši obseg, so vrzeli financiranja pri tej kategoriji večje, predvsem zato, ker običajno potrebujejo višji znesek, pomemben del uspešnih MSP pa je neuspešen pri dostopanju do posojilnega financiranja v Sloveniji.</w:t>
      </w:r>
    </w:p>
    <w:p w14:paraId="21B33051" w14:textId="77777777" w:rsidR="003E3ED9" w:rsidRPr="00830439" w:rsidRDefault="003E3ED9" w:rsidP="003E3ED9">
      <w:pPr>
        <w:jc w:val="both"/>
        <w:rPr>
          <w:rFonts w:cs="Arial"/>
          <w:szCs w:val="20"/>
        </w:rPr>
      </w:pPr>
    </w:p>
    <w:p w14:paraId="72515031" w14:textId="77777777" w:rsidR="003E3ED9" w:rsidRPr="00F60B42" w:rsidRDefault="003E3ED9" w:rsidP="003E3ED9">
      <w:pPr>
        <w:keepNext/>
        <w:spacing w:line="240" w:lineRule="auto"/>
        <w:jc w:val="both"/>
        <w:rPr>
          <w:rFonts w:cs="Arial"/>
          <w:szCs w:val="20"/>
        </w:rPr>
      </w:pPr>
      <w:bookmarkStart w:id="12" w:name="_Toc132097853"/>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2</w:t>
      </w:r>
      <w:r w:rsidRPr="00F60B42">
        <w:rPr>
          <w:rFonts w:cs="Arial"/>
          <w:szCs w:val="20"/>
        </w:rPr>
        <w:fldChar w:fldCharType="end"/>
      </w:r>
      <w:r w:rsidRPr="00830439">
        <w:rPr>
          <w:rFonts w:cs="Arial"/>
          <w:szCs w:val="20"/>
        </w:rPr>
        <w:t>: Dejanske vrzeli financiranja za kratkoročna posojila, prekoračitve na tekočih računih in kreditne linije v letu 2015</w:t>
      </w:r>
      <w:bookmarkEnd w:id="12"/>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62" w:type="dxa"/>
          <w:right w:w="30" w:type="dxa"/>
        </w:tblCellMar>
        <w:tblLook w:val="04A0" w:firstRow="1" w:lastRow="0" w:firstColumn="1" w:lastColumn="0" w:noHBand="0" w:noVBand="1"/>
      </w:tblPr>
      <w:tblGrid>
        <w:gridCol w:w="2321"/>
        <w:gridCol w:w="2010"/>
        <w:gridCol w:w="2010"/>
        <w:gridCol w:w="2147"/>
      </w:tblGrid>
      <w:tr w:rsidR="003E3ED9" w:rsidRPr="00830439" w14:paraId="52D5057B" w14:textId="77777777" w:rsidTr="00E8716B">
        <w:trPr>
          <w:trHeight w:val="743"/>
        </w:trPr>
        <w:tc>
          <w:tcPr>
            <w:tcW w:w="1367" w:type="pct"/>
            <w:shd w:val="clear" w:color="auto" w:fill="auto"/>
            <w:vAlign w:val="center"/>
          </w:tcPr>
          <w:p w14:paraId="347E4D8E" w14:textId="77777777" w:rsidR="003E3ED9" w:rsidRPr="00F60B42" w:rsidRDefault="003E3ED9" w:rsidP="00E8716B">
            <w:pPr>
              <w:keepNext/>
              <w:keepLines/>
              <w:widowControl w:val="0"/>
              <w:ind w:left="7"/>
              <w:jc w:val="center"/>
              <w:rPr>
                <w:rFonts w:cs="Arial"/>
                <w:sz w:val="20"/>
                <w:szCs w:val="20"/>
              </w:rPr>
            </w:pPr>
          </w:p>
        </w:tc>
        <w:tc>
          <w:tcPr>
            <w:tcW w:w="1184" w:type="pct"/>
            <w:shd w:val="clear" w:color="auto" w:fill="auto"/>
            <w:vAlign w:val="center"/>
          </w:tcPr>
          <w:p w14:paraId="6C720DD6"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Dejanska vrzel financiranja za </w:t>
            </w:r>
            <w:proofErr w:type="spellStart"/>
            <w:r w:rsidRPr="00830439">
              <w:rPr>
                <w:rFonts w:cs="Arial"/>
                <w:sz w:val="20"/>
                <w:szCs w:val="20"/>
              </w:rPr>
              <w:t>mikro</w:t>
            </w:r>
            <w:proofErr w:type="spellEnd"/>
            <w:r w:rsidRPr="00830439">
              <w:rPr>
                <w:rFonts w:cs="Arial"/>
                <w:sz w:val="20"/>
                <w:szCs w:val="20"/>
              </w:rPr>
              <w:t xml:space="preserve"> podjetja </w:t>
            </w:r>
          </w:p>
        </w:tc>
        <w:tc>
          <w:tcPr>
            <w:tcW w:w="1184" w:type="pct"/>
            <w:shd w:val="clear" w:color="auto" w:fill="auto"/>
            <w:vAlign w:val="center"/>
          </w:tcPr>
          <w:p w14:paraId="6E89AEFE"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Dejanska vrzel financiranja za mala in srednje velika podjetja</w:t>
            </w:r>
          </w:p>
        </w:tc>
        <w:tc>
          <w:tcPr>
            <w:tcW w:w="1265" w:type="pct"/>
            <w:shd w:val="clear" w:color="auto" w:fill="auto"/>
            <w:vAlign w:val="center"/>
          </w:tcPr>
          <w:p w14:paraId="330B47FA"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Dejanska vrzel financiranja za </w:t>
            </w:r>
            <w:proofErr w:type="spellStart"/>
            <w:r w:rsidRPr="00830439">
              <w:rPr>
                <w:rFonts w:cs="Arial"/>
                <w:sz w:val="20"/>
                <w:szCs w:val="20"/>
              </w:rPr>
              <w:t>mikro</w:t>
            </w:r>
            <w:proofErr w:type="spellEnd"/>
            <w:r w:rsidRPr="00830439">
              <w:rPr>
                <w:rFonts w:cs="Arial"/>
                <w:sz w:val="20"/>
                <w:szCs w:val="20"/>
              </w:rPr>
              <w:t xml:space="preserve">, mala in srednje velika podjetja </w:t>
            </w:r>
          </w:p>
        </w:tc>
      </w:tr>
      <w:tr w:rsidR="003E3ED9" w:rsidRPr="00830439" w14:paraId="23EADE2F" w14:textId="77777777" w:rsidTr="00E8716B">
        <w:trPr>
          <w:trHeight w:val="740"/>
        </w:trPr>
        <w:tc>
          <w:tcPr>
            <w:tcW w:w="1367" w:type="pct"/>
            <w:shd w:val="clear" w:color="auto" w:fill="auto"/>
            <w:vAlign w:val="center"/>
          </w:tcPr>
          <w:p w14:paraId="51401A59"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Kratkoročna posojila</w:t>
            </w:r>
          </w:p>
          <w:p w14:paraId="233F99EE" w14:textId="77777777" w:rsidR="003E3ED9" w:rsidRPr="00F60B42" w:rsidRDefault="003E3ED9" w:rsidP="00E8716B">
            <w:pPr>
              <w:keepNext/>
              <w:keepLines/>
              <w:widowControl w:val="0"/>
              <w:ind w:left="7"/>
              <w:jc w:val="center"/>
              <w:rPr>
                <w:rFonts w:cs="Arial"/>
                <w:sz w:val="20"/>
                <w:szCs w:val="20"/>
              </w:rPr>
            </w:pPr>
            <w:r w:rsidRPr="00F60B42">
              <w:rPr>
                <w:rFonts w:cs="Arial"/>
                <w:sz w:val="20"/>
                <w:szCs w:val="20"/>
              </w:rPr>
              <w:t>(v mio EUR)</w:t>
            </w:r>
          </w:p>
        </w:tc>
        <w:tc>
          <w:tcPr>
            <w:tcW w:w="1184" w:type="pct"/>
            <w:shd w:val="clear" w:color="auto" w:fill="auto"/>
            <w:vAlign w:val="center"/>
          </w:tcPr>
          <w:p w14:paraId="5A0111E1" w14:textId="77777777" w:rsidR="003E3ED9" w:rsidRPr="00830439" w:rsidRDefault="003E3ED9" w:rsidP="00E8716B">
            <w:pPr>
              <w:keepNext/>
              <w:keepLines/>
              <w:widowControl w:val="0"/>
              <w:ind w:left="7" w:right="31"/>
              <w:jc w:val="center"/>
              <w:rPr>
                <w:rFonts w:cs="Arial"/>
                <w:b/>
                <w:sz w:val="20"/>
                <w:szCs w:val="20"/>
              </w:rPr>
            </w:pPr>
            <w:r w:rsidRPr="00830439">
              <w:rPr>
                <w:rFonts w:cs="Arial"/>
                <w:b/>
                <w:sz w:val="20"/>
                <w:szCs w:val="20"/>
              </w:rPr>
              <w:t>130 – 144</w:t>
            </w:r>
          </w:p>
        </w:tc>
        <w:tc>
          <w:tcPr>
            <w:tcW w:w="1184" w:type="pct"/>
            <w:shd w:val="clear" w:color="auto" w:fill="auto"/>
            <w:vAlign w:val="center"/>
          </w:tcPr>
          <w:p w14:paraId="7617DD72" w14:textId="77777777" w:rsidR="003E3ED9" w:rsidRPr="00830439" w:rsidRDefault="003E3ED9" w:rsidP="00E8716B">
            <w:pPr>
              <w:keepNext/>
              <w:keepLines/>
              <w:widowControl w:val="0"/>
              <w:ind w:left="7" w:right="30"/>
              <w:jc w:val="center"/>
              <w:rPr>
                <w:rFonts w:cs="Arial"/>
                <w:b/>
                <w:sz w:val="20"/>
                <w:szCs w:val="20"/>
              </w:rPr>
            </w:pPr>
            <w:r w:rsidRPr="00830439">
              <w:rPr>
                <w:rFonts w:cs="Arial"/>
                <w:b/>
                <w:sz w:val="20"/>
                <w:szCs w:val="20"/>
              </w:rPr>
              <w:t>599 – 662</w:t>
            </w:r>
          </w:p>
        </w:tc>
        <w:tc>
          <w:tcPr>
            <w:tcW w:w="1265" w:type="pct"/>
            <w:shd w:val="clear" w:color="auto" w:fill="auto"/>
            <w:vAlign w:val="center"/>
          </w:tcPr>
          <w:p w14:paraId="0C975029" w14:textId="77777777" w:rsidR="003E3ED9" w:rsidRPr="00830439" w:rsidRDefault="003E3ED9" w:rsidP="00E8716B">
            <w:pPr>
              <w:keepNext/>
              <w:keepLines/>
              <w:widowControl w:val="0"/>
              <w:ind w:left="7" w:right="32"/>
              <w:jc w:val="center"/>
              <w:rPr>
                <w:rFonts w:cs="Arial"/>
                <w:b/>
                <w:sz w:val="20"/>
                <w:szCs w:val="20"/>
              </w:rPr>
            </w:pPr>
            <w:r w:rsidRPr="00830439">
              <w:rPr>
                <w:rFonts w:cs="Arial"/>
                <w:b/>
                <w:sz w:val="20"/>
                <w:szCs w:val="20"/>
              </w:rPr>
              <w:t>730 – 807</w:t>
            </w:r>
          </w:p>
        </w:tc>
      </w:tr>
    </w:tbl>
    <w:p w14:paraId="045A67C7" w14:textId="77777777" w:rsidR="003E3ED9" w:rsidRPr="00F60B42" w:rsidRDefault="003E3ED9" w:rsidP="003E3ED9">
      <w:pPr>
        <w:jc w:val="both"/>
        <w:rPr>
          <w:rFonts w:cs="Arial"/>
          <w:szCs w:val="20"/>
        </w:rPr>
      </w:pPr>
      <w:r w:rsidRPr="00830439">
        <w:rPr>
          <w:rFonts w:cs="Arial"/>
          <w:szCs w:val="20"/>
        </w:rPr>
        <w:t>Vir: Predhodna analiza FI, 2015</w:t>
      </w:r>
    </w:p>
    <w:p w14:paraId="1B4BE156" w14:textId="77777777" w:rsidR="003E3ED9" w:rsidRPr="00F60B42" w:rsidRDefault="003E3ED9" w:rsidP="003E3ED9">
      <w:pPr>
        <w:jc w:val="both"/>
        <w:rPr>
          <w:rFonts w:cs="Arial"/>
          <w:szCs w:val="20"/>
        </w:rPr>
      </w:pPr>
    </w:p>
    <w:p w14:paraId="491061E1" w14:textId="77777777" w:rsidR="003E3ED9" w:rsidRPr="00830439" w:rsidRDefault="003E3ED9" w:rsidP="003E3ED9">
      <w:pPr>
        <w:jc w:val="both"/>
        <w:rPr>
          <w:rFonts w:cs="Arial"/>
          <w:szCs w:val="20"/>
        </w:rPr>
      </w:pPr>
      <w:r w:rsidRPr="00830439">
        <w:rPr>
          <w:rFonts w:cs="Arial"/>
          <w:szCs w:val="20"/>
        </w:rPr>
        <w:t>Srednje- in dolgoročna posojila</w:t>
      </w:r>
    </w:p>
    <w:p w14:paraId="1487D313" w14:textId="77777777" w:rsidR="003E3ED9" w:rsidRPr="00830439" w:rsidRDefault="003E3ED9" w:rsidP="003E3ED9">
      <w:pPr>
        <w:jc w:val="both"/>
        <w:rPr>
          <w:rFonts w:cs="Arial"/>
          <w:szCs w:val="20"/>
        </w:rPr>
      </w:pPr>
      <w:r w:rsidRPr="00830439">
        <w:rPr>
          <w:rFonts w:cs="Arial"/>
          <w:szCs w:val="20"/>
        </w:rPr>
        <w:t>Vsa MSP, ne glede na velikost, uporabljajo srednje- in dolgoročno dolžniško financiranje v Sloveniji. Posojila potrebujejo tako za financiranje obnove opreme kot tudi za investicije in širjenje dejavnosti.</w:t>
      </w:r>
    </w:p>
    <w:p w14:paraId="39B94DAE" w14:textId="77777777" w:rsidR="003E3ED9" w:rsidRPr="00830439" w:rsidRDefault="003E3ED9" w:rsidP="003E3ED9">
      <w:pPr>
        <w:jc w:val="both"/>
        <w:rPr>
          <w:rFonts w:cs="Arial"/>
          <w:szCs w:val="20"/>
        </w:rPr>
      </w:pPr>
      <w:r w:rsidRPr="00830439">
        <w:rPr>
          <w:rFonts w:cs="Arial"/>
          <w:szCs w:val="20"/>
        </w:rPr>
        <w:t xml:space="preserve"> </w:t>
      </w:r>
    </w:p>
    <w:p w14:paraId="14E5D485" w14:textId="77777777" w:rsidR="003E3ED9" w:rsidRPr="00F60B42" w:rsidRDefault="003E3ED9" w:rsidP="003E3ED9">
      <w:pPr>
        <w:keepNext/>
        <w:spacing w:line="240" w:lineRule="auto"/>
        <w:jc w:val="both"/>
        <w:rPr>
          <w:rFonts w:cs="Arial"/>
          <w:szCs w:val="20"/>
        </w:rPr>
      </w:pPr>
      <w:bookmarkStart w:id="13" w:name="_Toc132097854"/>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3</w:t>
      </w:r>
      <w:r w:rsidRPr="00F60B42">
        <w:rPr>
          <w:rFonts w:cs="Arial"/>
          <w:szCs w:val="20"/>
        </w:rPr>
        <w:fldChar w:fldCharType="end"/>
      </w:r>
      <w:r w:rsidRPr="00830439">
        <w:rPr>
          <w:rFonts w:cs="Arial"/>
          <w:szCs w:val="20"/>
        </w:rPr>
        <w:t>: Dejanske vrzeli financiranja za srednje- in dolgoročna posojila v letu 2015</w:t>
      </w:r>
      <w:bookmarkEnd w:id="13"/>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62" w:type="dxa"/>
          <w:right w:w="34" w:type="dxa"/>
        </w:tblCellMar>
        <w:tblLook w:val="04A0" w:firstRow="1" w:lastRow="0" w:firstColumn="1" w:lastColumn="0" w:noHBand="0" w:noVBand="1"/>
      </w:tblPr>
      <w:tblGrid>
        <w:gridCol w:w="2327"/>
        <w:gridCol w:w="2015"/>
        <w:gridCol w:w="2017"/>
        <w:gridCol w:w="2129"/>
      </w:tblGrid>
      <w:tr w:rsidR="003E3ED9" w:rsidRPr="00830439" w14:paraId="60FA6B5F" w14:textId="77777777" w:rsidTr="00E8716B">
        <w:trPr>
          <w:trHeight w:val="742"/>
        </w:trPr>
        <w:tc>
          <w:tcPr>
            <w:tcW w:w="1371" w:type="pct"/>
            <w:shd w:val="clear" w:color="auto" w:fill="auto"/>
            <w:vAlign w:val="center"/>
          </w:tcPr>
          <w:p w14:paraId="5016B0A8" w14:textId="77777777" w:rsidR="003E3ED9" w:rsidRPr="00F60B42" w:rsidRDefault="003E3ED9" w:rsidP="00E8716B">
            <w:pPr>
              <w:keepNext/>
              <w:keepLines/>
              <w:widowControl w:val="0"/>
              <w:ind w:left="7"/>
              <w:jc w:val="center"/>
              <w:rPr>
                <w:rFonts w:cs="Arial"/>
                <w:sz w:val="20"/>
                <w:szCs w:val="20"/>
              </w:rPr>
            </w:pPr>
          </w:p>
        </w:tc>
        <w:tc>
          <w:tcPr>
            <w:tcW w:w="1187" w:type="pct"/>
            <w:shd w:val="clear" w:color="auto" w:fill="auto"/>
            <w:vAlign w:val="center"/>
          </w:tcPr>
          <w:p w14:paraId="1183FBAB"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Dejanska vrzel financiranja za </w:t>
            </w:r>
            <w:proofErr w:type="spellStart"/>
            <w:r w:rsidRPr="00830439">
              <w:rPr>
                <w:rFonts w:cs="Arial"/>
                <w:sz w:val="20"/>
                <w:szCs w:val="20"/>
              </w:rPr>
              <w:t>mikro</w:t>
            </w:r>
            <w:proofErr w:type="spellEnd"/>
            <w:r w:rsidRPr="00830439">
              <w:rPr>
                <w:rFonts w:cs="Arial"/>
                <w:sz w:val="20"/>
                <w:szCs w:val="20"/>
              </w:rPr>
              <w:t xml:space="preserve"> podjetja </w:t>
            </w:r>
          </w:p>
        </w:tc>
        <w:tc>
          <w:tcPr>
            <w:tcW w:w="1188" w:type="pct"/>
            <w:shd w:val="clear" w:color="auto" w:fill="auto"/>
            <w:vAlign w:val="center"/>
          </w:tcPr>
          <w:p w14:paraId="0F5A9269"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Dejanska vrzel financiranja za mala in srednje velika </w:t>
            </w:r>
          </w:p>
          <w:p w14:paraId="20AF7DF8" w14:textId="77777777" w:rsidR="003E3ED9" w:rsidRPr="00830439" w:rsidRDefault="003E3ED9" w:rsidP="00E8716B">
            <w:pPr>
              <w:keepNext/>
              <w:keepLines/>
              <w:widowControl w:val="0"/>
              <w:ind w:left="7" w:right="33"/>
              <w:jc w:val="center"/>
              <w:rPr>
                <w:rFonts w:cs="Arial"/>
                <w:sz w:val="20"/>
                <w:szCs w:val="20"/>
              </w:rPr>
            </w:pPr>
            <w:r w:rsidRPr="00830439">
              <w:rPr>
                <w:rFonts w:cs="Arial"/>
                <w:sz w:val="20"/>
                <w:szCs w:val="20"/>
              </w:rPr>
              <w:t xml:space="preserve">podjetja </w:t>
            </w:r>
          </w:p>
        </w:tc>
        <w:tc>
          <w:tcPr>
            <w:tcW w:w="1255" w:type="pct"/>
            <w:shd w:val="clear" w:color="auto" w:fill="auto"/>
            <w:vAlign w:val="center"/>
          </w:tcPr>
          <w:p w14:paraId="078052F0"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Dejanska vrzel financiranja za </w:t>
            </w:r>
            <w:proofErr w:type="spellStart"/>
            <w:r w:rsidRPr="00830439">
              <w:rPr>
                <w:rFonts w:cs="Arial"/>
                <w:sz w:val="20"/>
                <w:szCs w:val="20"/>
              </w:rPr>
              <w:t>mikro</w:t>
            </w:r>
            <w:proofErr w:type="spellEnd"/>
            <w:r w:rsidRPr="00830439">
              <w:rPr>
                <w:rFonts w:cs="Arial"/>
                <w:sz w:val="20"/>
                <w:szCs w:val="20"/>
              </w:rPr>
              <w:t xml:space="preserve">, mala in srednje velika podjetja </w:t>
            </w:r>
          </w:p>
        </w:tc>
      </w:tr>
      <w:tr w:rsidR="003E3ED9" w:rsidRPr="00830439" w14:paraId="7A5CDE6F" w14:textId="77777777" w:rsidTr="00E8716B">
        <w:trPr>
          <w:trHeight w:val="335"/>
        </w:trPr>
        <w:tc>
          <w:tcPr>
            <w:tcW w:w="1371" w:type="pct"/>
            <w:shd w:val="clear" w:color="auto" w:fill="auto"/>
            <w:vAlign w:val="center"/>
          </w:tcPr>
          <w:p w14:paraId="01F5FF78"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Srednje- in dolgoročna posojila (v mio EUR)</w:t>
            </w:r>
          </w:p>
        </w:tc>
        <w:tc>
          <w:tcPr>
            <w:tcW w:w="1187" w:type="pct"/>
            <w:shd w:val="clear" w:color="auto" w:fill="auto"/>
            <w:vAlign w:val="center"/>
          </w:tcPr>
          <w:p w14:paraId="55565DE8" w14:textId="77777777" w:rsidR="003E3ED9" w:rsidRPr="00F60B42" w:rsidRDefault="003E3ED9" w:rsidP="00E8716B">
            <w:pPr>
              <w:keepNext/>
              <w:keepLines/>
              <w:widowControl w:val="0"/>
              <w:ind w:left="7" w:right="32"/>
              <w:jc w:val="center"/>
              <w:rPr>
                <w:rFonts w:cs="Arial"/>
                <w:b/>
                <w:sz w:val="20"/>
                <w:szCs w:val="20"/>
              </w:rPr>
            </w:pPr>
            <w:r w:rsidRPr="00F60B42">
              <w:rPr>
                <w:rFonts w:cs="Arial"/>
                <w:b/>
                <w:sz w:val="20"/>
                <w:szCs w:val="20"/>
              </w:rPr>
              <w:t>311 – 344</w:t>
            </w:r>
          </w:p>
        </w:tc>
        <w:tc>
          <w:tcPr>
            <w:tcW w:w="1188" w:type="pct"/>
            <w:shd w:val="clear" w:color="auto" w:fill="auto"/>
            <w:vAlign w:val="center"/>
          </w:tcPr>
          <w:p w14:paraId="6D5D79C7" w14:textId="77777777" w:rsidR="003E3ED9" w:rsidRPr="00830439" w:rsidRDefault="003E3ED9" w:rsidP="00E8716B">
            <w:pPr>
              <w:keepNext/>
              <w:keepLines/>
              <w:widowControl w:val="0"/>
              <w:ind w:left="7" w:right="30"/>
              <w:jc w:val="center"/>
              <w:rPr>
                <w:rFonts w:cs="Arial"/>
                <w:b/>
                <w:sz w:val="20"/>
                <w:szCs w:val="20"/>
              </w:rPr>
            </w:pPr>
            <w:r w:rsidRPr="00830439">
              <w:rPr>
                <w:rFonts w:cs="Arial"/>
                <w:b/>
                <w:sz w:val="20"/>
                <w:szCs w:val="20"/>
              </w:rPr>
              <w:t>885 – 978</w:t>
            </w:r>
          </w:p>
        </w:tc>
        <w:tc>
          <w:tcPr>
            <w:tcW w:w="1255" w:type="pct"/>
            <w:shd w:val="clear" w:color="auto" w:fill="auto"/>
            <w:vAlign w:val="center"/>
          </w:tcPr>
          <w:p w14:paraId="3615B8BC" w14:textId="77777777" w:rsidR="003E3ED9" w:rsidRPr="00830439" w:rsidRDefault="003E3ED9" w:rsidP="00E8716B">
            <w:pPr>
              <w:keepNext/>
              <w:keepLines/>
              <w:widowControl w:val="0"/>
              <w:ind w:left="7" w:right="25"/>
              <w:jc w:val="center"/>
              <w:rPr>
                <w:rFonts w:cs="Arial"/>
                <w:b/>
                <w:sz w:val="20"/>
                <w:szCs w:val="20"/>
              </w:rPr>
            </w:pPr>
            <w:r w:rsidRPr="00830439">
              <w:rPr>
                <w:rFonts w:cs="Arial"/>
                <w:b/>
                <w:sz w:val="20"/>
                <w:szCs w:val="20"/>
              </w:rPr>
              <w:t>1196 – 1322</w:t>
            </w:r>
          </w:p>
        </w:tc>
      </w:tr>
    </w:tbl>
    <w:p w14:paraId="57CE35DE" w14:textId="77777777" w:rsidR="003E3ED9" w:rsidRPr="00F60B42" w:rsidRDefault="003E3ED9" w:rsidP="003E3ED9">
      <w:pPr>
        <w:jc w:val="both"/>
        <w:rPr>
          <w:rFonts w:cs="Arial"/>
          <w:szCs w:val="20"/>
        </w:rPr>
      </w:pPr>
      <w:r w:rsidRPr="00830439">
        <w:rPr>
          <w:rFonts w:cs="Arial"/>
          <w:szCs w:val="20"/>
        </w:rPr>
        <w:t>Vir: Predhodna ocena FI, 2015</w:t>
      </w:r>
    </w:p>
    <w:p w14:paraId="1CF57512" w14:textId="77777777" w:rsidR="003E3ED9" w:rsidRPr="00F60B42" w:rsidRDefault="003E3ED9" w:rsidP="003E3ED9">
      <w:pPr>
        <w:jc w:val="both"/>
        <w:rPr>
          <w:rFonts w:cs="Arial"/>
          <w:szCs w:val="20"/>
        </w:rPr>
      </w:pPr>
    </w:p>
    <w:p w14:paraId="0F98EAD7" w14:textId="77777777" w:rsidR="003E3ED9" w:rsidRPr="00830439" w:rsidRDefault="003E3ED9" w:rsidP="003E3ED9">
      <w:pPr>
        <w:jc w:val="both"/>
        <w:rPr>
          <w:rFonts w:cs="Arial"/>
          <w:szCs w:val="20"/>
        </w:rPr>
      </w:pPr>
      <w:r w:rsidRPr="00830439">
        <w:rPr>
          <w:rFonts w:cs="Arial"/>
          <w:szCs w:val="20"/>
        </w:rPr>
        <w:t>Lastniški kapital</w:t>
      </w:r>
    </w:p>
    <w:p w14:paraId="7875EF87" w14:textId="77777777" w:rsidR="003E3ED9" w:rsidRPr="00830439" w:rsidRDefault="003E3ED9" w:rsidP="003E3ED9">
      <w:pPr>
        <w:jc w:val="both"/>
        <w:rPr>
          <w:rFonts w:cs="Arial"/>
          <w:szCs w:val="20"/>
        </w:rPr>
      </w:pPr>
      <w:r w:rsidRPr="00830439">
        <w:rPr>
          <w:rFonts w:cs="Arial"/>
          <w:szCs w:val="20"/>
        </w:rPr>
        <w:t>Ponudba lastniškega financiranja je v Sloveniji dostopna preko zasebnih skladov tveganega kapitala v sodelovanju s Slovenskim podjetniškim skladom. Le-ta je zagotovil tudi zagonsko financiranje v obliki semenskega kapitala, v Sloveniji pa so prisotni tudi poslovni angeli.</w:t>
      </w:r>
    </w:p>
    <w:p w14:paraId="5F72FB70" w14:textId="77777777" w:rsidR="003E3ED9" w:rsidRPr="00830439" w:rsidRDefault="003E3ED9" w:rsidP="003E3ED9">
      <w:pPr>
        <w:jc w:val="both"/>
        <w:rPr>
          <w:rFonts w:cs="Arial"/>
          <w:szCs w:val="20"/>
        </w:rPr>
      </w:pPr>
    </w:p>
    <w:p w14:paraId="5924D905" w14:textId="77777777" w:rsidR="003E3ED9" w:rsidRPr="00F60B42" w:rsidRDefault="003E3ED9" w:rsidP="003E3ED9">
      <w:pPr>
        <w:keepNext/>
        <w:spacing w:line="240" w:lineRule="auto"/>
        <w:jc w:val="both"/>
        <w:rPr>
          <w:rFonts w:cs="Arial"/>
          <w:szCs w:val="20"/>
        </w:rPr>
      </w:pPr>
      <w:bookmarkStart w:id="14" w:name="_Toc132097855"/>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4</w:t>
      </w:r>
      <w:r w:rsidRPr="00F60B42">
        <w:rPr>
          <w:rFonts w:cs="Arial"/>
          <w:szCs w:val="20"/>
        </w:rPr>
        <w:fldChar w:fldCharType="end"/>
      </w:r>
      <w:r w:rsidRPr="00830439">
        <w:rPr>
          <w:rFonts w:cs="Arial"/>
          <w:szCs w:val="20"/>
        </w:rPr>
        <w:t>: Potencialna vrzel lastniškega financi</w:t>
      </w:r>
      <w:r w:rsidRPr="00F60B42">
        <w:rPr>
          <w:rFonts w:cs="Arial"/>
          <w:szCs w:val="20"/>
        </w:rPr>
        <w:t>ranja za vsa MSP v letu 2015</w:t>
      </w:r>
      <w:bookmarkEnd w:id="1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62" w:type="dxa"/>
          <w:right w:w="34" w:type="dxa"/>
        </w:tblCellMar>
        <w:tblLook w:val="04A0" w:firstRow="1" w:lastRow="0" w:firstColumn="1" w:lastColumn="0" w:noHBand="0" w:noVBand="1"/>
      </w:tblPr>
      <w:tblGrid>
        <w:gridCol w:w="2327"/>
        <w:gridCol w:w="6161"/>
      </w:tblGrid>
      <w:tr w:rsidR="003E3ED9" w:rsidRPr="00830439" w14:paraId="27AB1F97" w14:textId="77777777" w:rsidTr="00E8716B">
        <w:trPr>
          <w:trHeight w:val="222"/>
        </w:trPr>
        <w:tc>
          <w:tcPr>
            <w:tcW w:w="1371" w:type="pct"/>
            <w:shd w:val="clear" w:color="auto" w:fill="auto"/>
            <w:vAlign w:val="center"/>
          </w:tcPr>
          <w:p w14:paraId="75A66CC7" w14:textId="77777777" w:rsidR="003E3ED9" w:rsidRPr="00F60B42" w:rsidRDefault="003E3ED9" w:rsidP="00E8716B">
            <w:pPr>
              <w:keepNext/>
              <w:keepLines/>
              <w:widowControl w:val="0"/>
              <w:ind w:left="7"/>
              <w:jc w:val="center"/>
              <w:rPr>
                <w:rFonts w:cs="Arial"/>
                <w:sz w:val="20"/>
                <w:szCs w:val="20"/>
              </w:rPr>
            </w:pPr>
          </w:p>
        </w:tc>
        <w:tc>
          <w:tcPr>
            <w:tcW w:w="3629" w:type="pct"/>
            <w:shd w:val="clear" w:color="auto" w:fill="auto"/>
            <w:vAlign w:val="center"/>
          </w:tcPr>
          <w:p w14:paraId="0CA817F1"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Vrzel financiranja </w:t>
            </w:r>
            <w:r w:rsidRPr="00830439">
              <w:rPr>
                <w:rFonts w:cs="Arial"/>
                <w:iCs/>
                <w:sz w:val="20"/>
                <w:szCs w:val="20"/>
              </w:rPr>
              <w:t>(mio EUR)</w:t>
            </w:r>
          </w:p>
        </w:tc>
      </w:tr>
      <w:tr w:rsidR="003E3ED9" w:rsidRPr="00830439" w14:paraId="51338E27" w14:textId="77777777" w:rsidTr="00E8716B">
        <w:trPr>
          <w:trHeight w:val="335"/>
        </w:trPr>
        <w:tc>
          <w:tcPr>
            <w:tcW w:w="1371" w:type="pct"/>
            <w:shd w:val="clear" w:color="auto" w:fill="auto"/>
            <w:vAlign w:val="center"/>
          </w:tcPr>
          <w:p w14:paraId="6AE7AFAE"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 xml:space="preserve">Lastniško financiranje </w:t>
            </w:r>
          </w:p>
        </w:tc>
        <w:tc>
          <w:tcPr>
            <w:tcW w:w="3629" w:type="pct"/>
            <w:shd w:val="clear" w:color="auto" w:fill="auto"/>
            <w:vAlign w:val="center"/>
          </w:tcPr>
          <w:p w14:paraId="554B9F85" w14:textId="77777777" w:rsidR="003E3ED9" w:rsidRPr="00F60B42" w:rsidRDefault="003E3ED9" w:rsidP="00E8716B">
            <w:pPr>
              <w:keepNext/>
              <w:keepLines/>
              <w:widowControl w:val="0"/>
              <w:ind w:left="7" w:right="25"/>
              <w:jc w:val="center"/>
              <w:rPr>
                <w:rFonts w:cs="Arial"/>
                <w:b/>
                <w:sz w:val="20"/>
                <w:szCs w:val="20"/>
              </w:rPr>
            </w:pPr>
            <w:r w:rsidRPr="00F60B42">
              <w:rPr>
                <w:rFonts w:cs="Arial"/>
                <w:b/>
                <w:sz w:val="20"/>
                <w:szCs w:val="20"/>
              </w:rPr>
              <w:t>14 – 92</w:t>
            </w:r>
          </w:p>
        </w:tc>
      </w:tr>
    </w:tbl>
    <w:p w14:paraId="41E14A08" w14:textId="77777777" w:rsidR="003E3ED9" w:rsidRPr="00F60B42" w:rsidRDefault="003E3ED9" w:rsidP="003E3ED9">
      <w:pPr>
        <w:jc w:val="both"/>
        <w:rPr>
          <w:rFonts w:cs="Arial"/>
          <w:szCs w:val="20"/>
        </w:rPr>
      </w:pPr>
      <w:r w:rsidRPr="00830439">
        <w:rPr>
          <w:rFonts w:cs="Arial"/>
          <w:szCs w:val="20"/>
        </w:rPr>
        <w:t>Vir: Predhodna ocena FI, 2015</w:t>
      </w:r>
    </w:p>
    <w:p w14:paraId="7AE1E2E7" w14:textId="77777777" w:rsidR="003E3ED9" w:rsidRPr="00F60B42" w:rsidRDefault="003E3ED9" w:rsidP="003E3ED9">
      <w:pPr>
        <w:jc w:val="both"/>
        <w:rPr>
          <w:rFonts w:cs="Arial"/>
          <w:szCs w:val="20"/>
        </w:rPr>
      </w:pPr>
    </w:p>
    <w:p w14:paraId="46CABB7E" w14:textId="77777777" w:rsidR="003E3ED9" w:rsidRPr="00830439" w:rsidRDefault="003E3ED9" w:rsidP="003E3ED9">
      <w:pPr>
        <w:jc w:val="both"/>
        <w:rPr>
          <w:rFonts w:cs="Arial"/>
          <w:szCs w:val="20"/>
        </w:rPr>
      </w:pPr>
      <w:r w:rsidRPr="00830439">
        <w:rPr>
          <w:rFonts w:cs="Arial"/>
          <w:szCs w:val="20"/>
        </w:rPr>
        <w:t>Poleg potencialne vrzeli financiranja je potrebno upoštevati, da v državi obstaja zadostno število specifičnih ciljnih skupin s potrebo po lastniškem financiranju, da so te ciljne skupine lahko zanimive tudi za zasebne vlagatelje in da je država sposobna zagotoviti finančni vzvod obstoječih omrežij za spodbuditev povezovanja z investitorji in zagotavljanje mentorstva ter podpore MSP, ki se prijavljajo za lastniško financiranje.</w:t>
      </w:r>
    </w:p>
    <w:p w14:paraId="6A87A91D" w14:textId="77777777" w:rsidR="003E3ED9" w:rsidRPr="002A1F16" w:rsidRDefault="003E3ED9" w:rsidP="003E3ED9">
      <w:pPr>
        <w:spacing w:before="240" w:after="120"/>
        <w:ind w:left="2"/>
        <w:outlineLvl w:val="0"/>
        <w:rPr>
          <w:rFonts w:cs="Arial"/>
          <w:b/>
          <w:color w:val="AACDDB"/>
          <w:szCs w:val="20"/>
        </w:rPr>
      </w:pPr>
      <w:bookmarkStart w:id="15" w:name="_Toc132097819"/>
      <w:r w:rsidRPr="002A1F16">
        <w:rPr>
          <w:rFonts w:cs="Arial"/>
          <w:b/>
          <w:color w:val="AACDDB"/>
          <w:szCs w:val="20"/>
        </w:rPr>
        <w:t>2.2.2 Raziskave, razvoj in inovacije (RRI)</w:t>
      </w:r>
      <w:bookmarkEnd w:id="15"/>
    </w:p>
    <w:p w14:paraId="716F9D4A" w14:textId="77777777" w:rsidR="003E3ED9" w:rsidRPr="00830439" w:rsidRDefault="003E3ED9" w:rsidP="003E3ED9">
      <w:pPr>
        <w:jc w:val="both"/>
        <w:rPr>
          <w:rFonts w:cs="Arial"/>
          <w:szCs w:val="20"/>
        </w:rPr>
      </w:pPr>
      <w:r w:rsidRPr="00830439">
        <w:rPr>
          <w:rFonts w:cs="Arial"/>
          <w:szCs w:val="20"/>
        </w:rPr>
        <w:t>Vlaganje v raziskave in razvoj je v Sloveniji ključnega pomena za razvoj MSP. Intenzivnost investicij v raziskave in razvoj v Sloveniji, ki je povezana z bruto izdatki za razvoj in raziskave, se je v zadnjem desetletju, kljub nekaj nihanjem, povečala.</w:t>
      </w:r>
    </w:p>
    <w:p w14:paraId="61F22554" w14:textId="77777777" w:rsidR="003E3ED9" w:rsidRPr="00830439" w:rsidRDefault="003E3ED9" w:rsidP="003E3ED9">
      <w:pPr>
        <w:jc w:val="both"/>
        <w:rPr>
          <w:rFonts w:cs="Arial"/>
          <w:szCs w:val="20"/>
        </w:rPr>
      </w:pPr>
    </w:p>
    <w:p w14:paraId="218EF4B0" w14:textId="77777777" w:rsidR="003E3ED9" w:rsidRPr="00F60B42" w:rsidRDefault="003E3ED9" w:rsidP="003E3ED9">
      <w:pPr>
        <w:keepNext/>
        <w:spacing w:line="240" w:lineRule="auto"/>
        <w:jc w:val="both"/>
        <w:rPr>
          <w:rFonts w:cs="Arial"/>
          <w:szCs w:val="20"/>
        </w:rPr>
      </w:pPr>
      <w:bookmarkStart w:id="16" w:name="_Toc132097856"/>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5</w:t>
      </w:r>
      <w:r w:rsidRPr="00F60B42">
        <w:rPr>
          <w:rFonts w:cs="Arial"/>
          <w:szCs w:val="20"/>
        </w:rPr>
        <w:fldChar w:fldCharType="end"/>
      </w:r>
      <w:r w:rsidRPr="00830439">
        <w:rPr>
          <w:rFonts w:cs="Arial"/>
          <w:szCs w:val="20"/>
        </w:rPr>
        <w:t>: Vrzel financiranja za financiranje RRI v letu 2015</w:t>
      </w:r>
      <w:bookmarkEnd w:id="16"/>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56" w:type="dxa"/>
          <w:right w:w="115" w:type="dxa"/>
        </w:tblCellMar>
        <w:tblLook w:val="04A0" w:firstRow="1" w:lastRow="0" w:firstColumn="1" w:lastColumn="0" w:noHBand="0" w:noVBand="1"/>
      </w:tblPr>
      <w:tblGrid>
        <w:gridCol w:w="4517"/>
        <w:gridCol w:w="3971"/>
      </w:tblGrid>
      <w:tr w:rsidR="003E3ED9" w:rsidRPr="00830439" w14:paraId="72F08EB0" w14:textId="77777777" w:rsidTr="00E8716B">
        <w:trPr>
          <w:trHeight w:val="335"/>
        </w:trPr>
        <w:tc>
          <w:tcPr>
            <w:tcW w:w="2661" w:type="pct"/>
            <w:shd w:val="clear" w:color="auto" w:fill="auto"/>
            <w:vAlign w:val="center"/>
          </w:tcPr>
          <w:p w14:paraId="044DD05E" w14:textId="77777777" w:rsidR="003E3ED9" w:rsidRPr="00F60B42" w:rsidRDefault="003E3ED9" w:rsidP="00E8716B">
            <w:pPr>
              <w:keepNext/>
              <w:keepLines/>
              <w:widowControl w:val="0"/>
              <w:ind w:left="7"/>
              <w:jc w:val="center"/>
              <w:rPr>
                <w:rFonts w:cs="Arial"/>
                <w:sz w:val="20"/>
                <w:szCs w:val="20"/>
              </w:rPr>
            </w:pPr>
          </w:p>
        </w:tc>
        <w:tc>
          <w:tcPr>
            <w:tcW w:w="2339" w:type="pct"/>
            <w:shd w:val="clear" w:color="auto" w:fill="auto"/>
            <w:vAlign w:val="center"/>
          </w:tcPr>
          <w:p w14:paraId="383F641D"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Vrzel financiranja </w:t>
            </w:r>
            <w:r w:rsidRPr="00830439">
              <w:rPr>
                <w:rFonts w:cs="Arial"/>
                <w:iCs/>
                <w:sz w:val="20"/>
                <w:szCs w:val="20"/>
              </w:rPr>
              <w:t>(mio EUR)</w:t>
            </w:r>
          </w:p>
        </w:tc>
      </w:tr>
      <w:tr w:rsidR="003E3ED9" w:rsidRPr="00830439" w14:paraId="2D1481DB" w14:textId="77777777" w:rsidTr="00E8716B">
        <w:trPr>
          <w:trHeight w:val="334"/>
        </w:trPr>
        <w:tc>
          <w:tcPr>
            <w:tcW w:w="2661" w:type="pct"/>
            <w:shd w:val="clear" w:color="auto" w:fill="auto"/>
            <w:vAlign w:val="center"/>
          </w:tcPr>
          <w:p w14:paraId="119EF432"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 xml:space="preserve">MSP </w:t>
            </w:r>
          </w:p>
        </w:tc>
        <w:tc>
          <w:tcPr>
            <w:tcW w:w="2339" w:type="pct"/>
            <w:shd w:val="clear" w:color="auto" w:fill="auto"/>
            <w:vAlign w:val="center"/>
          </w:tcPr>
          <w:p w14:paraId="1A0AD831" w14:textId="77777777" w:rsidR="003E3ED9" w:rsidRPr="00F60B42" w:rsidRDefault="003E3ED9" w:rsidP="00E8716B">
            <w:pPr>
              <w:keepNext/>
              <w:keepLines/>
              <w:widowControl w:val="0"/>
              <w:ind w:left="7"/>
              <w:jc w:val="center"/>
              <w:rPr>
                <w:rFonts w:cs="Arial"/>
                <w:b/>
                <w:sz w:val="20"/>
                <w:szCs w:val="20"/>
              </w:rPr>
            </w:pPr>
            <w:r w:rsidRPr="00F60B42">
              <w:rPr>
                <w:rFonts w:cs="Arial"/>
                <w:b/>
                <w:sz w:val="20"/>
                <w:szCs w:val="20"/>
              </w:rPr>
              <w:t>0 – 14</w:t>
            </w:r>
          </w:p>
        </w:tc>
      </w:tr>
      <w:tr w:rsidR="003E3ED9" w:rsidRPr="00830439" w14:paraId="06FE5023" w14:textId="77777777" w:rsidTr="00E8716B">
        <w:trPr>
          <w:trHeight w:val="334"/>
        </w:trPr>
        <w:tc>
          <w:tcPr>
            <w:tcW w:w="2661" w:type="pct"/>
            <w:shd w:val="clear" w:color="auto" w:fill="auto"/>
            <w:vAlign w:val="center"/>
          </w:tcPr>
          <w:p w14:paraId="06C66EED"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Skupaj podjetja</w:t>
            </w:r>
          </w:p>
        </w:tc>
        <w:tc>
          <w:tcPr>
            <w:tcW w:w="2339" w:type="pct"/>
            <w:shd w:val="clear" w:color="auto" w:fill="auto"/>
            <w:vAlign w:val="center"/>
          </w:tcPr>
          <w:p w14:paraId="059A2EB4" w14:textId="77777777" w:rsidR="003E3ED9" w:rsidRPr="00F60B42" w:rsidRDefault="003E3ED9" w:rsidP="00E8716B">
            <w:pPr>
              <w:keepNext/>
              <w:keepLines/>
              <w:widowControl w:val="0"/>
              <w:ind w:left="7"/>
              <w:jc w:val="center"/>
              <w:rPr>
                <w:rFonts w:cs="Arial"/>
                <w:b/>
                <w:sz w:val="20"/>
                <w:szCs w:val="20"/>
              </w:rPr>
            </w:pPr>
            <w:r w:rsidRPr="00F60B42">
              <w:rPr>
                <w:rFonts w:cs="Arial"/>
                <w:b/>
                <w:sz w:val="20"/>
                <w:szCs w:val="20"/>
              </w:rPr>
              <w:t>0 – 247</w:t>
            </w:r>
          </w:p>
        </w:tc>
      </w:tr>
    </w:tbl>
    <w:p w14:paraId="655510A6" w14:textId="77777777" w:rsidR="003E3ED9" w:rsidRPr="00F60B42" w:rsidRDefault="003E3ED9" w:rsidP="003E3ED9">
      <w:pPr>
        <w:jc w:val="both"/>
        <w:rPr>
          <w:rFonts w:cs="Arial"/>
          <w:szCs w:val="20"/>
        </w:rPr>
      </w:pPr>
      <w:r w:rsidRPr="00830439">
        <w:rPr>
          <w:rFonts w:cs="Arial"/>
          <w:szCs w:val="20"/>
        </w:rPr>
        <w:t xml:space="preserve">Vir: </w:t>
      </w:r>
      <w:r w:rsidRPr="00F60B42">
        <w:rPr>
          <w:rFonts w:cs="Arial"/>
          <w:szCs w:val="20"/>
        </w:rPr>
        <w:t>Predhodna ocena FI, 2015</w:t>
      </w:r>
    </w:p>
    <w:p w14:paraId="0B6CAA84" w14:textId="77777777" w:rsidR="003E3ED9" w:rsidRPr="00F60B42" w:rsidRDefault="003E3ED9" w:rsidP="003E3ED9">
      <w:pPr>
        <w:jc w:val="both"/>
        <w:rPr>
          <w:rFonts w:cs="Arial"/>
          <w:szCs w:val="20"/>
        </w:rPr>
      </w:pPr>
    </w:p>
    <w:p w14:paraId="62D6473E" w14:textId="77777777" w:rsidR="003E3ED9" w:rsidRPr="00830439" w:rsidRDefault="003E3ED9" w:rsidP="003E3ED9">
      <w:pPr>
        <w:jc w:val="both"/>
        <w:rPr>
          <w:rFonts w:cs="Arial"/>
          <w:szCs w:val="20"/>
        </w:rPr>
      </w:pPr>
      <w:r w:rsidRPr="00830439">
        <w:rPr>
          <w:rFonts w:cs="Arial"/>
          <w:szCs w:val="20"/>
        </w:rPr>
        <w:t>Za izpolnitev potencialnega letnega povpraševanja je potrebno dodatno javno ali zasebno financiranje, ki je ocenjeno na 0 - 14 mio EUR za MSP in 0 - 247 mio EUR letno skupaj za vsa podjetja, ob upoštevanju, da manjša podjetja za investicije v RRI porabijo manjši delež dohodkov kot srednja in velika podjetja.</w:t>
      </w:r>
    </w:p>
    <w:p w14:paraId="517805B1" w14:textId="77777777" w:rsidR="003E3ED9" w:rsidRPr="002A1F16" w:rsidRDefault="003E3ED9" w:rsidP="003E3ED9">
      <w:pPr>
        <w:spacing w:before="240" w:after="120"/>
        <w:ind w:left="2"/>
        <w:outlineLvl w:val="0"/>
        <w:rPr>
          <w:rFonts w:cs="Arial"/>
          <w:b/>
          <w:color w:val="AACDDB"/>
          <w:szCs w:val="20"/>
        </w:rPr>
      </w:pPr>
      <w:bookmarkStart w:id="17" w:name="_Toc132097820"/>
      <w:r w:rsidRPr="002A1F16">
        <w:rPr>
          <w:rFonts w:cs="Arial"/>
          <w:b/>
          <w:color w:val="AACDDB"/>
          <w:szCs w:val="20"/>
        </w:rPr>
        <w:t>2.2.3 Energetska učinkovitost (EE)</w:t>
      </w:r>
      <w:bookmarkEnd w:id="17"/>
    </w:p>
    <w:p w14:paraId="047F2DEC" w14:textId="77777777" w:rsidR="003E3ED9" w:rsidRPr="00830439" w:rsidRDefault="003E3ED9" w:rsidP="003E3ED9">
      <w:pPr>
        <w:jc w:val="both"/>
        <w:rPr>
          <w:rFonts w:cs="Arial"/>
          <w:szCs w:val="20"/>
        </w:rPr>
      </w:pPr>
      <w:r w:rsidRPr="00830439">
        <w:rPr>
          <w:rFonts w:cs="Arial"/>
          <w:szCs w:val="20"/>
        </w:rPr>
        <w:t>Sredstva, namenjena TC 4, bodo podprla prehod na gospodarstvo z nizkimi emisijami ogljika, pri čemer bo posebna pozornost namenjena spodbujanju energetske učinkovitosti in uporabe obnovljivih virov energije v javni infrastrukturi, vključno z javnimi stavbami, in stanovanjskem sektorju.</w:t>
      </w:r>
    </w:p>
    <w:p w14:paraId="1E116950" w14:textId="77777777" w:rsidR="003E3ED9" w:rsidRPr="00830439" w:rsidRDefault="003E3ED9" w:rsidP="003E3ED9">
      <w:pPr>
        <w:jc w:val="both"/>
        <w:rPr>
          <w:rFonts w:cs="Arial"/>
          <w:szCs w:val="20"/>
        </w:rPr>
      </w:pPr>
    </w:p>
    <w:p w14:paraId="1D01ECD8" w14:textId="77777777" w:rsidR="003E3ED9" w:rsidRPr="00830439" w:rsidRDefault="003E3ED9" w:rsidP="003E3ED9">
      <w:pPr>
        <w:jc w:val="both"/>
        <w:rPr>
          <w:rFonts w:cs="Arial"/>
          <w:szCs w:val="20"/>
        </w:rPr>
      </w:pPr>
      <w:r w:rsidRPr="00830439">
        <w:rPr>
          <w:rFonts w:cs="Arial"/>
          <w:szCs w:val="20"/>
        </w:rPr>
        <w:t>Izboljšave na področju energetske učinkovitosti ne bi pripomogle le k zmanjšanju splošnih emisij, temveč bi sprožile tudi dodatne naložbe in ustvarile nova delovna mesta. Slovenska vlada se je zavezala k izboljšavam na tem področju, skladno s cilji in glavnimi strateškimi dokumenti na ravni EU, kot je na primer Evropa 2020.</w:t>
      </w:r>
    </w:p>
    <w:p w14:paraId="6DE7D895" w14:textId="77777777" w:rsidR="003E3ED9" w:rsidRPr="00830439" w:rsidRDefault="003E3ED9" w:rsidP="003E3ED9">
      <w:pPr>
        <w:jc w:val="both"/>
        <w:rPr>
          <w:rFonts w:cs="Arial"/>
          <w:szCs w:val="20"/>
        </w:rPr>
      </w:pPr>
    </w:p>
    <w:p w14:paraId="726CBC38" w14:textId="77777777" w:rsidR="003E3ED9" w:rsidRPr="00F60B42" w:rsidRDefault="003E3ED9" w:rsidP="003E3ED9">
      <w:pPr>
        <w:keepNext/>
        <w:spacing w:line="240" w:lineRule="auto"/>
        <w:jc w:val="both"/>
        <w:rPr>
          <w:rFonts w:cs="Arial"/>
          <w:szCs w:val="20"/>
        </w:rPr>
      </w:pPr>
      <w:bookmarkStart w:id="18" w:name="_Toc132097857"/>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6</w:t>
      </w:r>
      <w:r w:rsidRPr="00F60B42">
        <w:rPr>
          <w:rFonts w:cs="Arial"/>
          <w:szCs w:val="20"/>
        </w:rPr>
        <w:fldChar w:fldCharType="end"/>
      </w:r>
      <w:r w:rsidRPr="00830439">
        <w:rPr>
          <w:rFonts w:cs="Arial"/>
          <w:szCs w:val="20"/>
        </w:rPr>
        <w:t xml:space="preserve">: </w:t>
      </w:r>
      <w:r w:rsidRPr="00F60B42">
        <w:rPr>
          <w:rFonts w:cs="Arial"/>
          <w:szCs w:val="20"/>
        </w:rPr>
        <w:t>Ocenjena vrzel financiranja za URE/ OVE v obdobju 2015-2020</w:t>
      </w:r>
      <w:bookmarkEnd w:id="18"/>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62" w:type="dxa"/>
        </w:tblCellMar>
        <w:tblLook w:val="04A0" w:firstRow="1" w:lastRow="0" w:firstColumn="1" w:lastColumn="0" w:noHBand="0" w:noVBand="1"/>
      </w:tblPr>
      <w:tblGrid>
        <w:gridCol w:w="4587"/>
        <w:gridCol w:w="3901"/>
      </w:tblGrid>
      <w:tr w:rsidR="003E3ED9" w:rsidRPr="00830439" w14:paraId="32EA258A" w14:textId="77777777" w:rsidTr="00E8716B">
        <w:trPr>
          <w:trHeight w:val="341"/>
        </w:trPr>
        <w:tc>
          <w:tcPr>
            <w:tcW w:w="2702" w:type="pct"/>
            <w:shd w:val="clear" w:color="auto" w:fill="auto"/>
            <w:vAlign w:val="center"/>
          </w:tcPr>
          <w:p w14:paraId="507DA65B" w14:textId="77777777" w:rsidR="003E3ED9" w:rsidRPr="00F60B42" w:rsidRDefault="003E3ED9" w:rsidP="00E8716B">
            <w:pPr>
              <w:keepNext/>
              <w:keepLines/>
              <w:widowControl w:val="0"/>
              <w:ind w:left="7"/>
              <w:jc w:val="center"/>
              <w:rPr>
                <w:rFonts w:cs="Arial"/>
                <w:sz w:val="20"/>
                <w:szCs w:val="20"/>
              </w:rPr>
            </w:pPr>
          </w:p>
        </w:tc>
        <w:tc>
          <w:tcPr>
            <w:tcW w:w="2298" w:type="pct"/>
            <w:shd w:val="clear" w:color="auto" w:fill="auto"/>
            <w:vAlign w:val="center"/>
          </w:tcPr>
          <w:p w14:paraId="7F63CE31" w14:textId="77777777" w:rsidR="003E3ED9" w:rsidRPr="00830439" w:rsidRDefault="003E3ED9" w:rsidP="00E8716B">
            <w:pPr>
              <w:keepNext/>
              <w:keepLines/>
              <w:widowControl w:val="0"/>
              <w:ind w:left="7" w:right="65"/>
              <w:jc w:val="center"/>
              <w:rPr>
                <w:rFonts w:cs="Arial"/>
                <w:sz w:val="20"/>
                <w:szCs w:val="20"/>
              </w:rPr>
            </w:pPr>
            <w:r w:rsidRPr="00830439">
              <w:rPr>
                <w:rFonts w:cs="Arial"/>
                <w:sz w:val="20"/>
                <w:szCs w:val="20"/>
              </w:rPr>
              <w:t xml:space="preserve">Ocenjena vrzel financiranja </w:t>
            </w:r>
            <w:r w:rsidRPr="00830439">
              <w:rPr>
                <w:rFonts w:cs="Arial"/>
                <w:iCs/>
                <w:sz w:val="20"/>
                <w:szCs w:val="20"/>
              </w:rPr>
              <w:t>(mio EUR)</w:t>
            </w:r>
          </w:p>
        </w:tc>
      </w:tr>
      <w:tr w:rsidR="003E3ED9" w:rsidRPr="00830439" w14:paraId="2761567D" w14:textId="77777777" w:rsidTr="00E8716B">
        <w:trPr>
          <w:trHeight w:val="334"/>
        </w:trPr>
        <w:tc>
          <w:tcPr>
            <w:tcW w:w="2702" w:type="pct"/>
            <w:shd w:val="clear" w:color="auto" w:fill="auto"/>
            <w:vAlign w:val="center"/>
          </w:tcPr>
          <w:p w14:paraId="5BAEDCCC"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Obnova javnih stavb</w:t>
            </w:r>
          </w:p>
        </w:tc>
        <w:tc>
          <w:tcPr>
            <w:tcW w:w="2298" w:type="pct"/>
            <w:shd w:val="clear" w:color="auto" w:fill="auto"/>
            <w:vAlign w:val="center"/>
          </w:tcPr>
          <w:p w14:paraId="5E596AC1" w14:textId="77777777" w:rsidR="003E3ED9" w:rsidRPr="00F60B42" w:rsidRDefault="003E3ED9" w:rsidP="00E8716B">
            <w:pPr>
              <w:keepNext/>
              <w:keepLines/>
              <w:widowControl w:val="0"/>
              <w:ind w:left="7" w:right="64"/>
              <w:jc w:val="center"/>
              <w:rPr>
                <w:rFonts w:cs="Arial"/>
                <w:b/>
                <w:sz w:val="20"/>
                <w:szCs w:val="20"/>
              </w:rPr>
            </w:pPr>
            <w:r w:rsidRPr="00F60B42">
              <w:rPr>
                <w:rFonts w:cs="Arial"/>
                <w:b/>
                <w:sz w:val="20"/>
                <w:szCs w:val="20"/>
              </w:rPr>
              <w:t>65 – 132</w:t>
            </w:r>
          </w:p>
        </w:tc>
      </w:tr>
      <w:tr w:rsidR="003E3ED9" w:rsidRPr="00830439" w14:paraId="593B0AB4" w14:textId="77777777" w:rsidTr="00E8716B">
        <w:trPr>
          <w:trHeight w:val="336"/>
        </w:trPr>
        <w:tc>
          <w:tcPr>
            <w:tcW w:w="2702" w:type="pct"/>
            <w:shd w:val="clear" w:color="auto" w:fill="auto"/>
            <w:vAlign w:val="center"/>
          </w:tcPr>
          <w:p w14:paraId="5C3FD439"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Obnova zasebnih stavb</w:t>
            </w:r>
          </w:p>
        </w:tc>
        <w:tc>
          <w:tcPr>
            <w:tcW w:w="2298" w:type="pct"/>
            <w:shd w:val="clear" w:color="auto" w:fill="auto"/>
            <w:vAlign w:val="center"/>
          </w:tcPr>
          <w:p w14:paraId="17BD6E3E" w14:textId="77777777" w:rsidR="003E3ED9" w:rsidRPr="00F60B42" w:rsidRDefault="003E3ED9" w:rsidP="00E8716B">
            <w:pPr>
              <w:keepNext/>
              <w:keepLines/>
              <w:widowControl w:val="0"/>
              <w:ind w:left="7" w:right="64"/>
              <w:jc w:val="center"/>
              <w:rPr>
                <w:rFonts w:cs="Arial"/>
                <w:b/>
                <w:sz w:val="20"/>
                <w:szCs w:val="20"/>
              </w:rPr>
            </w:pPr>
            <w:r w:rsidRPr="00F60B42">
              <w:rPr>
                <w:rFonts w:cs="Arial"/>
                <w:b/>
                <w:sz w:val="20"/>
                <w:szCs w:val="20"/>
              </w:rPr>
              <w:t>645 – 783</w:t>
            </w:r>
          </w:p>
        </w:tc>
      </w:tr>
      <w:tr w:rsidR="003E3ED9" w:rsidRPr="00830439" w14:paraId="2646ED0A" w14:textId="77777777" w:rsidTr="00E8716B">
        <w:trPr>
          <w:trHeight w:val="332"/>
        </w:trPr>
        <w:tc>
          <w:tcPr>
            <w:tcW w:w="2702" w:type="pct"/>
            <w:shd w:val="clear" w:color="auto" w:fill="auto"/>
            <w:vAlign w:val="center"/>
          </w:tcPr>
          <w:p w14:paraId="49166E7C"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Procesi industrijske proizvodnje</w:t>
            </w:r>
          </w:p>
        </w:tc>
        <w:tc>
          <w:tcPr>
            <w:tcW w:w="2298" w:type="pct"/>
            <w:shd w:val="clear" w:color="auto" w:fill="auto"/>
            <w:vAlign w:val="center"/>
          </w:tcPr>
          <w:p w14:paraId="7C9975BE" w14:textId="77777777" w:rsidR="003E3ED9" w:rsidRPr="00F60B42" w:rsidRDefault="003E3ED9" w:rsidP="00E8716B">
            <w:pPr>
              <w:keepNext/>
              <w:keepLines/>
              <w:widowControl w:val="0"/>
              <w:ind w:left="7" w:right="64"/>
              <w:jc w:val="center"/>
              <w:rPr>
                <w:rFonts w:cs="Arial"/>
                <w:b/>
                <w:sz w:val="20"/>
                <w:szCs w:val="20"/>
              </w:rPr>
            </w:pPr>
            <w:r w:rsidRPr="00F60B42">
              <w:rPr>
                <w:rFonts w:cs="Arial"/>
                <w:b/>
                <w:sz w:val="20"/>
                <w:szCs w:val="20"/>
              </w:rPr>
              <w:t>568 – 607</w:t>
            </w:r>
          </w:p>
        </w:tc>
      </w:tr>
    </w:tbl>
    <w:p w14:paraId="0A006B95" w14:textId="77777777" w:rsidR="003E3ED9" w:rsidRPr="00F60B42" w:rsidRDefault="003E3ED9" w:rsidP="003E3ED9">
      <w:pPr>
        <w:jc w:val="both"/>
        <w:rPr>
          <w:rFonts w:cs="Arial"/>
          <w:szCs w:val="20"/>
        </w:rPr>
      </w:pPr>
      <w:r w:rsidRPr="00830439">
        <w:rPr>
          <w:rFonts w:cs="Arial"/>
          <w:szCs w:val="20"/>
        </w:rPr>
        <w:t>Vir: Predhodna ocena FI, 2015</w:t>
      </w:r>
    </w:p>
    <w:p w14:paraId="4D2BE987" w14:textId="77777777" w:rsidR="003E3ED9" w:rsidRPr="004005A5" w:rsidRDefault="003E3ED9" w:rsidP="003E3ED9">
      <w:pPr>
        <w:spacing w:before="240" w:after="120"/>
        <w:ind w:left="2"/>
        <w:outlineLvl w:val="0"/>
        <w:rPr>
          <w:rFonts w:cs="Arial"/>
          <w:b/>
          <w:color w:val="AACDDB"/>
          <w:szCs w:val="20"/>
        </w:rPr>
      </w:pPr>
      <w:bookmarkStart w:id="19" w:name="_Toc132097821"/>
      <w:r w:rsidRPr="00F60B42">
        <w:rPr>
          <w:rFonts w:cs="Arial"/>
          <w:b/>
          <w:color w:val="AACDDB"/>
          <w:szCs w:val="20"/>
        </w:rPr>
        <w:t>2.2.4 Urbani razvoj (U</w:t>
      </w:r>
      <w:r w:rsidRPr="004005A5">
        <w:rPr>
          <w:rFonts w:cs="Arial"/>
          <w:b/>
          <w:color w:val="AACDDB"/>
          <w:szCs w:val="20"/>
        </w:rPr>
        <w:t>R)</w:t>
      </w:r>
      <w:bookmarkEnd w:id="19"/>
    </w:p>
    <w:p w14:paraId="28AAB4F0" w14:textId="77777777" w:rsidR="003E3ED9" w:rsidRPr="00830439" w:rsidRDefault="003E3ED9" w:rsidP="003E3ED9">
      <w:pPr>
        <w:jc w:val="both"/>
        <w:rPr>
          <w:rFonts w:cs="Arial"/>
          <w:szCs w:val="20"/>
        </w:rPr>
      </w:pPr>
      <w:r w:rsidRPr="00830439">
        <w:rPr>
          <w:rFonts w:cs="Arial"/>
          <w:szCs w:val="20"/>
        </w:rPr>
        <w:lastRenderedPageBreak/>
        <w:t>Mesta in druga urbana naselja predstavljajo temelj slovenskega poselitvenega sistema. Urbana središča regij so lahko tudi del urbanih območij ali funkcionalnih urbanih območij in so tako tesno povezana s svojimi zaledji.</w:t>
      </w:r>
    </w:p>
    <w:p w14:paraId="37EC2D4F" w14:textId="77777777" w:rsidR="003E3ED9" w:rsidRPr="00830439" w:rsidRDefault="003E3ED9" w:rsidP="003E3ED9">
      <w:pPr>
        <w:jc w:val="both"/>
        <w:rPr>
          <w:rFonts w:cs="Arial"/>
          <w:szCs w:val="20"/>
        </w:rPr>
      </w:pPr>
    </w:p>
    <w:p w14:paraId="7A930C88" w14:textId="77777777" w:rsidR="003E3ED9" w:rsidRPr="00830439" w:rsidRDefault="003E3ED9" w:rsidP="003E3ED9">
      <w:pPr>
        <w:jc w:val="both"/>
        <w:rPr>
          <w:rFonts w:cs="Arial"/>
          <w:szCs w:val="20"/>
        </w:rPr>
      </w:pPr>
      <w:r w:rsidRPr="00830439">
        <w:rPr>
          <w:rFonts w:cs="Arial"/>
          <w:szCs w:val="20"/>
        </w:rPr>
        <w:t>Z namenom učinkovitejše rabe prostora v urbanih območjih, se bodo v okviru prednostne naložbe 6.3 OP 2014-2020 izvajali ukrepi za izboljšanje urbanega okolja, oživitev mest, sanacijo in dekontaminacijo degradiranih zemljišč, zmanjšanje onesnaženosti zraka ter spodbujalo ukrepe za zmanjšanje hrupa in ukrepe za izkoriščanje notranjih potencialov mestnih območij. Z izvajanjem urbane prenove se bo spodbudilo reaktivacijo prostih in slabo izkoriščenih površin znotraj mest. Na ta način bodo ustvarjeni pogoji za razvoj gospodarskih, in družbenih dejavnosti, hkrati pa bo urbano okolje postalo bolj privlačno tudi za delo in bivanje.</w:t>
      </w:r>
    </w:p>
    <w:p w14:paraId="7654BFA1" w14:textId="77777777" w:rsidR="003E3ED9" w:rsidRPr="00830439" w:rsidRDefault="003E3ED9" w:rsidP="003E3ED9">
      <w:pPr>
        <w:jc w:val="both"/>
        <w:rPr>
          <w:rFonts w:cs="Arial"/>
          <w:szCs w:val="20"/>
        </w:rPr>
      </w:pPr>
    </w:p>
    <w:p w14:paraId="2C487801" w14:textId="77777777" w:rsidR="003E3ED9" w:rsidRPr="00830439" w:rsidRDefault="003E3ED9" w:rsidP="003E3ED9">
      <w:pPr>
        <w:jc w:val="both"/>
        <w:rPr>
          <w:rFonts w:cs="Arial"/>
          <w:szCs w:val="20"/>
        </w:rPr>
      </w:pPr>
      <w:r w:rsidRPr="00830439">
        <w:rPr>
          <w:rFonts w:cs="Arial"/>
          <w:szCs w:val="20"/>
        </w:rPr>
        <w:t>Predlagani finančni instrument za urbani razvoj so posojila za izvedbo ukrepov, ki prispevajo k doseganju specifičnega cilja te prednostne naložbe in drugih prednostnih naložb OP 2014-2020.</w:t>
      </w:r>
    </w:p>
    <w:p w14:paraId="73308338" w14:textId="77777777" w:rsidR="003E3ED9" w:rsidRPr="00830439" w:rsidRDefault="003E3ED9" w:rsidP="003E3ED9">
      <w:pPr>
        <w:jc w:val="both"/>
        <w:rPr>
          <w:rFonts w:cs="Arial"/>
          <w:szCs w:val="20"/>
        </w:rPr>
      </w:pPr>
    </w:p>
    <w:p w14:paraId="2726F8C7" w14:textId="77777777" w:rsidR="003E3ED9" w:rsidRPr="00F60B42" w:rsidRDefault="003E3ED9" w:rsidP="003E3ED9">
      <w:pPr>
        <w:keepNext/>
        <w:spacing w:line="240" w:lineRule="auto"/>
        <w:jc w:val="both"/>
        <w:rPr>
          <w:rFonts w:cs="Arial"/>
          <w:szCs w:val="20"/>
        </w:rPr>
      </w:pPr>
      <w:bookmarkStart w:id="20" w:name="_Toc132097858"/>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7</w:t>
      </w:r>
      <w:r w:rsidRPr="00F60B42">
        <w:rPr>
          <w:rFonts w:cs="Arial"/>
          <w:szCs w:val="20"/>
        </w:rPr>
        <w:fldChar w:fldCharType="end"/>
      </w:r>
      <w:r w:rsidRPr="00830439">
        <w:rPr>
          <w:rFonts w:cs="Arial"/>
          <w:szCs w:val="20"/>
        </w:rPr>
        <w:t>: Vrzel financiranja za financiranje UR v obdobju 2015-2020</w:t>
      </w:r>
      <w:bookmarkEnd w:id="20"/>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58" w:type="dxa"/>
          <w:right w:w="79" w:type="dxa"/>
        </w:tblCellMar>
        <w:tblLook w:val="04A0" w:firstRow="1" w:lastRow="0" w:firstColumn="1" w:lastColumn="0" w:noHBand="0" w:noVBand="1"/>
      </w:tblPr>
      <w:tblGrid>
        <w:gridCol w:w="4585"/>
        <w:gridCol w:w="3903"/>
      </w:tblGrid>
      <w:tr w:rsidR="003E3ED9" w:rsidRPr="00830439" w14:paraId="555EC19D" w14:textId="77777777" w:rsidTr="00E8716B">
        <w:trPr>
          <w:trHeight w:val="340"/>
        </w:trPr>
        <w:tc>
          <w:tcPr>
            <w:tcW w:w="2701" w:type="pct"/>
            <w:shd w:val="clear" w:color="auto" w:fill="auto"/>
            <w:vAlign w:val="center"/>
          </w:tcPr>
          <w:p w14:paraId="1D22A078" w14:textId="77777777" w:rsidR="003E3ED9" w:rsidRPr="00F60B42" w:rsidRDefault="003E3ED9" w:rsidP="00E8716B">
            <w:pPr>
              <w:keepNext/>
              <w:keepLines/>
              <w:widowControl w:val="0"/>
              <w:ind w:left="7"/>
              <w:jc w:val="center"/>
              <w:rPr>
                <w:rFonts w:cs="Arial"/>
                <w:sz w:val="20"/>
                <w:szCs w:val="20"/>
              </w:rPr>
            </w:pPr>
          </w:p>
        </w:tc>
        <w:tc>
          <w:tcPr>
            <w:tcW w:w="2299" w:type="pct"/>
            <w:shd w:val="clear" w:color="auto" w:fill="auto"/>
            <w:vAlign w:val="center"/>
          </w:tcPr>
          <w:p w14:paraId="5472DB95" w14:textId="77777777" w:rsidR="003E3ED9" w:rsidRPr="00830439" w:rsidRDefault="003E3ED9" w:rsidP="00E8716B">
            <w:pPr>
              <w:keepNext/>
              <w:keepLines/>
              <w:widowControl w:val="0"/>
              <w:ind w:left="7"/>
              <w:jc w:val="center"/>
              <w:rPr>
                <w:rFonts w:cs="Arial"/>
                <w:sz w:val="20"/>
                <w:szCs w:val="20"/>
              </w:rPr>
            </w:pPr>
            <w:r w:rsidRPr="00830439">
              <w:rPr>
                <w:rFonts w:cs="Arial"/>
                <w:sz w:val="20"/>
                <w:szCs w:val="20"/>
              </w:rPr>
              <w:t xml:space="preserve">Vrzel financiranja </w:t>
            </w:r>
            <w:r w:rsidRPr="00830439">
              <w:rPr>
                <w:rFonts w:cs="Arial"/>
                <w:iCs/>
                <w:sz w:val="20"/>
                <w:szCs w:val="20"/>
              </w:rPr>
              <w:t>(mio EUR)</w:t>
            </w:r>
          </w:p>
        </w:tc>
      </w:tr>
      <w:tr w:rsidR="003E3ED9" w:rsidRPr="00830439" w14:paraId="318C1904" w14:textId="77777777" w:rsidTr="00E8716B">
        <w:trPr>
          <w:trHeight w:val="539"/>
        </w:trPr>
        <w:tc>
          <w:tcPr>
            <w:tcW w:w="2701" w:type="pct"/>
            <w:shd w:val="clear" w:color="auto" w:fill="auto"/>
            <w:vAlign w:val="center"/>
          </w:tcPr>
          <w:p w14:paraId="2F367FC0"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Projekti slovenskih mestnih občin, ki so pripravljeni na izvedbo (2015-2016)</w:t>
            </w:r>
          </w:p>
        </w:tc>
        <w:tc>
          <w:tcPr>
            <w:tcW w:w="2299" w:type="pct"/>
            <w:shd w:val="clear" w:color="auto" w:fill="auto"/>
            <w:vAlign w:val="center"/>
          </w:tcPr>
          <w:p w14:paraId="58CFA8D0" w14:textId="77777777" w:rsidR="003E3ED9" w:rsidRPr="00F60B42" w:rsidRDefault="003E3ED9" w:rsidP="00E8716B">
            <w:pPr>
              <w:keepNext/>
              <w:keepLines/>
              <w:widowControl w:val="0"/>
              <w:ind w:left="7"/>
              <w:jc w:val="center"/>
              <w:rPr>
                <w:rFonts w:cs="Arial"/>
                <w:b/>
                <w:sz w:val="20"/>
                <w:szCs w:val="20"/>
              </w:rPr>
            </w:pPr>
            <w:r w:rsidRPr="00F60B42">
              <w:rPr>
                <w:rFonts w:cs="Arial"/>
                <w:b/>
                <w:sz w:val="20"/>
                <w:szCs w:val="20"/>
              </w:rPr>
              <w:t>590 - 594</w:t>
            </w:r>
          </w:p>
        </w:tc>
      </w:tr>
      <w:tr w:rsidR="003E3ED9" w:rsidRPr="00830439" w14:paraId="177B860B" w14:textId="77777777" w:rsidTr="00E8716B">
        <w:trPr>
          <w:trHeight w:val="539"/>
        </w:trPr>
        <w:tc>
          <w:tcPr>
            <w:tcW w:w="2701" w:type="pct"/>
            <w:shd w:val="clear" w:color="auto" w:fill="auto"/>
            <w:vAlign w:val="center"/>
          </w:tcPr>
          <w:p w14:paraId="66A8860B" w14:textId="77777777" w:rsidR="003E3ED9" w:rsidRPr="00F60B42" w:rsidRDefault="003E3ED9" w:rsidP="00E8716B">
            <w:pPr>
              <w:keepNext/>
              <w:keepLines/>
              <w:widowControl w:val="0"/>
              <w:ind w:left="7"/>
              <w:jc w:val="center"/>
              <w:rPr>
                <w:rFonts w:cs="Arial"/>
                <w:sz w:val="20"/>
                <w:szCs w:val="20"/>
              </w:rPr>
            </w:pPr>
            <w:r w:rsidRPr="00830439">
              <w:rPr>
                <w:rFonts w:cs="Arial"/>
                <w:sz w:val="20"/>
                <w:szCs w:val="20"/>
              </w:rPr>
              <w:t xml:space="preserve">Projekti </w:t>
            </w:r>
            <w:r w:rsidRPr="00F60B42">
              <w:rPr>
                <w:rFonts w:cs="Arial"/>
                <w:sz w:val="20"/>
                <w:szCs w:val="20"/>
              </w:rPr>
              <w:t>slovenskih mestnih občin, ki čakajo na realizacijo (2017-2020)</w:t>
            </w:r>
            <w:r w:rsidRPr="00830439">
              <w:rPr>
                <w:rFonts w:cs="Arial"/>
                <w:sz w:val="20"/>
                <w:szCs w:val="20"/>
                <w:vertAlign w:val="superscript"/>
              </w:rPr>
              <w:footnoteReference w:id="7"/>
            </w:r>
            <w:r w:rsidRPr="00830439">
              <w:rPr>
                <w:rFonts w:cs="Arial"/>
                <w:sz w:val="20"/>
                <w:szCs w:val="20"/>
                <w:vertAlign w:val="superscript"/>
              </w:rPr>
              <w:t xml:space="preserve"> </w:t>
            </w:r>
          </w:p>
        </w:tc>
        <w:tc>
          <w:tcPr>
            <w:tcW w:w="2299" w:type="pct"/>
            <w:shd w:val="clear" w:color="auto" w:fill="auto"/>
            <w:vAlign w:val="center"/>
          </w:tcPr>
          <w:p w14:paraId="6A2B3ACC" w14:textId="77777777" w:rsidR="003E3ED9" w:rsidRPr="00F60B42" w:rsidRDefault="003E3ED9" w:rsidP="00E8716B">
            <w:pPr>
              <w:keepNext/>
              <w:keepLines/>
              <w:widowControl w:val="0"/>
              <w:ind w:left="7"/>
              <w:jc w:val="center"/>
              <w:rPr>
                <w:rFonts w:cs="Arial"/>
                <w:b/>
                <w:sz w:val="20"/>
                <w:szCs w:val="20"/>
              </w:rPr>
            </w:pPr>
            <w:r w:rsidRPr="00F60B42">
              <w:rPr>
                <w:rFonts w:cs="Arial"/>
                <w:b/>
                <w:sz w:val="20"/>
                <w:szCs w:val="20"/>
              </w:rPr>
              <w:t>68 - 74</w:t>
            </w:r>
          </w:p>
        </w:tc>
      </w:tr>
    </w:tbl>
    <w:p w14:paraId="78D216FB" w14:textId="77777777" w:rsidR="003E3ED9" w:rsidRPr="00F60B42" w:rsidRDefault="003E3ED9" w:rsidP="003E3ED9">
      <w:pPr>
        <w:jc w:val="both"/>
        <w:rPr>
          <w:rFonts w:cs="Arial"/>
          <w:szCs w:val="20"/>
        </w:rPr>
      </w:pPr>
      <w:r w:rsidRPr="00830439">
        <w:rPr>
          <w:rFonts w:cs="Arial"/>
          <w:szCs w:val="20"/>
        </w:rPr>
        <w:t>Vir: Predhodna ocena FI, 2015</w:t>
      </w:r>
    </w:p>
    <w:p w14:paraId="2EC883DC" w14:textId="77777777" w:rsidR="003E3ED9" w:rsidRPr="00F60B42" w:rsidRDefault="003E3ED9" w:rsidP="003E3ED9">
      <w:pPr>
        <w:spacing w:before="240" w:after="120"/>
        <w:ind w:left="2"/>
        <w:outlineLvl w:val="0"/>
        <w:rPr>
          <w:rFonts w:cs="Arial"/>
          <w:b/>
          <w:color w:val="AACDDB"/>
          <w:szCs w:val="20"/>
        </w:rPr>
      </w:pPr>
      <w:bookmarkStart w:id="21" w:name="_Toc132097822"/>
      <w:r w:rsidRPr="00F60B42">
        <w:rPr>
          <w:rFonts w:cs="Arial"/>
          <w:b/>
          <w:color w:val="AACDDB"/>
          <w:szCs w:val="20"/>
        </w:rPr>
        <w:t>2.3 Obstoječi FI in pridobljene izkušnje</w:t>
      </w:r>
      <w:bookmarkEnd w:id="21"/>
    </w:p>
    <w:p w14:paraId="5D775F52" w14:textId="77777777" w:rsidR="003E3ED9" w:rsidRPr="00830439" w:rsidRDefault="003E3ED9" w:rsidP="003E3ED9">
      <w:pPr>
        <w:jc w:val="both"/>
        <w:rPr>
          <w:rFonts w:cs="Arial"/>
          <w:szCs w:val="20"/>
        </w:rPr>
      </w:pPr>
      <w:r w:rsidRPr="00830439">
        <w:rPr>
          <w:rFonts w:cs="Arial"/>
          <w:szCs w:val="20"/>
        </w:rPr>
        <w:t>Na splošno se je z vidika EU v preteklem programskem obdobju 2007-2013 pojavil močan premik k uporabi FI. V Sloveniji so bili FI različno zastopani in uporabljeni. V programskem obdobju 2007</w:t>
      </w:r>
      <w:r w:rsidRPr="00830439">
        <w:rPr>
          <w:rFonts w:cs="Arial"/>
          <w:szCs w:val="20"/>
        </w:rPr>
        <w:noBreakHyphen/>
        <w:t xml:space="preserve">2013 so bili razviti in izvajani produkti </w:t>
      </w:r>
      <w:proofErr w:type="spellStart"/>
      <w:r w:rsidRPr="00830439">
        <w:rPr>
          <w:rFonts w:cs="Arial"/>
          <w:szCs w:val="20"/>
        </w:rPr>
        <w:t>mikrofinanciranja</w:t>
      </w:r>
      <w:proofErr w:type="spellEnd"/>
      <w:r w:rsidRPr="00830439">
        <w:rPr>
          <w:rFonts w:cs="Arial"/>
          <w:szCs w:val="20"/>
        </w:rPr>
        <w:t>, posojil, garancij s subvencijo obrestne mere ter tveganega in semenskega kapitala.</w:t>
      </w:r>
    </w:p>
    <w:p w14:paraId="4790A2CE" w14:textId="77777777" w:rsidR="003E3ED9" w:rsidRPr="00830439" w:rsidRDefault="003E3ED9" w:rsidP="003E3ED9">
      <w:pPr>
        <w:jc w:val="both"/>
        <w:rPr>
          <w:rFonts w:cs="Arial"/>
          <w:szCs w:val="20"/>
        </w:rPr>
      </w:pPr>
    </w:p>
    <w:p w14:paraId="12C2A6C2" w14:textId="77777777" w:rsidR="003E3ED9" w:rsidRPr="00830439" w:rsidRDefault="003E3ED9" w:rsidP="003E3ED9">
      <w:pPr>
        <w:jc w:val="both"/>
        <w:rPr>
          <w:rFonts w:cs="Arial"/>
          <w:szCs w:val="20"/>
        </w:rPr>
      </w:pPr>
      <w:r w:rsidRPr="00830439">
        <w:rPr>
          <w:rFonts w:cs="Arial"/>
          <w:szCs w:val="20"/>
        </w:rPr>
        <w:t>Slovenski podjetniški sklad (SPS) upravlja holdinški sklad, na podlagi “Programa instrumentov finančnega inženiringa za MSP v RS 2009-2013” (PIFI), ki je financiran tudi iz sredstev evropske kohezijske politike 2007-2013 in drugih virov. Portfelj holdinškega sklada je vseboval tako instrumente lastniškega financiranja (tvegani kapital) kot tudi instrumente dolžniškega financiranja (garancije, garancije s subvencijo obrestne mere, posojila), vendar je bilo skoraj 70 % financiranja namenjenega garancijam.</w:t>
      </w:r>
    </w:p>
    <w:p w14:paraId="508425DC" w14:textId="77777777" w:rsidR="003E3ED9" w:rsidRPr="00830439" w:rsidRDefault="003E3ED9" w:rsidP="003E3ED9">
      <w:pPr>
        <w:jc w:val="both"/>
        <w:rPr>
          <w:rFonts w:cs="Arial"/>
          <w:szCs w:val="20"/>
        </w:rPr>
      </w:pPr>
    </w:p>
    <w:p w14:paraId="78AD4A67" w14:textId="77777777" w:rsidR="003E3ED9" w:rsidRPr="00830439" w:rsidRDefault="003E3ED9" w:rsidP="003E3ED9">
      <w:pPr>
        <w:jc w:val="both"/>
        <w:rPr>
          <w:rFonts w:cs="Arial"/>
          <w:szCs w:val="20"/>
        </w:rPr>
      </w:pPr>
      <w:r w:rsidRPr="00830439">
        <w:rPr>
          <w:rFonts w:cs="Arial"/>
          <w:szCs w:val="20"/>
        </w:rPr>
        <w:t>Prav tako SID banka upravlja posojilne sklade za MSP in RRI, s skupnim potencialom do 650 mio EUR. Poleg teh FI v obliki neposrednega financiranja je večino sredstev posredovanih do končnih koristnikov posredovala (posredno) preko komercialnih bank. Po bilančnih podatkih s konca leta 2014 je bilo okoli 1,2 mrd EUR sredstev dodeljenih posredno preko komercialnih bank za MSP.</w:t>
      </w:r>
    </w:p>
    <w:p w14:paraId="2B0C3752" w14:textId="77777777" w:rsidR="003E3ED9" w:rsidRPr="00830439" w:rsidRDefault="003E3ED9" w:rsidP="003E3ED9">
      <w:pPr>
        <w:jc w:val="both"/>
        <w:rPr>
          <w:rFonts w:cs="Arial"/>
          <w:szCs w:val="20"/>
        </w:rPr>
      </w:pPr>
    </w:p>
    <w:p w14:paraId="0EB31FD5" w14:textId="77777777" w:rsidR="003E3ED9" w:rsidRPr="00830439" w:rsidRDefault="003E3ED9" w:rsidP="003E3ED9">
      <w:pPr>
        <w:jc w:val="both"/>
        <w:rPr>
          <w:rFonts w:cs="Arial"/>
          <w:szCs w:val="20"/>
        </w:rPr>
      </w:pPr>
      <w:r w:rsidRPr="00830439">
        <w:rPr>
          <w:rFonts w:cs="Arial"/>
          <w:szCs w:val="20"/>
        </w:rPr>
        <w:t xml:space="preserve">Finančne produkte sta izvajala tudi </w:t>
      </w:r>
      <w:proofErr w:type="spellStart"/>
      <w:r w:rsidRPr="00830439">
        <w:rPr>
          <w:rFonts w:cs="Arial"/>
          <w:szCs w:val="20"/>
        </w:rPr>
        <w:t>Eko</w:t>
      </w:r>
      <w:proofErr w:type="spellEnd"/>
      <w:r w:rsidRPr="00830439">
        <w:rPr>
          <w:rFonts w:cs="Arial"/>
          <w:szCs w:val="20"/>
        </w:rPr>
        <w:t xml:space="preserve"> sklad in Slovenski regionalno razvojni sklad. </w:t>
      </w:r>
      <w:proofErr w:type="spellStart"/>
      <w:r w:rsidRPr="00830439">
        <w:rPr>
          <w:rFonts w:cs="Arial"/>
          <w:szCs w:val="20"/>
        </w:rPr>
        <w:t>Eko</w:t>
      </w:r>
      <w:proofErr w:type="spellEnd"/>
      <w:r w:rsidRPr="00830439">
        <w:rPr>
          <w:rFonts w:cs="Arial"/>
          <w:szCs w:val="20"/>
        </w:rPr>
        <w:t xml:space="preserve"> sklad je zagotavljal nepovratna sredstva in prednostna posojila za projekte energetske učinkovitosti, Slovenski regionalno razvojni sklad pa je pokrival področja, relevantna za regionalne razvojne politike.</w:t>
      </w:r>
    </w:p>
    <w:p w14:paraId="08D8D618" w14:textId="77777777" w:rsidR="003E3ED9" w:rsidRPr="00830439" w:rsidRDefault="003E3ED9" w:rsidP="003E3ED9">
      <w:pPr>
        <w:jc w:val="both"/>
        <w:rPr>
          <w:rFonts w:cs="Arial"/>
          <w:szCs w:val="20"/>
        </w:rPr>
      </w:pPr>
    </w:p>
    <w:p w14:paraId="019A148A" w14:textId="77777777" w:rsidR="003E3ED9" w:rsidRPr="00830439" w:rsidRDefault="003E3ED9" w:rsidP="003E3ED9">
      <w:pPr>
        <w:jc w:val="both"/>
        <w:rPr>
          <w:rFonts w:cs="Arial"/>
          <w:szCs w:val="20"/>
        </w:rPr>
      </w:pPr>
      <w:r w:rsidRPr="00830439">
        <w:rPr>
          <w:rFonts w:cs="Arial"/>
          <w:szCs w:val="20"/>
        </w:rPr>
        <w:t>Opravljen je bil pregled obstoječih FI v Sloveniji ter glavnih pridobljenih izkušenj v programskem obdobju 2007-2013, ki so predstavljene v spodnji tabeli.</w:t>
      </w:r>
    </w:p>
    <w:p w14:paraId="0F129FFE" w14:textId="77777777" w:rsidR="003E3ED9" w:rsidRPr="00830439" w:rsidRDefault="003E3ED9" w:rsidP="003E3ED9">
      <w:pPr>
        <w:jc w:val="both"/>
        <w:rPr>
          <w:rFonts w:cs="Arial"/>
          <w:szCs w:val="20"/>
        </w:rPr>
      </w:pPr>
    </w:p>
    <w:p w14:paraId="58908D0B" w14:textId="77777777" w:rsidR="003E3ED9" w:rsidRPr="004005A5" w:rsidRDefault="003E3ED9" w:rsidP="003E3ED9">
      <w:pPr>
        <w:keepNext/>
        <w:spacing w:line="240" w:lineRule="auto"/>
        <w:jc w:val="both"/>
        <w:rPr>
          <w:rFonts w:cs="Arial"/>
          <w:szCs w:val="20"/>
        </w:rPr>
      </w:pPr>
      <w:bookmarkStart w:id="22" w:name="_Toc132097859"/>
      <w:r w:rsidRPr="004005A5">
        <w:rPr>
          <w:rFonts w:cs="Arial"/>
          <w:szCs w:val="20"/>
        </w:rPr>
        <w:lastRenderedPageBreak/>
        <w:t xml:space="preserve">Tabela </w:t>
      </w:r>
      <w:r w:rsidRPr="004005A5">
        <w:rPr>
          <w:rFonts w:cs="Arial"/>
          <w:szCs w:val="20"/>
        </w:rPr>
        <w:fldChar w:fldCharType="begin"/>
      </w:r>
      <w:r w:rsidRPr="004005A5">
        <w:rPr>
          <w:rFonts w:cs="Arial"/>
          <w:szCs w:val="20"/>
        </w:rPr>
        <w:instrText xml:space="preserve"> SEQ Tabela \* ARABIC </w:instrText>
      </w:r>
      <w:r w:rsidRPr="004005A5">
        <w:rPr>
          <w:rFonts w:cs="Arial"/>
          <w:szCs w:val="20"/>
        </w:rPr>
        <w:fldChar w:fldCharType="separate"/>
      </w:r>
      <w:r>
        <w:rPr>
          <w:rFonts w:cs="Arial"/>
          <w:noProof/>
          <w:szCs w:val="20"/>
        </w:rPr>
        <w:t>8</w:t>
      </w:r>
      <w:r w:rsidRPr="004005A5">
        <w:rPr>
          <w:rFonts w:cs="Arial"/>
          <w:szCs w:val="20"/>
        </w:rPr>
        <w:fldChar w:fldCharType="end"/>
      </w:r>
      <w:r w:rsidRPr="004005A5">
        <w:rPr>
          <w:rFonts w:cs="Arial"/>
          <w:szCs w:val="20"/>
        </w:rPr>
        <w:t>: Glavne pridobljene izkušnje za programsko obdobje 2007-2013</w:t>
      </w:r>
      <w:bookmarkEnd w:id="22"/>
    </w:p>
    <w:tbl>
      <w:tblPr>
        <w:tblStyle w:val="PwCTableTex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648"/>
      </w:tblGrid>
      <w:tr w:rsidR="003E3ED9" w:rsidRPr="004005A5" w14:paraId="3EC73CAA" w14:textId="77777777" w:rsidTr="00E8716B">
        <w:trPr>
          <w:cnfStyle w:val="100000000000" w:firstRow="1" w:lastRow="0" w:firstColumn="0" w:lastColumn="0" w:oddVBand="0" w:evenVBand="0" w:oddHBand="0" w:evenHBand="0" w:firstRowFirstColumn="0" w:firstRowLastColumn="0" w:lastRowFirstColumn="0" w:lastRowLastColumn="0"/>
          <w:trHeight w:val="282"/>
          <w:tblHeader/>
          <w:jc w:val="center"/>
        </w:trPr>
        <w:tc>
          <w:tcPr>
            <w:tcW w:w="1677" w:type="pct"/>
            <w:shd w:val="clear" w:color="auto" w:fill="B9D7E3"/>
          </w:tcPr>
          <w:p w14:paraId="3C7FC60F" w14:textId="77777777" w:rsidR="003E3ED9" w:rsidRPr="002A1F16" w:rsidRDefault="003E3ED9" w:rsidP="00E8716B">
            <w:pPr>
              <w:keepNext/>
              <w:keepLines/>
              <w:widowControl w:val="0"/>
              <w:spacing w:after="0"/>
              <w:ind w:left="7"/>
              <w:jc w:val="center"/>
              <w:rPr>
                <w:rFonts w:eastAsia="Times New Roman" w:cs="Arial"/>
                <w:sz w:val="20"/>
                <w:lang w:val="sl-SI"/>
              </w:rPr>
            </w:pPr>
            <w:proofErr w:type="spellStart"/>
            <w:r w:rsidRPr="004005A5">
              <w:rPr>
                <w:rFonts w:eastAsia="Times New Roman" w:cs="Arial"/>
                <w:sz w:val="20"/>
              </w:rPr>
              <w:t>Pridobljene</w:t>
            </w:r>
            <w:proofErr w:type="spellEnd"/>
            <w:r w:rsidRPr="004005A5">
              <w:rPr>
                <w:rFonts w:eastAsia="Times New Roman" w:cs="Arial"/>
                <w:sz w:val="20"/>
              </w:rPr>
              <w:t xml:space="preserve"> </w:t>
            </w:r>
            <w:proofErr w:type="spellStart"/>
            <w:r w:rsidRPr="004005A5">
              <w:rPr>
                <w:rFonts w:eastAsia="Times New Roman" w:cs="Arial"/>
                <w:sz w:val="20"/>
              </w:rPr>
              <w:t>izkušnje</w:t>
            </w:r>
            <w:proofErr w:type="spellEnd"/>
          </w:p>
        </w:tc>
        <w:tc>
          <w:tcPr>
            <w:tcW w:w="3323" w:type="pct"/>
            <w:shd w:val="clear" w:color="auto" w:fill="B9D7E3"/>
          </w:tcPr>
          <w:p w14:paraId="0CDE148E" w14:textId="77777777" w:rsidR="003E3ED9" w:rsidRPr="002A1F16" w:rsidRDefault="003E3ED9" w:rsidP="00E8716B">
            <w:pPr>
              <w:keepNext/>
              <w:keepLines/>
              <w:widowControl w:val="0"/>
              <w:spacing w:after="0"/>
              <w:ind w:left="7"/>
              <w:jc w:val="center"/>
              <w:rPr>
                <w:rFonts w:eastAsia="Times New Roman" w:cs="Arial"/>
                <w:sz w:val="20"/>
                <w:lang w:val="sl-SI"/>
              </w:rPr>
            </w:pPr>
            <w:proofErr w:type="spellStart"/>
            <w:r w:rsidRPr="004005A5">
              <w:rPr>
                <w:rFonts w:eastAsia="Times New Roman" w:cs="Arial"/>
                <w:sz w:val="20"/>
              </w:rPr>
              <w:t>Opis</w:t>
            </w:r>
            <w:proofErr w:type="spellEnd"/>
          </w:p>
        </w:tc>
      </w:tr>
      <w:tr w:rsidR="003E3ED9" w:rsidRPr="004861F4" w14:paraId="09FBF081" w14:textId="77777777" w:rsidTr="00E8716B">
        <w:trPr>
          <w:cnfStyle w:val="100000000000" w:firstRow="1" w:lastRow="0" w:firstColumn="0" w:lastColumn="0" w:oddVBand="0" w:evenVBand="0" w:oddHBand="0" w:evenHBand="0" w:firstRowFirstColumn="0" w:firstRowLastColumn="0" w:lastRowFirstColumn="0" w:lastRowLastColumn="0"/>
          <w:trHeight w:val="1022"/>
          <w:tblHeader/>
          <w:jc w:val="center"/>
        </w:trPr>
        <w:tc>
          <w:tcPr>
            <w:tcW w:w="1677" w:type="pct"/>
          </w:tcPr>
          <w:p w14:paraId="7C6F1E9F" w14:textId="77777777" w:rsidR="003E3ED9" w:rsidRPr="004861F4" w:rsidRDefault="003E3ED9" w:rsidP="00E8716B">
            <w:pPr>
              <w:keepNext/>
              <w:keepLines/>
              <w:widowControl w:val="0"/>
              <w:spacing w:before="0" w:beforeAutospacing="0" w:after="0" w:afterAutospacing="0"/>
              <w:ind w:left="7"/>
              <w:jc w:val="center"/>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Različen</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obseg</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finančnih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instrumentov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štirih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naložbenih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področjih</w:t>
            </w:r>
            <w:proofErr w:type="spellEnd"/>
            <w:r w:rsidRPr="00E26706">
              <w:rPr>
                <w:rFonts w:eastAsiaTheme="minorEastAsia" w:cs="Arial"/>
                <w:color w:val="1F497D" w:themeColor="text2"/>
                <w:sz w:val="20"/>
              </w:rPr>
              <w:t>.</w:t>
            </w:r>
          </w:p>
        </w:tc>
        <w:tc>
          <w:tcPr>
            <w:tcW w:w="3323" w:type="pct"/>
          </w:tcPr>
          <w:p w14:paraId="4DF6A3EF"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Ponudba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več</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različnih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finančnih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instrumentov</w:t>
            </w:r>
            <w:proofErr w:type="spellEnd"/>
            <w:r w:rsidRPr="00E26706">
              <w:rPr>
                <w:rFonts w:eastAsiaTheme="minorEastAsia" w:cs="Arial"/>
                <w:color w:val="1F497D" w:themeColor="text2"/>
                <w:sz w:val="20"/>
              </w:rPr>
              <w:t xml:space="preserve"> je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MSP </w:t>
            </w:r>
            <w:proofErr w:type="spellStart"/>
            <w:r w:rsidRPr="00E26706">
              <w:rPr>
                <w:rFonts w:eastAsiaTheme="minorEastAsia" w:cs="Arial"/>
                <w:color w:val="1F497D" w:themeColor="text2"/>
                <w:sz w:val="20"/>
              </w:rPr>
              <w:t>najbolj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razširjena</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razvita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Slovenskega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sklada</w:t>
            </w:r>
            <w:proofErr w:type="spellEnd"/>
            <w:r w:rsidRPr="00E26706">
              <w:rPr>
                <w:rFonts w:eastAsiaTheme="minorEastAsia" w:cs="Arial"/>
                <w:color w:val="1F497D" w:themeColor="text2"/>
                <w:sz w:val="20"/>
              </w:rPr>
              <w:t xml:space="preserve"> in SID </w:t>
            </w:r>
            <w:proofErr w:type="spellStart"/>
            <w:r w:rsidRPr="00E26706">
              <w:rPr>
                <w:rFonts w:eastAsiaTheme="minorEastAsia" w:cs="Arial"/>
                <w:color w:val="1F497D" w:themeColor="text2"/>
                <w:sz w:val="20"/>
              </w:rPr>
              <w:t>banke</w:t>
            </w:r>
            <w:proofErr w:type="spellEnd"/>
            <w:r w:rsidRPr="00E26706">
              <w:rPr>
                <w:rFonts w:eastAsiaTheme="minorEastAsia" w:cs="Arial"/>
                <w:color w:val="1F497D" w:themeColor="text2"/>
                <w:sz w:val="20"/>
              </w:rPr>
              <w:t xml:space="preserve">. Na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energetske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učinkovitosti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sta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prisotna</w:t>
            </w:r>
            <w:proofErr w:type="spellEnd"/>
            <w:r w:rsidRPr="00E26706">
              <w:rPr>
                <w:rFonts w:eastAsiaTheme="minorEastAsia" w:cs="Arial"/>
                <w:color w:val="1F497D" w:themeColor="text2"/>
                <w:sz w:val="20"/>
              </w:rPr>
              <w:t xml:space="preserve"> SID </w:t>
            </w:r>
            <w:proofErr w:type="spellStart"/>
            <w:r w:rsidRPr="00E26706">
              <w:rPr>
                <w:rFonts w:eastAsiaTheme="minorEastAsia" w:cs="Arial"/>
                <w:color w:val="1F497D" w:themeColor="text2"/>
                <w:sz w:val="20"/>
              </w:rPr>
              <w:t>banka</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Eko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zajemata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občine</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posameznike</w:t>
            </w:r>
            <w:proofErr w:type="spellEnd"/>
            <w:r w:rsidRPr="00E26706">
              <w:rPr>
                <w:rFonts w:eastAsiaTheme="minorEastAsia" w:cs="Arial"/>
                <w:color w:val="1F497D" w:themeColor="text2"/>
                <w:sz w:val="20"/>
              </w:rPr>
              <w:t>.</w:t>
            </w:r>
          </w:p>
        </w:tc>
      </w:tr>
      <w:tr w:rsidR="003E3ED9" w:rsidRPr="004861F4" w14:paraId="54897C11" w14:textId="77777777" w:rsidTr="00E8716B">
        <w:trPr>
          <w:cnfStyle w:val="100000000000" w:firstRow="1" w:lastRow="0" w:firstColumn="0" w:lastColumn="0" w:oddVBand="0" w:evenVBand="0" w:oddHBand="0" w:evenHBand="0" w:firstRowFirstColumn="0" w:firstRowLastColumn="0" w:lastRowFirstColumn="0" w:lastRowLastColumn="0"/>
          <w:trHeight w:val="1112"/>
          <w:tblHeader/>
          <w:jc w:val="center"/>
        </w:trPr>
        <w:tc>
          <w:tcPr>
            <w:tcW w:w="1677" w:type="pct"/>
          </w:tcPr>
          <w:p w14:paraId="21462ED3" w14:textId="77777777" w:rsidR="003E3ED9" w:rsidRPr="004861F4" w:rsidRDefault="003E3ED9" w:rsidP="00E8716B">
            <w:pPr>
              <w:keepNext/>
              <w:keepLines/>
              <w:widowControl w:val="0"/>
              <w:spacing w:before="0" w:beforeAutospacing="0" w:after="0" w:afterAutospacing="0"/>
              <w:ind w:left="7"/>
              <w:jc w:val="center"/>
              <w:rPr>
                <w:rFonts w:eastAsiaTheme="minorEastAsia" w:cs="Arial"/>
                <w:b w:val="0"/>
                <w:color w:val="1F497D" w:themeColor="text2"/>
                <w:sz w:val="20"/>
                <w:lang w:val="sl-SI"/>
              </w:rPr>
            </w:pPr>
            <w:proofErr w:type="spellStart"/>
            <w:r w:rsidRPr="00DD35C6">
              <w:rPr>
                <w:rFonts w:eastAsiaTheme="minorEastAsia" w:cs="Arial"/>
                <w:color w:val="1F497D" w:themeColor="text2"/>
                <w:sz w:val="20"/>
                <w:lang w:val="it-IT"/>
              </w:rPr>
              <w:t>Prevladovale</w:t>
            </w:r>
            <w:proofErr w:type="spellEnd"/>
            <w:r w:rsidRPr="00DD35C6">
              <w:rPr>
                <w:rFonts w:eastAsiaTheme="minorEastAsia" w:cs="Arial"/>
                <w:color w:val="1F497D" w:themeColor="text2"/>
                <w:sz w:val="20"/>
                <w:lang w:val="it-IT"/>
              </w:rPr>
              <w:t xml:space="preserve"> so </w:t>
            </w:r>
            <w:proofErr w:type="spellStart"/>
            <w:r w:rsidRPr="00DD35C6">
              <w:rPr>
                <w:rFonts w:eastAsiaTheme="minorEastAsia" w:cs="Arial"/>
                <w:color w:val="1F497D" w:themeColor="text2"/>
                <w:sz w:val="20"/>
                <w:lang w:val="it-IT"/>
              </w:rPr>
              <w:t>garancije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na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voljo</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pa</w:t>
            </w:r>
            <w:proofErr w:type="spellEnd"/>
            <w:r w:rsidRPr="00DD35C6">
              <w:rPr>
                <w:rFonts w:eastAsiaTheme="minorEastAsia" w:cs="Arial"/>
                <w:color w:val="1F497D" w:themeColor="text2"/>
                <w:sz w:val="20"/>
                <w:lang w:val="it-IT"/>
              </w:rPr>
              <w:t xml:space="preserve"> so bile </w:t>
            </w:r>
            <w:proofErr w:type="spellStart"/>
            <w:r w:rsidRPr="00DD35C6">
              <w:rPr>
                <w:rFonts w:eastAsiaTheme="minorEastAsia" w:cs="Arial"/>
                <w:color w:val="1F497D" w:themeColor="text2"/>
                <w:sz w:val="20"/>
                <w:lang w:val="it-IT"/>
              </w:rPr>
              <w:t>tudi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druge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vrste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financiranja</w:t>
            </w:r>
            <w:proofErr w:type="spellEnd"/>
            <w:r w:rsidRPr="00DD35C6">
              <w:rPr>
                <w:rFonts w:eastAsiaTheme="minorEastAsia" w:cs="Arial"/>
                <w:color w:val="1F497D" w:themeColor="text2"/>
                <w:sz w:val="20"/>
                <w:lang w:val="it-IT"/>
              </w:rPr>
              <w:t>.</w:t>
            </w:r>
          </w:p>
        </w:tc>
        <w:tc>
          <w:tcPr>
            <w:tcW w:w="3323" w:type="pct"/>
          </w:tcPr>
          <w:p w14:paraId="1C7F23B4"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Ponudba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Slovenskega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sklada</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veliki</w:t>
            </w:r>
            <w:proofErr w:type="spellEnd"/>
            <w:r w:rsidRPr="00E26706">
              <w:rPr>
                <w:rFonts w:eastAsiaTheme="minorEastAsia" w:cs="Arial"/>
                <w:color w:val="1F497D" w:themeColor="text2"/>
                <w:sz w:val="20"/>
              </w:rPr>
              <w:t xml:space="preserve"> meri </w:t>
            </w:r>
            <w:proofErr w:type="spellStart"/>
            <w:r w:rsidRPr="00E26706">
              <w:rPr>
                <w:rFonts w:eastAsiaTheme="minorEastAsia" w:cs="Arial"/>
                <w:color w:val="1F497D" w:themeColor="text2"/>
                <w:sz w:val="20"/>
              </w:rPr>
              <w:t>temelji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garancijah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vendar</w:t>
            </w:r>
            <w:proofErr w:type="spellEnd"/>
            <w:r w:rsidRPr="00E26706">
              <w:rPr>
                <w:rFonts w:eastAsiaTheme="minorEastAsia" w:cs="Arial"/>
                <w:color w:val="1F497D" w:themeColor="text2"/>
                <w:sz w:val="20"/>
              </w:rPr>
              <w:t xml:space="preserve"> je </w:t>
            </w:r>
            <w:proofErr w:type="spellStart"/>
            <w:r w:rsidRPr="00E26706">
              <w:rPr>
                <w:rFonts w:eastAsiaTheme="minorEastAsia" w:cs="Arial"/>
                <w:color w:val="1F497D" w:themeColor="text2"/>
                <w:sz w:val="20"/>
              </w:rPr>
              <w:t>Slovenski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podjetniški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razvil</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tudi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več</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drugih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instrumentov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dolga</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lastniškega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mikrokrediti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konvertibilna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posojila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tvegani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kapital</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kapitalsko-lastniški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vstop</w:t>
            </w:r>
            <w:proofErr w:type="spellEnd"/>
            <w:r w:rsidRPr="00E26706">
              <w:rPr>
                <w:rFonts w:eastAsiaTheme="minorEastAsia" w:cs="Arial"/>
                <w:color w:val="1F497D" w:themeColor="text2"/>
                <w:sz w:val="20"/>
              </w:rPr>
              <w:t>).</w:t>
            </w:r>
          </w:p>
        </w:tc>
      </w:tr>
      <w:tr w:rsidR="003E3ED9" w:rsidRPr="004861F4" w14:paraId="3424D06E" w14:textId="77777777" w:rsidTr="00E8716B">
        <w:trPr>
          <w:cnfStyle w:val="100000000000" w:firstRow="1" w:lastRow="0" w:firstColumn="0" w:lastColumn="0" w:oddVBand="0" w:evenVBand="0" w:oddHBand="0" w:evenHBand="0" w:firstRowFirstColumn="0" w:firstRowLastColumn="0" w:lastRowFirstColumn="0" w:lastRowLastColumn="0"/>
          <w:trHeight w:val="1083"/>
          <w:tblHeader/>
          <w:jc w:val="center"/>
        </w:trPr>
        <w:tc>
          <w:tcPr>
            <w:tcW w:w="1677" w:type="pct"/>
          </w:tcPr>
          <w:p w14:paraId="3969838C" w14:textId="77777777" w:rsidR="003E3ED9" w:rsidRPr="004861F4" w:rsidRDefault="003E3ED9" w:rsidP="00E8716B">
            <w:pPr>
              <w:keepNext/>
              <w:keepLines/>
              <w:widowControl w:val="0"/>
              <w:spacing w:before="0" w:beforeAutospacing="0" w:after="0" w:afterAutospacing="0"/>
              <w:ind w:left="7"/>
              <w:jc w:val="center"/>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Financiranje</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obliki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nepovratnih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sredstev</w:t>
            </w:r>
            <w:proofErr w:type="spellEnd"/>
            <w:r w:rsidRPr="00E26706">
              <w:rPr>
                <w:rFonts w:eastAsiaTheme="minorEastAsia" w:cs="Arial"/>
                <w:color w:val="1F497D" w:themeColor="text2"/>
                <w:sz w:val="20"/>
              </w:rPr>
              <w:t xml:space="preserve"> je </w:t>
            </w:r>
            <w:proofErr w:type="spellStart"/>
            <w:r w:rsidRPr="00E26706">
              <w:rPr>
                <w:rFonts w:eastAsiaTheme="minorEastAsia" w:cs="Arial"/>
                <w:color w:val="1F497D" w:themeColor="text2"/>
                <w:sz w:val="20"/>
              </w:rPr>
              <w:t>bilo</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nekatera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ključnega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pomena</w:t>
            </w:r>
            <w:proofErr w:type="spellEnd"/>
            <w:r w:rsidRPr="00E26706">
              <w:rPr>
                <w:rFonts w:eastAsiaTheme="minorEastAsia" w:cs="Arial"/>
                <w:color w:val="1F497D" w:themeColor="text2"/>
                <w:sz w:val="20"/>
              </w:rPr>
              <w:t>.</w:t>
            </w:r>
          </w:p>
        </w:tc>
        <w:tc>
          <w:tcPr>
            <w:tcW w:w="3323" w:type="pct"/>
          </w:tcPr>
          <w:p w14:paraId="1FE876DD"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Nekatera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področja</w:t>
            </w:r>
            <w:proofErr w:type="spellEnd"/>
            <w:r w:rsidRPr="00E26706">
              <w:rPr>
                <w:rFonts w:eastAsiaTheme="minorEastAsia" w:cs="Arial"/>
                <w:color w:val="1F497D" w:themeColor="text2"/>
                <w:sz w:val="20"/>
              </w:rPr>
              <w:t xml:space="preserve"> so v </w:t>
            </w:r>
            <w:proofErr w:type="spellStart"/>
            <w:r w:rsidRPr="00E26706">
              <w:rPr>
                <w:rFonts w:eastAsiaTheme="minorEastAsia" w:cs="Arial"/>
                <w:color w:val="1F497D" w:themeColor="text2"/>
                <w:sz w:val="20"/>
              </w:rPr>
              <w:t>celoti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ali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delno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krila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neposredna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sredstva</w:t>
            </w:r>
            <w:proofErr w:type="spellEnd"/>
            <w:r w:rsidRPr="00E26706">
              <w:rPr>
                <w:rFonts w:eastAsiaTheme="minorEastAsia" w:cs="Arial"/>
                <w:color w:val="1F497D" w:themeColor="text2"/>
                <w:sz w:val="20"/>
              </w:rPr>
              <w:t xml:space="preserve">, ki so </w:t>
            </w:r>
            <w:proofErr w:type="spellStart"/>
            <w:r w:rsidRPr="00E26706">
              <w:rPr>
                <w:rFonts w:eastAsiaTheme="minorEastAsia" w:cs="Arial"/>
                <w:color w:val="1F497D" w:themeColor="text2"/>
                <w:sz w:val="20"/>
              </w:rPr>
              <w:t>bila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tako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ključnega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pomena</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razvoj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teh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področij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kmetijstvo</w:t>
            </w:r>
            <w:proofErr w:type="spellEnd"/>
            <w:r w:rsidRPr="00E26706">
              <w:rPr>
                <w:rFonts w:eastAsiaTheme="minorEastAsia" w:cs="Arial"/>
                <w:color w:val="1F497D" w:themeColor="text2"/>
                <w:sz w:val="20"/>
              </w:rPr>
              <w:t xml:space="preserve">, RRI, </w:t>
            </w:r>
            <w:proofErr w:type="spellStart"/>
            <w:r w:rsidRPr="00E26706">
              <w:rPr>
                <w:rFonts w:eastAsiaTheme="minorEastAsia" w:cs="Arial"/>
                <w:color w:val="1F497D" w:themeColor="text2"/>
                <w:sz w:val="20"/>
              </w:rPr>
              <w:t>velik</w:t>
            </w:r>
            <w:proofErr w:type="spellEnd"/>
            <w:r w:rsidRPr="00E26706">
              <w:rPr>
                <w:rFonts w:eastAsiaTheme="minorEastAsia" w:cs="Arial"/>
                <w:color w:val="1F497D" w:themeColor="text2"/>
                <w:sz w:val="20"/>
              </w:rPr>
              <w:t xml:space="preserve"> del </w:t>
            </w:r>
            <w:proofErr w:type="spellStart"/>
            <w:r w:rsidRPr="00E26706">
              <w:rPr>
                <w:rFonts w:eastAsiaTheme="minorEastAsia" w:cs="Arial"/>
                <w:color w:val="1F497D" w:themeColor="text2"/>
                <w:sz w:val="20"/>
              </w:rPr>
              <w:t>obstoječih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projektov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energetske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učinkovitosti</w:t>
            </w:r>
            <w:proofErr w:type="spellEnd"/>
            <w:r w:rsidRPr="00E26706">
              <w:rPr>
                <w:rFonts w:eastAsiaTheme="minorEastAsia" w:cs="Arial"/>
                <w:color w:val="1F497D" w:themeColor="text2"/>
                <w:sz w:val="20"/>
              </w:rPr>
              <w:t>).</w:t>
            </w:r>
          </w:p>
        </w:tc>
      </w:tr>
      <w:tr w:rsidR="003E3ED9" w:rsidRPr="004861F4" w14:paraId="23E69AD1" w14:textId="77777777" w:rsidTr="00E8716B">
        <w:trPr>
          <w:cnfStyle w:val="100000000000" w:firstRow="1" w:lastRow="0" w:firstColumn="0" w:lastColumn="0" w:oddVBand="0" w:evenVBand="0" w:oddHBand="0" w:evenHBand="0" w:firstRowFirstColumn="0" w:firstRowLastColumn="0" w:lastRowFirstColumn="0" w:lastRowLastColumn="0"/>
          <w:trHeight w:val="615"/>
          <w:tblHeader/>
          <w:jc w:val="center"/>
        </w:trPr>
        <w:tc>
          <w:tcPr>
            <w:tcW w:w="1677" w:type="pct"/>
          </w:tcPr>
          <w:p w14:paraId="035CE521"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DD35C6">
              <w:rPr>
                <w:rFonts w:eastAsiaTheme="minorEastAsia" w:cs="Arial"/>
                <w:color w:val="1F497D" w:themeColor="text2"/>
                <w:sz w:val="20"/>
                <w:lang w:val="it-IT"/>
              </w:rPr>
              <w:t>Pobude</w:t>
            </w:r>
            <w:proofErr w:type="spellEnd"/>
            <w:r w:rsidRPr="00DD35C6">
              <w:rPr>
                <w:rFonts w:eastAsiaTheme="minorEastAsia" w:cs="Arial"/>
                <w:color w:val="1F497D" w:themeColor="text2"/>
                <w:sz w:val="20"/>
                <w:lang w:val="it-IT"/>
              </w:rPr>
              <w:t xml:space="preserve"> v </w:t>
            </w:r>
            <w:proofErr w:type="spellStart"/>
            <w:r w:rsidRPr="00DD35C6">
              <w:rPr>
                <w:rFonts w:eastAsiaTheme="minorEastAsia" w:cs="Arial"/>
                <w:color w:val="1F497D" w:themeColor="text2"/>
                <w:sz w:val="20"/>
                <w:lang w:val="it-IT"/>
              </w:rPr>
              <w:t>obliki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nepovratnih</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sredstev</w:t>
            </w:r>
            <w:proofErr w:type="spellEnd"/>
            <w:r w:rsidRPr="00DD35C6">
              <w:rPr>
                <w:rFonts w:eastAsiaTheme="minorEastAsia" w:cs="Arial"/>
                <w:color w:val="1F497D" w:themeColor="text2"/>
                <w:sz w:val="20"/>
                <w:lang w:val="it-IT"/>
              </w:rPr>
              <w:t xml:space="preserve"> bodo ostale </w:t>
            </w:r>
            <w:proofErr w:type="spellStart"/>
            <w:r w:rsidRPr="00DD35C6">
              <w:rPr>
                <w:rFonts w:eastAsiaTheme="minorEastAsia" w:cs="Arial"/>
                <w:color w:val="1F497D" w:themeColor="text2"/>
                <w:sz w:val="20"/>
                <w:lang w:val="it-IT"/>
              </w:rPr>
              <w:t>pomemben</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sestavni</w:t>
            </w:r>
            <w:proofErr w:type="spellEnd"/>
            <w:r w:rsidRPr="00DD35C6">
              <w:rPr>
                <w:rFonts w:eastAsiaTheme="minorEastAsia" w:cs="Arial"/>
                <w:color w:val="1F497D" w:themeColor="text2"/>
                <w:sz w:val="20"/>
                <w:lang w:val="it-IT"/>
              </w:rPr>
              <w:t xml:space="preserve"> del.</w:t>
            </w:r>
          </w:p>
        </w:tc>
        <w:tc>
          <w:tcPr>
            <w:tcW w:w="3323" w:type="pct"/>
          </w:tcPr>
          <w:p w14:paraId="1DCEDC50"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Obstajajo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kjer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brez</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vključevanja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spodbud</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obliki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nepovratnih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sredstev</w:t>
            </w:r>
            <w:proofErr w:type="spellEnd"/>
            <w:r w:rsidRPr="00E26706">
              <w:rPr>
                <w:rFonts w:eastAsiaTheme="minorEastAsia" w:cs="Arial"/>
                <w:color w:val="1F497D" w:themeColor="text2"/>
                <w:sz w:val="20"/>
              </w:rPr>
              <w:t xml:space="preserve"> ne </w:t>
            </w:r>
            <w:proofErr w:type="spellStart"/>
            <w:r w:rsidRPr="00E26706">
              <w:rPr>
                <w:rFonts w:eastAsiaTheme="minorEastAsia" w:cs="Arial"/>
                <w:color w:val="1F497D" w:themeColor="text2"/>
                <w:sz w:val="20"/>
              </w:rPr>
              <w:t>bo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mogoče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npr</w:t>
            </w:r>
            <w:proofErr w:type="spellEnd"/>
            <w:r w:rsidRPr="00E26706">
              <w:rPr>
                <w:rFonts w:eastAsiaTheme="minorEastAsia" w:cs="Arial"/>
                <w:color w:val="1F497D" w:themeColor="text2"/>
                <w:sz w:val="20"/>
              </w:rPr>
              <w:t xml:space="preserve">. start-up </w:t>
            </w:r>
            <w:proofErr w:type="spellStart"/>
            <w:r w:rsidRPr="00E26706">
              <w:rPr>
                <w:rFonts w:eastAsiaTheme="minorEastAsia" w:cs="Arial"/>
                <w:color w:val="1F497D" w:themeColor="text2"/>
                <w:sz w:val="20"/>
              </w:rPr>
              <w:t>podjetja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energetska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obnova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stavb</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spadajo</w:t>
            </w:r>
            <w:proofErr w:type="spellEnd"/>
            <w:r w:rsidRPr="00E26706">
              <w:rPr>
                <w:rFonts w:eastAsiaTheme="minorEastAsia" w:cs="Arial"/>
                <w:color w:val="1F497D" w:themeColor="text2"/>
                <w:sz w:val="20"/>
              </w:rPr>
              <w:t xml:space="preserve"> pod </w:t>
            </w:r>
            <w:proofErr w:type="spellStart"/>
            <w:r w:rsidRPr="00E26706">
              <w:rPr>
                <w:rFonts w:eastAsiaTheme="minorEastAsia" w:cs="Arial"/>
                <w:color w:val="1F497D" w:themeColor="text2"/>
                <w:sz w:val="20"/>
              </w:rPr>
              <w:t>kulturno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dediščino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posebne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spodbude</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raziskave</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razvoj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določena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področja</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kmetijskem</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sektorju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zato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bo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potrebno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določiti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kateri</w:t>
            </w:r>
            <w:proofErr w:type="spellEnd"/>
            <w:r w:rsidRPr="00E26706">
              <w:rPr>
                <w:rFonts w:eastAsiaTheme="minorEastAsia" w:cs="Arial"/>
                <w:color w:val="1F497D" w:themeColor="text2"/>
                <w:sz w:val="20"/>
              </w:rPr>
              <w:t xml:space="preserve"> FI bi </w:t>
            </w:r>
            <w:proofErr w:type="spellStart"/>
            <w:r w:rsidRPr="00E26706">
              <w:rPr>
                <w:rFonts w:eastAsiaTheme="minorEastAsia" w:cs="Arial"/>
                <w:color w:val="1F497D" w:themeColor="text2"/>
                <w:sz w:val="20"/>
              </w:rPr>
              <w:t>bili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primerni</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dopolnitev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subvencije</w:t>
            </w:r>
            <w:proofErr w:type="spellEnd"/>
            <w:r w:rsidRPr="00E26706">
              <w:rPr>
                <w:rFonts w:eastAsiaTheme="minorEastAsia" w:cs="Arial"/>
                <w:color w:val="1F497D" w:themeColor="text2"/>
                <w:sz w:val="20"/>
              </w:rPr>
              <w:t>.</w:t>
            </w:r>
          </w:p>
        </w:tc>
      </w:tr>
    </w:tbl>
    <w:p w14:paraId="60CE0EC7" w14:textId="77777777" w:rsidR="003E3ED9" w:rsidRPr="004861F4" w:rsidRDefault="003E3ED9" w:rsidP="003E3ED9">
      <w:pPr>
        <w:rPr>
          <w:rFonts w:cs="Arial"/>
          <w:szCs w:val="20"/>
        </w:rPr>
      </w:pPr>
      <w:r w:rsidRPr="004861F4">
        <w:rPr>
          <w:rFonts w:cs="Arial"/>
          <w:szCs w:val="20"/>
        </w:rPr>
        <w:br w:type="page"/>
      </w:r>
    </w:p>
    <w:tbl>
      <w:tblPr>
        <w:tblStyle w:val="PwCTableText"/>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5641"/>
      </w:tblGrid>
      <w:tr w:rsidR="003E3ED9" w:rsidRPr="004861F4" w14:paraId="666247DF" w14:textId="77777777" w:rsidTr="00E8716B">
        <w:trPr>
          <w:cnfStyle w:val="100000000000" w:firstRow="1" w:lastRow="0" w:firstColumn="0" w:lastColumn="0" w:oddVBand="0" w:evenVBand="0" w:oddHBand="0" w:evenHBand="0" w:firstRowFirstColumn="0" w:firstRowLastColumn="0" w:lastRowFirstColumn="0" w:lastRowLastColumn="0"/>
          <w:trHeight w:val="536"/>
          <w:tblHeader/>
          <w:jc w:val="center"/>
        </w:trPr>
        <w:tc>
          <w:tcPr>
            <w:tcW w:w="1677" w:type="pct"/>
          </w:tcPr>
          <w:p w14:paraId="5C19D3BD"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lastRenderedPageBreak/>
              <w:t>Slovenski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birokratski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pravni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okvir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včasih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predstavlja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oviro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učinkovitemu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financiranju</w:t>
            </w:r>
            <w:proofErr w:type="spellEnd"/>
            <w:r w:rsidRPr="00E26706">
              <w:rPr>
                <w:rFonts w:eastAsiaTheme="minorEastAsia" w:cs="Arial"/>
                <w:color w:val="1F497D" w:themeColor="text2"/>
                <w:sz w:val="20"/>
              </w:rPr>
              <w:t>.</w:t>
            </w:r>
          </w:p>
        </w:tc>
        <w:tc>
          <w:tcPr>
            <w:tcW w:w="3323" w:type="pct"/>
          </w:tcPr>
          <w:p w14:paraId="65DCE5A1"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Trenuten</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pravni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okvir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določenih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področjih</w:t>
            </w:r>
            <w:proofErr w:type="spellEnd"/>
            <w:r w:rsidRPr="00E26706">
              <w:rPr>
                <w:rFonts w:eastAsiaTheme="minorEastAsia" w:cs="Arial"/>
                <w:color w:val="1F497D" w:themeColor="text2"/>
                <w:sz w:val="20"/>
              </w:rPr>
              <w:t xml:space="preserve"> ne </w:t>
            </w:r>
            <w:proofErr w:type="spellStart"/>
            <w:r w:rsidRPr="00E26706">
              <w:rPr>
                <w:rFonts w:eastAsiaTheme="minorEastAsia" w:cs="Arial"/>
                <w:color w:val="1F497D" w:themeColor="text2"/>
                <w:sz w:val="20"/>
              </w:rPr>
              <w:t>dovoljuje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učinkovite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uporabe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sredstev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razpoložljivih</w:t>
            </w:r>
            <w:proofErr w:type="spellEnd"/>
            <w:r w:rsidRPr="00E26706">
              <w:rPr>
                <w:rFonts w:eastAsiaTheme="minorEastAsia" w:cs="Arial"/>
                <w:color w:val="1F497D" w:themeColor="text2"/>
                <w:sz w:val="20"/>
              </w:rPr>
              <w:t xml:space="preserve"> FI (</w:t>
            </w:r>
            <w:proofErr w:type="spellStart"/>
            <w:r w:rsidRPr="00E26706">
              <w:rPr>
                <w:rFonts w:eastAsiaTheme="minorEastAsia" w:cs="Arial"/>
                <w:color w:val="1F497D" w:themeColor="text2"/>
                <w:sz w:val="20"/>
              </w:rPr>
              <w:t>npr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zahtevana</w:t>
            </w:r>
            <w:proofErr w:type="spellEnd"/>
            <w:r w:rsidRPr="00E26706">
              <w:rPr>
                <w:rFonts w:eastAsiaTheme="minorEastAsia" w:cs="Arial"/>
                <w:color w:val="1F497D" w:themeColor="text2"/>
                <w:sz w:val="20"/>
              </w:rPr>
              <w:t xml:space="preserve"> 100% </w:t>
            </w:r>
            <w:proofErr w:type="spellStart"/>
            <w:r w:rsidRPr="00E26706">
              <w:rPr>
                <w:rFonts w:eastAsiaTheme="minorEastAsia" w:cs="Arial"/>
                <w:color w:val="1F497D" w:themeColor="text2"/>
                <w:sz w:val="20"/>
              </w:rPr>
              <w:t>privolitev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lastnikov</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pridobitev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posojila</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energetsko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sanacijo</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katerega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zaprosi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upravljavec</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stavbe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garancije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Slovenskega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niso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obravnavane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kot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prvovrstno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zavarovanje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nezmožnost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dodatnega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sposojanja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Slovenskega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sklada</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regionalni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razvoj</w:t>
            </w:r>
            <w:proofErr w:type="spellEnd"/>
            <w:r w:rsidRPr="00E26706">
              <w:rPr>
                <w:rFonts w:eastAsiaTheme="minorEastAsia" w:cs="Arial"/>
                <w:color w:val="1F497D" w:themeColor="text2"/>
                <w:sz w:val="20"/>
              </w:rPr>
              <w:t>).</w:t>
            </w:r>
          </w:p>
        </w:tc>
      </w:tr>
      <w:tr w:rsidR="003E3ED9" w:rsidRPr="004861F4" w14:paraId="16C1117F" w14:textId="77777777" w:rsidTr="00E8716B">
        <w:trPr>
          <w:cnfStyle w:val="100000000000" w:firstRow="1" w:lastRow="0" w:firstColumn="0" w:lastColumn="0" w:oddVBand="0" w:evenVBand="0" w:oddHBand="0" w:evenHBand="0" w:firstRowFirstColumn="0" w:firstRowLastColumn="0" w:lastRowFirstColumn="0" w:lastRowLastColumn="0"/>
          <w:trHeight w:val="1112"/>
          <w:tblHeader/>
          <w:jc w:val="center"/>
        </w:trPr>
        <w:tc>
          <w:tcPr>
            <w:tcW w:w="1677" w:type="pct"/>
          </w:tcPr>
          <w:p w14:paraId="636C35EA"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Stroge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specifikacije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razpisnih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dokumentacij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prisilijo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podjetja</w:t>
            </w:r>
            <w:proofErr w:type="spellEnd"/>
            <w:r w:rsidRPr="00E26706">
              <w:rPr>
                <w:rFonts w:eastAsiaTheme="minorEastAsia" w:cs="Arial"/>
                <w:color w:val="1F497D" w:themeColor="text2"/>
                <w:sz w:val="20"/>
              </w:rPr>
              <w:t xml:space="preserve"> k </w:t>
            </w:r>
            <w:proofErr w:type="spellStart"/>
            <w:r w:rsidRPr="00E26706">
              <w:rPr>
                <w:rFonts w:eastAsiaTheme="minorEastAsia" w:cs="Arial"/>
                <w:color w:val="1F497D" w:themeColor="text2"/>
                <w:sz w:val="20"/>
              </w:rPr>
              <w:t>prilagajanju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svojih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strategij</w:t>
            </w:r>
            <w:proofErr w:type="spellEnd"/>
            <w:r w:rsidRPr="00E26706">
              <w:rPr>
                <w:rFonts w:eastAsiaTheme="minorEastAsia" w:cs="Arial"/>
                <w:color w:val="1F497D" w:themeColor="text2"/>
                <w:sz w:val="20"/>
              </w:rPr>
              <w:t>.</w:t>
            </w:r>
          </w:p>
        </w:tc>
        <w:tc>
          <w:tcPr>
            <w:tcW w:w="3323" w:type="pct"/>
          </w:tcPr>
          <w:p w14:paraId="495D2E2B"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r w:rsidRPr="00E26706">
              <w:rPr>
                <w:rFonts w:eastAsiaTheme="minorEastAsia" w:cs="Arial"/>
                <w:color w:val="1F497D" w:themeColor="text2"/>
                <w:sz w:val="20"/>
              </w:rPr>
              <w:t xml:space="preserve">Problem </w:t>
            </w:r>
            <w:proofErr w:type="spellStart"/>
            <w:r w:rsidRPr="00E26706">
              <w:rPr>
                <w:rFonts w:eastAsiaTheme="minorEastAsia" w:cs="Arial"/>
                <w:color w:val="1F497D" w:themeColor="text2"/>
                <w:sz w:val="20"/>
              </w:rPr>
              <w:t>nefleksibilnega</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visoko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zbirokratiziranega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sistema</w:t>
            </w:r>
            <w:proofErr w:type="spellEnd"/>
            <w:r w:rsidRPr="00E26706">
              <w:rPr>
                <w:rFonts w:eastAsiaTheme="minorEastAsia" w:cs="Arial"/>
                <w:color w:val="1F497D" w:themeColor="text2"/>
                <w:sz w:val="20"/>
              </w:rPr>
              <w:t xml:space="preserve"> – </w:t>
            </w:r>
            <w:proofErr w:type="spellStart"/>
            <w:r w:rsidRPr="00E26706">
              <w:rPr>
                <w:rFonts w:eastAsiaTheme="minorEastAsia" w:cs="Arial"/>
                <w:color w:val="1F497D" w:themeColor="text2"/>
                <w:sz w:val="20"/>
              </w:rPr>
              <w:t>končni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prejemniki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pripravljajo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strategije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podlagi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specifikacij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razpisne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dokumentacije</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posledično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ustrezno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prilagajajo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svoje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načrte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namesto</w:t>
            </w:r>
            <w:proofErr w:type="spellEnd"/>
            <w:r w:rsidRPr="00E26706">
              <w:rPr>
                <w:rFonts w:eastAsiaTheme="minorEastAsia" w:cs="Arial"/>
                <w:color w:val="1F497D" w:themeColor="text2"/>
                <w:sz w:val="20"/>
              </w:rPr>
              <w:t xml:space="preserve"> da bi </w:t>
            </w:r>
            <w:proofErr w:type="spellStart"/>
            <w:r w:rsidRPr="00E26706">
              <w:rPr>
                <w:rFonts w:eastAsiaTheme="minorEastAsia" w:cs="Arial"/>
                <w:color w:val="1F497D" w:themeColor="text2"/>
                <w:sz w:val="20"/>
              </w:rPr>
              <w:t>sledili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svojemu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poslovnemu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načrtu</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pričakovanjem</w:t>
            </w:r>
            <w:proofErr w:type="spellEnd"/>
            <w:r w:rsidRPr="00E26706">
              <w:rPr>
                <w:rFonts w:eastAsiaTheme="minorEastAsia" w:cs="Arial"/>
                <w:color w:val="1F497D" w:themeColor="text2"/>
                <w:sz w:val="20"/>
              </w:rPr>
              <w:t>.</w:t>
            </w:r>
          </w:p>
        </w:tc>
      </w:tr>
      <w:tr w:rsidR="003E3ED9" w:rsidRPr="004861F4" w14:paraId="0F237E4D" w14:textId="77777777" w:rsidTr="00E8716B">
        <w:trPr>
          <w:cnfStyle w:val="100000000000" w:firstRow="1" w:lastRow="0" w:firstColumn="0" w:lastColumn="0" w:oddVBand="0" w:evenVBand="0" w:oddHBand="0" w:evenHBand="0" w:firstRowFirstColumn="0" w:firstRowLastColumn="0" w:lastRowFirstColumn="0" w:lastRowLastColumn="0"/>
          <w:trHeight w:val="564"/>
          <w:tblHeader/>
          <w:jc w:val="center"/>
        </w:trPr>
        <w:tc>
          <w:tcPr>
            <w:tcW w:w="1677" w:type="pct"/>
          </w:tcPr>
          <w:p w14:paraId="07C901DE"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Veliko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obstoječih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skladov</w:t>
            </w:r>
            <w:proofErr w:type="spellEnd"/>
            <w:r w:rsidRPr="00E26706">
              <w:rPr>
                <w:rFonts w:eastAsiaTheme="minorEastAsia" w:cs="Arial"/>
                <w:color w:val="1F497D" w:themeColor="text2"/>
                <w:sz w:val="20"/>
              </w:rPr>
              <w:t xml:space="preserve"> z </w:t>
            </w:r>
            <w:proofErr w:type="spellStart"/>
            <w:r w:rsidRPr="00E26706">
              <w:rPr>
                <w:rFonts w:eastAsiaTheme="minorEastAsia" w:cs="Arial"/>
                <w:color w:val="1F497D" w:themeColor="text2"/>
                <w:sz w:val="20"/>
              </w:rPr>
              <w:t>omejenimi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zmogljivostmi</w:t>
            </w:r>
            <w:proofErr w:type="spellEnd"/>
            <w:r w:rsidRPr="00E26706">
              <w:rPr>
                <w:rFonts w:eastAsiaTheme="minorEastAsia" w:cs="Arial"/>
                <w:color w:val="1F497D" w:themeColor="text2"/>
                <w:sz w:val="20"/>
              </w:rPr>
              <w:t>.</w:t>
            </w:r>
          </w:p>
        </w:tc>
        <w:tc>
          <w:tcPr>
            <w:tcW w:w="3323" w:type="pct"/>
          </w:tcPr>
          <w:p w14:paraId="45595520"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Javni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skladi</w:t>
            </w:r>
            <w:proofErr w:type="spellEnd"/>
            <w:r w:rsidRPr="00E26706">
              <w:rPr>
                <w:rFonts w:eastAsiaTheme="minorEastAsia" w:cs="Arial"/>
                <w:color w:val="1F497D" w:themeColor="text2"/>
                <w:sz w:val="20"/>
              </w:rPr>
              <w:t xml:space="preserve"> so </w:t>
            </w:r>
            <w:proofErr w:type="spellStart"/>
            <w:r w:rsidRPr="00E26706">
              <w:rPr>
                <w:rFonts w:eastAsiaTheme="minorEastAsia" w:cs="Arial"/>
                <w:color w:val="1F497D" w:themeColor="text2"/>
                <w:sz w:val="20"/>
              </w:rPr>
              <w:t>preobremenjeni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nimajo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dovolj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velikih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zmogljivosti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zaposlenih</w:t>
            </w:r>
            <w:proofErr w:type="spellEnd"/>
            <w:r w:rsidRPr="00E26706">
              <w:rPr>
                <w:rFonts w:eastAsiaTheme="minorEastAsia" w:cs="Arial"/>
                <w:color w:val="1F497D" w:themeColor="text2"/>
                <w:sz w:val="20"/>
              </w:rPr>
              <w:t xml:space="preserve">) za </w:t>
            </w:r>
            <w:proofErr w:type="spellStart"/>
            <w:r w:rsidRPr="00E26706">
              <w:rPr>
                <w:rFonts w:eastAsiaTheme="minorEastAsia" w:cs="Arial"/>
                <w:color w:val="1F497D" w:themeColor="text2"/>
                <w:sz w:val="20"/>
              </w:rPr>
              <w:t>pregledovanje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vseh</w:t>
            </w:r>
            <w:proofErr w:type="spellEnd"/>
            <w:r w:rsidRPr="00E26706">
              <w:rPr>
                <w:rFonts w:eastAsiaTheme="minorEastAsia" w:cs="Arial"/>
                <w:color w:val="1F497D" w:themeColor="text2"/>
                <w:sz w:val="20"/>
              </w:rPr>
              <w:t xml:space="preserve"> vlog, </w:t>
            </w:r>
            <w:proofErr w:type="spellStart"/>
            <w:r w:rsidRPr="00E26706">
              <w:rPr>
                <w:rFonts w:eastAsiaTheme="minorEastAsia" w:cs="Arial"/>
                <w:color w:val="1F497D" w:themeColor="text2"/>
                <w:sz w:val="20"/>
              </w:rPr>
              <w:t>kot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tudi</w:t>
            </w:r>
            <w:proofErr w:type="spellEnd"/>
            <w:r w:rsidRPr="00E26706">
              <w:rPr>
                <w:rFonts w:eastAsiaTheme="minorEastAsia" w:cs="Arial"/>
                <w:color w:val="1F497D" w:themeColor="text2"/>
                <w:sz w:val="20"/>
              </w:rPr>
              <w:t xml:space="preserve"> ne za </w:t>
            </w:r>
            <w:proofErr w:type="spellStart"/>
            <w:r w:rsidRPr="00E26706">
              <w:rPr>
                <w:rFonts w:eastAsiaTheme="minorEastAsia" w:cs="Arial"/>
                <w:color w:val="1F497D" w:themeColor="text2"/>
                <w:sz w:val="20"/>
              </w:rPr>
              <w:t>razširitev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svoje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ponudbe</w:t>
            </w:r>
            <w:proofErr w:type="spellEnd"/>
            <w:r w:rsidRPr="00E26706">
              <w:rPr>
                <w:rFonts w:eastAsiaTheme="minorEastAsia" w:cs="Arial"/>
                <w:color w:val="1F497D" w:themeColor="text2"/>
                <w:sz w:val="20"/>
              </w:rPr>
              <w:t>.</w:t>
            </w:r>
          </w:p>
        </w:tc>
      </w:tr>
      <w:tr w:rsidR="003E3ED9" w:rsidRPr="004861F4" w14:paraId="6382ADD2" w14:textId="77777777" w:rsidTr="00E8716B">
        <w:trPr>
          <w:cnfStyle w:val="100000000000" w:firstRow="1" w:lastRow="0" w:firstColumn="0" w:lastColumn="0" w:oddVBand="0" w:evenVBand="0" w:oddHBand="0" w:evenHBand="0" w:firstRowFirstColumn="0" w:firstRowLastColumn="0" w:lastRowFirstColumn="0" w:lastRowLastColumn="0"/>
          <w:trHeight w:val="830"/>
          <w:tblHeader/>
          <w:jc w:val="center"/>
        </w:trPr>
        <w:tc>
          <w:tcPr>
            <w:tcW w:w="1677" w:type="pct"/>
          </w:tcPr>
          <w:p w14:paraId="5FB102FF"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4861F4">
              <w:rPr>
                <w:rFonts w:eastAsiaTheme="minorEastAsia" w:cs="Arial"/>
                <w:b w:val="0"/>
                <w:color w:val="1F497D" w:themeColor="text2"/>
                <w:sz w:val="20"/>
              </w:rPr>
              <w:t>Prekrivanje</w:t>
            </w:r>
            <w:proofErr w:type="spellEnd"/>
            <w:r w:rsidRPr="004861F4">
              <w:rPr>
                <w:rFonts w:eastAsiaTheme="minorEastAsia" w:cs="Arial"/>
                <w:b w:val="0"/>
                <w:color w:val="1F497D" w:themeColor="text2"/>
                <w:sz w:val="20"/>
              </w:rPr>
              <w:t xml:space="preserve"> </w:t>
            </w:r>
            <w:proofErr w:type="spellStart"/>
            <w:r w:rsidRPr="004861F4">
              <w:rPr>
                <w:rFonts w:eastAsiaTheme="minorEastAsia" w:cs="Arial"/>
                <w:b w:val="0"/>
                <w:color w:val="1F497D" w:themeColor="text2"/>
                <w:sz w:val="20"/>
              </w:rPr>
              <w:t>različnih</w:t>
            </w:r>
            <w:proofErr w:type="spellEnd"/>
            <w:r w:rsidRPr="004861F4">
              <w:rPr>
                <w:rFonts w:eastAsiaTheme="minorEastAsia" w:cs="Arial"/>
                <w:b w:val="0"/>
                <w:color w:val="1F497D" w:themeColor="text2"/>
                <w:sz w:val="20"/>
              </w:rPr>
              <w:t xml:space="preserve"> </w:t>
            </w:r>
            <w:proofErr w:type="spellStart"/>
            <w:r w:rsidRPr="004861F4">
              <w:rPr>
                <w:rFonts w:eastAsiaTheme="minorEastAsia" w:cs="Arial"/>
                <w:b w:val="0"/>
                <w:color w:val="1F497D" w:themeColor="text2"/>
                <w:sz w:val="20"/>
              </w:rPr>
              <w:t>instrumentov</w:t>
            </w:r>
            <w:proofErr w:type="spellEnd"/>
            <w:r w:rsidRPr="004861F4">
              <w:rPr>
                <w:rFonts w:eastAsiaTheme="minorEastAsia" w:cs="Arial"/>
                <w:b w:val="0"/>
                <w:color w:val="1F497D" w:themeColor="text2"/>
                <w:sz w:val="20"/>
              </w:rPr>
              <w:t>.</w:t>
            </w:r>
          </w:p>
        </w:tc>
        <w:tc>
          <w:tcPr>
            <w:tcW w:w="3323" w:type="pct"/>
          </w:tcPr>
          <w:p w14:paraId="24CCE53A"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Enake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ali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podobne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vrste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finančnih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instrumentov</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jih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nudijo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različni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deležniki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istem</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in v </w:t>
            </w:r>
            <w:proofErr w:type="spellStart"/>
            <w:r w:rsidRPr="00E26706">
              <w:rPr>
                <w:rFonts w:eastAsiaTheme="minorEastAsia" w:cs="Arial"/>
                <w:color w:val="1F497D" w:themeColor="text2"/>
                <w:sz w:val="20"/>
              </w:rPr>
              <w:t>istem</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časovnem</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obdobju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npr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področje</w:t>
            </w:r>
            <w:proofErr w:type="spellEnd"/>
            <w:r w:rsidRPr="00E26706">
              <w:rPr>
                <w:rFonts w:eastAsiaTheme="minorEastAsia" w:cs="Arial"/>
                <w:color w:val="1F497D" w:themeColor="text2"/>
                <w:sz w:val="20"/>
              </w:rPr>
              <w:t xml:space="preserve"> RRI: </w:t>
            </w:r>
            <w:proofErr w:type="spellStart"/>
            <w:r w:rsidRPr="00E26706">
              <w:rPr>
                <w:rFonts w:eastAsiaTheme="minorEastAsia" w:cs="Arial"/>
                <w:color w:val="1F497D" w:themeColor="text2"/>
                <w:sz w:val="20"/>
              </w:rPr>
              <w:t>kreditne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linije</w:t>
            </w:r>
            <w:proofErr w:type="spellEnd"/>
            <w:r w:rsidRPr="00E26706">
              <w:rPr>
                <w:rFonts w:eastAsiaTheme="minorEastAsia" w:cs="Arial"/>
                <w:color w:val="1F497D" w:themeColor="text2"/>
                <w:sz w:val="20"/>
              </w:rPr>
              <w:t xml:space="preserve"> SID </w:t>
            </w:r>
            <w:proofErr w:type="spellStart"/>
            <w:r w:rsidRPr="00E26706">
              <w:rPr>
                <w:rFonts w:eastAsiaTheme="minorEastAsia" w:cs="Arial"/>
                <w:color w:val="1F497D" w:themeColor="text2"/>
                <w:sz w:val="20"/>
              </w:rPr>
              <w:t>banke</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garancije</w:t>
            </w:r>
            <w:proofErr w:type="spellEnd"/>
            <w:r w:rsidRPr="00E26706">
              <w:rPr>
                <w:rFonts w:eastAsiaTheme="minorEastAsia" w:cs="Arial"/>
                <w:color w:val="1F497D" w:themeColor="text2"/>
                <w:sz w:val="20"/>
              </w:rPr>
              <w:t xml:space="preserve"> </w:t>
            </w:r>
            <w:r w:rsidRPr="004861F4">
              <w:rPr>
                <w:rFonts w:eastAsiaTheme="minorEastAsia" w:cs="Arial"/>
                <w:b w:val="0"/>
                <w:color w:val="1F497D" w:themeColor="text2"/>
                <w:sz w:val="20"/>
                <w:lang w:val="sl-SI"/>
              </w:rPr>
              <w:t>Slovenskega podje</w:t>
            </w:r>
            <w:proofErr w:type="spellStart"/>
            <w:r w:rsidRPr="00E26706">
              <w:rPr>
                <w:rFonts w:eastAsiaTheme="minorEastAsia" w:cs="Arial"/>
                <w:color w:val="1F497D" w:themeColor="text2"/>
                <w:sz w:val="20"/>
              </w:rPr>
              <w:t>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sklada</w:t>
            </w:r>
            <w:proofErr w:type="spellEnd"/>
            <w:r w:rsidRPr="00E26706">
              <w:rPr>
                <w:rFonts w:eastAsiaTheme="minorEastAsia" w:cs="Arial"/>
                <w:color w:val="1F497D" w:themeColor="text2"/>
                <w:sz w:val="20"/>
              </w:rPr>
              <w:t>).</w:t>
            </w:r>
          </w:p>
        </w:tc>
      </w:tr>
      <w:tr w:rsidR="003E3ED9" w:rsidRPr="004861F4" w14:paraId="4B890908" w14:textId="77777777" w:rsidTr="00E8716B">
        <w:trPr>
          <w:cnfStyle w:val="100000000000" w:firstRow="1" w:lastRow="0" w:firstColumn="0" w:lastColumn="0" w:oddVBand="0" w:evenVBand="0" w:oddHBand="0" w:evenHBand="0" w:firstRowFirstColumn="0" w:firstRowLastColumn="0" w:lastRowFirstColumn="0" w:lastRowLastColumn="0"/>
          <w:trHeight w:val="716"/>
          <w:tblHeader/>
          <w:jc w:val="center"/>
        </w:trPr>
        <w:tc>
          <w:tcPr>
            <w:tcW w:w="1677" w:type="pct"/>
          </w:tcPr>
          <w:p w14:paraId="275343A2"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DD35C6">
              <w:rPr>
                <w:rFonts w:eastAsiaTheme="minorEastAsia" w:cs="Arial"/>
                <w:color w:val="1F497D" w:themeColor="text2"/>
                <w:sz w:val="20"/>
                <w:lang w:val="it-IT"/>
              </w:rPr>
              <w:t>Mnenje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glede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učinkovitosti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subvencij</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obrestne</w:t>
            </w:r>
            <w:proofErr w:type="spellEnd"/>
            <w:r w:rsidRPr="00DD35C6">
              <w:rPr>
                <w:rFonts w:eastAsiaTheme="minorEastAsia" w:cs="Arial"/>
                <w:color w:val="1F497D" w:themeColor="text2"/>
                <w:sz w:val="20"/>
                <w:lang w:val="it-IT"/>
              </w:rPr>
              <w:t xml:space="preserve"> mere.</w:t>
            </w:r>
          </w:p>
        </w:tc>
        <w:tc>
          <w:tcPr>
            <w:tcW w:w="3323" w:type="pct"/>
          </w:tcPr>
          <w:p w14:paraId="4056585F"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Nekatera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mnenja</w:t>
            </w:r>
            <w:proofErr w:type="spellEnd"/>
            <w:r w:rsidRPr="00E26706">
              <w:rPr>
                <w:rFonts w:eastAsiaTheme="minorEastAsia" w:cs="Arial"/>
                <w:color w:val="1F497D" w:themeColor="text2"/>
                <w:sz w:val="20"/>
              </w:rPr>
              <w:t xml:space="preserve"> glede </w:t>
            </w:r>
            <w:proofErr w:type="spellStart"/>
            <w:r w:rsidRPr="00E26706">
              <w:rPr>
                <w:rFonts w:eastAsiaTheme="minorEastAsia" w:cs="Arial"/>
                <w:color w:val="1F497D" w:themeColor="text2"/>
                <w:sz w:val="20"/>
              </w:rPr>
              <w:t>kombiniranja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garancij</w:t>
            </w:r>
            <w:proofErr w:type="spellEnd"/>
            <w:r w:rsidRPr="00E26706">
              <w:rPr>
                <w:rFonts w:eastAsiaTheme="minorEastAsia" w:cs="Arial"/>
                <w:color w:val="1F497D" w:themeColor="text2"/>
                <w:sz w:val="20"/>
              </w:rPr>
              <w:t xml:space="preserve"> s </w:t>
            </w:r>
            <w:proofErr w:type="spellStart"/>
            <w:r w:rsidRPr="00E26706">
              <w:rPr>
                <w:rFonts w:eastAsiaTheme="minorEastAsia" w:cs="Arial"/>
                <w:color w:val="1F497D" w:themeColor="text2"/>
                <w:sz w:val="20"/>
              </w:rPr>
              <w:t>subvencijo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obrestne</w:t>
            </w:r>
            <w:proofErr w:type="spellEnd"/>
            <w:r w:rsidRPr="00E26706">
              <w:rPr>
                <w:rFonts w:eastAsiaTheme="minorEastAsia" w:cs="Arial"/>
                <w:color w:val="1F497D" w:themeColor="text2"/>
                <w:sz w:val="20"/>
              </w:rPr>
              <w:t xml:space="preserve"> mere so </w:t>
            </w:r>
            <w:proofErr w:type="spellStart"/>
            <w:r w:rsidRPr="00E26706">
              <w:rPr>
                <w:rFonts w:eastAsiaTheme="minorEastAsia" w:cs="Arial"/>
                <w:color w:val="1F497D" w:themeColor="text2"/>
                <w:sz w:val="20"/>
              </w:rPr>
              <w:t>pozitivna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subvencija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obrestne</w:t>
            </w:r>
            <w:proofErr w:type="spellEnd"/>
            <w:r w:rsidRPr="00E26706">
              <w:rPr>
                <w:rFonts w:eastAsiaTheme="minorEastAsia" w:cs="Arial"/>
                <w:color w:val="1F497D" w:themeColor="text2"/>
                <w:sz w:val="20"/>
              </w:rPr>
              <w:t xml:space="preserve"> mere </w:t>
            </w:r>
            <w:proofErr w:type="spellStart"/>
            <w:r w:rsidRPr="00E26706">
              <w:rPr>
                <w:rFonts w:eastAsiaTheme="minorEastAsia" w:cs="Arial"/>
                <w:color w:val="1F497D" w:themeColor="text2"/>
                <w:sz w:val="20"/>
              </w:rPr>
              <w:t>kot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učinkovit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ukrep</w:t>
            </w:r>
            <w:proofErr w:type="spellEnd"/>
            <w:r w:rsidRPr="00E26706">
              <w:rPr>
                <w:rFonts w:eastAsiaTheme="minorEastAsia" w:cs="Arial"/>
                <w:color w:val="1F497D" w:themeColor="text2"/>
                <w:sz w:val="20"/>
              </w:rPr>
              <w:t xml:space="preserve">). </w:t>
            </w:r>
            <w:proofErr w:type="spellStart"/>
            <w:r w:rsidRPr="004861F4">
              <w:rPr>
                <w:rFonts w:eastAsiaTheme="minorEastAsia" w:cs="Arial"/>
                <w:b w:val="0"/>
                <w:color w:val="1F497D" w:themeColor="text2"/>
                <w:sz w:val="20"/>
              </w:rPr>
              <w:t>Medtem</w:t>
            </w:r>
            <w:proofErr w:type="spellEnd"/>
            <w:r w:rsidRPr="004861F4">
              <w:rPr>
                <w:rFonts w:eastAsiaTheme="minorEastAsia" w:cs="Arial"/>
                <w:b w:val="0"/>
                <w:color w:val="1F497D" w:themeColor="text2"/>
                <w:sz w:val="20"/>
              </w:rPr>
              <w:t xml:space="preserve"> ko </w:t>
            </w:r>
            <w:proofErr w:type="spellStart"/>
            <w:r w:rsidRPr="004861F4">
              <w:rPr>
                <w:rFonts w:eastAsiaTheme="minorEastAsia" w:cs="Arial"/>
                <w:b w:val="0"/>
                <w:color w:val="1F497D" w:themeColor="text2"/>
                <w:sz w:val="20"/>
              </w:rPr>
              <w:t>drugi</w:t>
            </w:r>
            <w:proofErr w:type="spellEnd"/>
            <w:r w:rsidRPr="004861F4">
              <w:rPr>
                <w:rFonts w:eastAsiaTheme="minorEastAsia" w:cs="Arial"/>
                <w:b w:val="0"/>
                <w:color w:val="1F497D" w:themeColor="text2"/>
                <w:sz w:val="20"/>
              </w:rPr>
              <w:t xml:space="preserve"> ne </w:t>
            </w:r>
            <w:proofErr w:type="spellStart"/>
            <w:r w:rsidRPr="004861F4">
              <w:rPr>
                <w:rFonts w:eastAsiaTheme="minorEastAsia" w:cs="Arial"/>
                <w:b w:val="0"/>
                <w:color w:val="1F497D" w:themeColor="text2"/>
                <w:sz w:val="20"/>
              </w:rPr>
              <w:t>podpirajo</w:t>
            </w:r>
            <w:proofErr w:type="spellEnd"/>
            <w:r w:rsidRPr="004861F4">
              <w:rPr>
                <w:rFonts w:eastAsiaTheme="minorEastAsia" w:cs="Arial"/>
                <w:b w:val="0"/>
                <w:color w:val="1F497D" w:themeColor="text2"/>
                <w:sz w:val="20"/>
              </w:rPr>
              <w:t xml:space="preserve"> </w:t>
            </w:r>
            <w:proofErr w:type="spellStart"/>
            <w:r w:rsidRPr="004861F4">
              <w:rPr>
                <w:rFonts w:eastAsiaTheme="minorEastAsia" w:cs="Arial"/>
                <w:b w:val="0"/>
                <w:color w:val="1F497D" w:themeColor="text2"/>
                <w:sz w:val="20"/>
              </w:rPr>
              <w:t>te</w:t>
            </w:r>
            <w:proofErr w:type="spellEnd"/>
            <w:r w:rsidRPr="004861F4">
              <w:rPr>
                <w:rFonts w:eastAsiaTheme="minorEastAsia" w:cs="Arial"/>
                <w:b w:val="0"/>
                <w:color w:val="1F497D" w:themeColor="text2"/>
                <w:sz w:val="20"/>
              </w:rPr>
              <w:t xml:space="preserve"> </w:t>
            </w:r>
            <w:proofErr w:type="spellStart"/>
            <w:r w:rsidRPr="004861F4">
              <w:rPr>
                <w:rFonts w:eastAsiaTheme="minorEastAsia" w:cs="Arial"/>
                <w:b w:val="0"/>
                <w:color w:val="1F497D" w:themeColor="text2"/>
                <w:sz w:val="20"/>
              </w:rPr>
              <w:t>kombinacije</w:t>
            </w:r>
            <w:proofErr w:type="spellEnd"/>
            <w:r w:rsidRPr="004861F4">
              <w:rPr>
                <w:rFonts w:eastAsiaTheme="minorEastAsia" w:cs="Arial"/>
                <w:b w:val="0"/>
                <w:color w:val="1F497D" w:themeColor="text2"/>
                <w:sz w:val="20"/>
              </w:rPr>
              <w:t>.</w:t>
            </w:r>
          </w:p>
        </w:tc>
      </w:tr>
      <w:tr w:rsidR="003E3ED9" w:rsidRPr="004861F4" w14:paraId="051494F7" w14:textId="77777777" w:rsidTr="00E8716B">
        <w:trPr>
          <w:cnfStyle w:val="100000000000" w:firstRow="1" w:lastRow="0" w:firstColumn="0" w:lastColumn="0" w:oddVBand="0" w:evenVBand="0" w:oddHBand="0" w:evenHBand="0" w:firstRowFirstColumn="0" w:firstRowLastColumn="0" w:lastRowFirstColumn="0" w:lastRowLastColumn="0"/>
          <w:trHeight w:val="330"/>
          <w:tblHeader/>
          <w:jc w:val="center"/>
        </w:trPr>
        <w:tc>
          <w:tcPr>
            <w:tcW w:w="1677" w:type="pct"/>
          </w:tcPr>
          <w:p w14:paraId="632C4D8C"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DD35C6">
              <w:rPr>
                <w:rFonts w:eastAsiaTheme="minorEastAsia" w:cs="Arial"/>
                <w:color w:val="1F497D" w:themeColor="text2"/>
                <w:sz w:val="20"/>
                <w:lang w:val="it-IT"/>
              </w:rPr>
              <w:t>Cikel</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tveganega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kapitala</w:t>
            </w:r>
            <w:proofErr w:type="spellEnd"/>
            <w:r w:rsidRPr="00DD35C6">
              <w:rPr>
                <w:rFonts w:eastAsiaTheme="minorEastAsia" w:cs="Arial"/>
                <w:color w:val="1F497D" w:themeColor="text2"/>
                <w:sz w:val="20"/>
                <w:lang w:val="it-IT"/>
              </w:rPr>
              <w:t xml:space="preserve"> je v </w:t>
            </w:r>
            <w:proofErr w:type="spellStart"/>
            <w:r w:rsidRPr="00DD35C6">
              <w:rPr>
                <w:rFonts w:eastAsiaTheme="minorEastAsia" w:cs="Arial"/>
                <w:color w:val="1F497D" w:themeColor="text2"/>
                <w:sz w:val="20"/>
                <w:lang w:val="it-IT"/>
              </w:rPr>
              <w:t>fazi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odprodaje</w:t>
            </w:r>
            <w:proofErr w:type="spellEnd"/>
            <w:r w:rsidRPr="00DD35C6">
              <w:rPr>
                <w:rFonts w:eastAsiaTheme="minorEastAsia" w:cs="Arial"/>
                <w:color w:val="1F497D" w:themeColor="text2"/>
                <w:sz w:val="20"/>
                <w:lang w:val="it-IT"/>
              </w:rPr>
              <w:t xml:space="preserve"> (ne </w:t>
            </w:r>
            <w:proofErr w:type="spellStart"/>
            <w:r w:rsidRPr="00DD35C6">
              <w:rPr>
                <w:rFonts w:eastAsiaTheme="minorEastAsia" w:cs="Arial"/>
                <w:color w:val="1F497D" w:themeColor="text2"/>
                <w:sz w:val="20"/>
                <w:lang w:val="it-IT"/>
              </w:rPr>
              <w:t>vzpostavlja</w:t>
            </w:r>
            <w:proofErr w:type="spellEnd"/>
            <w:r w:rsidRPr="00DD35C6">
              <w:rPr>
                <w:rFonts w:eastAsiaTheme="minorEastAsia" w:cs="Arial"/>
                <w:color w:val="1F497D" w:themeColor="text2"/>
                <w:sz w:val="20"/>
                <w:lang w:val="it-IT"/>
              </w:rPr>
              <w:t xml:space="preserve"> se </w:t>
            </w:r>
            <w:proofErr w:type="spellStart"/>
            <w:r w:rsidRPr="00DD35C6">
              <w:rPr>
                <w:rFonts w:eastAsiaTheme="minorEastAsia" w:cs="Arial"/>
                <w:color w:val="1F497D" w:themeColor="text2"/>
                <w:sz w:val="20"/>
                <w:lang w:val="it-IT"/>
              </w:rPr>
              <w:t>nobenega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novega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investicijskega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cikla</w:t>
            </w:r>
            <w:proofErr w:type="spellEnd"/>
            <w:r w:rsidRPr="00DD35C6">
              <w:rPr>
                <w:rFonts w:eastAsiaTheme="minorEastAsia" w:cs="Arial"/>
                <w:color w:val="1F497D" w:themeColor="text2"/>
                <w:sz w:val="20"/>
                <w:lang w:val="it-IT"/>
              </w:rPr>
              <w:t>).</w:t>
            </w:r>
          </w:p>
        </w:tc>
        <w:tc>
          <w:tcPr>
            <w:tcW w:w="3323" w:type="pct"/>
          </w:tcPr>
          <w:p w14:paraId="35A7E54D"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r w:rsidRPr="00DD35C6">
              <w:rPr>
                <w:rFonts w:eastAsiaTheme="minorEastAsia" w:cs="Arial"/>
                <w:color w:val="1F497D" w:themeColor="text2"/>
                <w:sz w:val="20"/>
                <w:lang w:val="it-IT"/>
              </w:rPr>
              <w:t xml:space="preserve">Na </w:t>
            </w:r>
            <w:proofErr w:type="spellStart"/>
            <w:r w:rsidRPr="00DD35C6">
              <w:rPr>
                <w:rFonts w:eastAsiaTheme="minorEastAsia" w:cs="Arial"/>
                <w:color w:val="1F497D" w:themeColor="text2"/>
                <w:sz w:val="20"/>
                <w:lang w:val="it-IT"/>
              </w:rPr>
              <w:t>trgu</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tveganega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kapitala</w:t>
            </w:r>
            <w:proofErr w:type="spellEnd"/>
            <w:r w:rsidRPr="00DD35C6">
              <w:rPr>
                <w:rFonts w:eastAsiaTheme="minorEastAsia" w:cs="Arial"/>
                <w:color w:val="1F497D" w:themeColor="text2"/>
                <w:sz w:val="20"/>
                <w:lang w:val="it-IT"/>
              </w:rPr>
              <w:t xml:space="preserve"> bo </w:t>
            </w:r>
            <w:proofErr w:type="spellStart"/>
            <w:r w:rsidRPr="00DD35C6">
              <w:rPr>
                <w:rFonts w:eastAsiaTheme="minorEastAsia" w:cs="Arial"/>
                <w:color w:val="1F497D" w:themeColor="text2"/>
                <w:sz w:val="20"/>
                <w:lang w:val="it-IT"/>
              </w:rPr>
              <w:t>po</w:t>
            </w:r>
            <w:proofErr w:type="spellEnd"/>
            <w:r w:rsidRPr="00DD35C6">
              <w:rPr>
                <w:rFonts w:eastAsiaTheme="minorEastAsia" w:cs="Arial"/>
                <w:color w:val="1F497D" w:themeColor="text2"/>
                <w:sz w:val="20"/>
                <w:lang w:val="it-IT"/>
              </w:rPr>
              <w:t xml:space="preserve"> 5-letni </w:t>
            </w:r>
            <w:proofErr w:type="spellStart"/>
            <w:r w:rsidRPr="00DD35C6">
              <w:rPr>
                <w:rFonts w:eastAsiaTheme="minorEastAsia" w:cs="Arial"/>
                <w:color w:val="1F497D" w:themeColor="text2"/>
                <w:sz w:val="20"/>
                <w:lang w:val="it-IT"/>
              </w:rPr>
              <w:t>naložbeni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fazi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sledila</w:t>
            </w:r>
            <w:proofErr w:type="spellEnd"/>
            <w:r w:rsidRPr="00DD35C6">
              <w:rPr>
                <w:rFonts w:eastAsiaTheme="minorEastAsia" w:cs="Arial"/>
                <w:color w:val="1F497D" w:themeColor="text2"/>
                <w:sz w:val="20"/>
                <w:lang w:val="it-IT"/>
              </w:rPr>
              <w:t xml:space="preserve"> 5-letna </w:t>
            </w:r>
            <w:proofErr w:type="spellStart"/>
            <w:r w:rsidRPr="00DD35C6">
              <w:rPr>
                <w:rFonts w:eastAsiaTheme="minorEastAsia" w:cs="Arial"/>
                <w:color w:val="1F497D" w:themeColor="text2"/>
                <w:sz w:val="20"/>
                <w:lang w:val="it-IT"/>
              </w:rPr>
              <w:t>odprodajna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faza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Obstaja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možnost</w:t>
            </w:r>
            <w:proofErr w:type="spellEnd"/>
            <w:r w:rsidRPr="00DD35C6">
              <w:rPr>
                <w:rFonts w:eastAsiaTheme="minorEastAsia" w:cs="Arial"/>
                <w:color w:val="1F497D" w:themeColor="text2"/>
                <w:sz w:val="20"/>
                <w:lang w:val="it-IT"/>
              </w:rPr>
              <w:t xml:space="preserve"> za </w:t>
            </w:r>
            <w:proofErr w:type="spellStart"/>
            <w:r w:rsidRPr="00DD35C6">
              <w:rPr>
                <w:rFonts w:eastAsiaTheme="minorEastAsia" w:cs="Arial"/>
                <w:color w:val="1F497D" w:themeColor="text2"/>
                <w:sz w:val="20"/>
                <w:lang w:val="it-IT"/>
              </w:rPr>
              <w:t>ustanovitev</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novih</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skladov</w:t>
            </w:r>
            <w:proofErr w:type="spellEnd"/>
            <w:r w:rsidRPr="00DD35C6">
              <w:rPr>
                <w:rFonts w:eastAsiaTheme="minorEastAsia" w:cs="Arial"/>
                <w:color w:val="1F497D" w:themeColor="text2"/>
                <w:sz w:val="20"/>
                <w:lang w:val="it-IT"/>
              </w:rPr>
              <w:t xml:space="preserve">. Na </w:t>
            </w:r>
            <w:proofErr w:type="spellStart"/>
            <w:r w:rsidRPr="00DD35C6">
              <w:rPr>
                <w:rFonts w:eastAsiaTheme="minorEastAsia" w:cs="Arial"/>
                <w:color w:val="1F497D" w:themeColor="text2"/>
                <w:sz w:val="20"/>
                <w:lang w:val="it-IT"/>
              </w:rPr>
              <w:t>podlagi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informacij</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pridobljenih</w:t>
            </w:r>
            <w:proofErr w:type="spellEnd"/>
            <w:r w:rsidRPr="00DD35C6">
              <w:rPr>
                <w:rFonts w:eastAsiaTheme="minorEastAsia" w:cs="Arial"/>
                <w:color w:val="1F497D" w:themeColor="text2"/>
                <w:sz w:val="20"/>
                <w:lang w:val="it-IT"/>
              </w:rPr>
              <w:t xml:space="preserve"> v </w:t>
            </w:r>
            <w:proofErr w:type="spellStart"/>
            <w:r w:rsidRPr="00DD35C6">
              <w:rPr>
                <w:rFonts w:eastAsiaTheme="minorEastAsia" w:cs="Arial"/>
                <w:color w:val="1F497D" w:themeColor="text2"/>
                <w:sz w:val="20"/>
                <w:lang w:val="it-IT"/>
              </w:rPr>
              <w:t>razgovorih</w:t>
            </w:r>
            <w:proofErr w:type="spellEnd"/>
            <w:r w:rsidRPr="00DD35C6">
              <w:rPr>
                <w:rFonts w:eastAsiaTheme="minorEastAsia" w:cs="Arial"/>
                <w:color w:val="1F497D" w:themeColor="text2"/>
                <w:sz w:val="20"/>
                <w:lang w:val="it-IT"/>
              </w:rPr>
              <w:t xml:space="preserve">, bi </w:t>
            </w:r>
            <w:proofErr w:type="spellStart"/>
            <w:r w:rsidRPr="00DD35C6">
              <w:rPr>
                <w:rFonts w:eastAsiaTheme="minorEastAsia" w:cs="Arial"/>
                <w:color w:val="1F497D" w:themeColor="text2"/>
                <w:sz w:val="20"/>
                <w:lang w:val="it-IT"/>
              </w:rPr>
              <w:t>bilo</w:t>
            </w:r>
            <w:proofErr w:type="spellEnd"/>
            <w:r w:rsidRPr="00DD35C6">
              <w:rPr>
                <w:rFonts w:eastAsiaTheme="minorEastAsia" w:cs="Arial"/>
                <w:color w:val="1F497D" w:themeColor="text2"/>
                <w:sz w:val="20"/>
                <w:lang w:val="it-IT"/>
              </w:rPr>
              <w:t xml:space="preserve"> za </w:t>
            </w:r>
            <w:proofErr w:type="spellStart"/>
            <w:r w:rsidRPr="00DD35C6">
              <w:rPr>
                <w:rFonts w:eastAsiaTheme="minorEastAsia" w:cs="Arial"/>
                <w:color w:val="1F497D" w:themeColor="text2"/>
                <w:sz w:val="20"/>
                <w:lang w:val="it-IT"/>
              </w:rPr>
              <w:t>delovanje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skladov</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tveganega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kapitala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koristno</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če</w:t>
            </w:r>
            <w:proofErr w:type="spellEnd"/>
            <w:r w:rsidRPr="00DD35C6">
              <w:rPr>
                <w:rFonts w:eastAsiaTheme="minorEastAsia" w:cs="Arial"/>
                <w:color w:val="1F497D" w:themeColor="text2"/>
                <w:sz w:val="20"/>
                <w:lang w:val="it-IT"/>
              </w:rPr>
              <w:t xml:space="preserve"> bi </w:t>
            </w:r>
            <w:proofErr w:type="spellStart"/>
            <w:r w:rsidRPr="00DD35C6">
              <w:rPr>
                <w:rFonts w:eastAsiaTheme="minorEastAsia" w:cs="Arial"/>
                <w:color w:val="1F497D" w:themeColor="text2"/>
                <w:sz w:val="20"/>
                <w:lang w:val="it-IT"/>
              </w:rPr>
              <w:t>večji</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delež</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investicij</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prihajal</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iz</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tujine</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zato</w:t>
            </w:r>
            <w:proofErr w:type="spellEnd"/>
            <w:r w:rsidRPr="00DD35C6">
              <w:rPr>
                <w:rFonts w:eastAsiaTheme="minorEastAsia" w:cs="Arial"/>
                <w:color w:val="1F497D" w:themeColor="text2"/>
                <w:sz w:val="20"/>
                <w:lang w:val="it-IT"/>
              </w:rPr>
              <w:t xml:space="preserve"> se </w:t>
            </w:r>
            <w:proofErr w:type="spellStart"/>
            <w:r w:rsidRPr="00DD35C6">
              <w:rPr>
                <w:rFonts w:eastAsiaTheme="minorEastAsia" w:cs="Arial"/>
                <w:color w:val="1F497D" w:themeColor="text2"/>
                <w:sz w:val="20"/>
                <w:lang w:val="it-IT"/>
              </w:rPr>
              <w:t>razmišlja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tudi</w:t>
            </w:r>
            <w:proofErr w:type="spellEnd"/>
            <w:r w:rsidRPr="00DD35C6">
              <w:rPr>
                <w:rFonts w:eastAsiaTheme="minorEastAsia" w:cs="Arial"/>
                <w:color w:val="1F497D" w:themeColor="text2"/>
                <w:sz w:val="20"/>
                <w:lang w:val="it-IT"/>
              </w:rPr>
              <w:t xml:space="preserve"> v smeri </w:t>
            </w:r>
            <w:proofErr w:type="spellStart"/>
            <w:r w:rsidRPr="00DD35C6">
              <w:rPr>
                <w:rFonts w:eastAsiaTheme="minorEastAsia" w:cs="Arial"/>
                <w:color w:val="1F497D" w:themeColor="text2"/>
                <w:sz w:val="20"/>
                <w:lang w:val="it-IT"/>
              </w:rPr>
              <w:t>sodelovanja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Slovenije</w:t>
            </w:r>
            <w:proofErr w:type="spellEnd"/>
            <w:r w:rsidRPr="00DD35C6">
              <w:rPr>
                <w:rFonts w:eastAsiaTheme="minorEastAsia" w:cs="Arial"/>
                <w:color w:val="1F497D" w:themeColor="text2"/>
                <w:sz w:val="20"/>
                <w:lang w:val="it-IT"/>
              </w:rPr>
              <w:t xml:space="preserve"> v </w:t>
            </w:r>
            <w:proofErr w:type="spellStart"/>
            <w:r w:rsidRPr="00DD35C6">
              <w:rPr>
                <w:rFonts w:eastAsiaTheme="minorEastAsia" w:cs="Arial"/>
                <w:color w:val="1F497D" w:themeColor="text2"/>
                <w:sz w:val="20"/>
                <w:lang w:val="it-IT"/>
              </w:rPr>
              <w:t>čezmejnem</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skladu</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tveganega</w:t>
            </w:r>
            <w:proofErr w:type="spellEnd"/>
            <w:r w:rsidRPr="00DD35C6">
              <w:rPr>
                <w:rFonts w:eastAsiaTheme="minorEastAsia" w:cs="Arial"/>
                <w:color w:val="1F497D" w:themeColor="text2"/>
                <w:sz w:val="20"/>
                <w:lang w:val="it-IT"/>
              </w:rPr>
              <w:t xml:space="preserve"> </w:t>
            </w:r>
            <w:proofErr w:type="spellStart"/>
            <w:r w:rsidRPr="00DD35C6">
              <w:rPr>
                <w:rFonts w:eastAsiaTheme="minorEastAsia" w:cs="Arial"/>
                <w:color w:val="1F497D" w:themeColor="text2"/>
                <w:sz w:val="20"/>
                <w:lang w:val="it-IT"/>
              </w:rPr>
              <w:t>kapitala</w:t>
            </w:r>
            <w:proofErr w:type="spellEnd"/>
            <w:r w:rsidRPr="00DD35C6">
              <w:rPr>
                <w:rFonts w:eastAsiaTheme="minorEastAsia" w:cs="Arial"/>
                <w:color w:val="1F497D" w:themeColor="text2"/>
                <w:sz w:val="20"/>
                <w:lang w:val="it-IT"/>
              </w:rPr>
              <w:t>.</w:t>
            </w:r>
          </w:p>
        </w:tc>
      </w:tr>
      <w:tr w:rsidR="003E3ED9" w:rsidRPr="004861F4" w14:paraId="71DF4411" w14:textId="77777777" w:rsidTr="00E8716B">
        <w:trPr>
          <w:cnfStyle w:val="100000000000" w:firstRow="1" w:lastRow="0" w:firstColumn="0" w:lastColumn="0" w:oddVBand="0" w:evenVBand="0" w:oddHBand="0" w:evenHBand="0" w:firstRowFirstColumn="0" w:firstRowLastColumn="0" w:lastRowFirstColumn="0" w:lastRowLastColumn="0"/>
          <w:trHeight w:val="975"/>
          <w:tblHeader/>
          <w:jc w:val="center"/>
        </w:trPr>
        <w:tc>
          <w:tcPr>
            <w:tcW w:w="1677" w:type="pct"/>
          </w:tcPr>
          <w:p w14:paraId="01A380FB"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Zaradi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tržnih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omejitev</w:t>
            </w:r>
            <w:proofErr w:type="spellEnd"/>
            <w:r w:rsidRPr="00E26706">
              <w:rPr>
                <w:rFonts w:eastAsiaTheme="minorEastAsia" w:cs="Arial"/>
                <w:color w:val="1F497D" w:themeColor="text2"/>
                <w:sz w:val="20"/>
              </w:rPr>
              <w:t xml:space="preserve"> in </w:t>
            </w:r>
            <w:proofErr w:type="spellStart"/>
            <w:r w:rsidRPr="00E26706">
              <w:rPr>
                <w:rFonts w:eastAsiaTheme="minorEastAsia" w:cs="Arial"/>
                <w:color w:val="1F497D" w:themeColor="text2"/>
                <w:sz w:val="20"/>
              </w:rPr>
              <w:t>izkušenj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drugih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držav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obstaja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želja</w:t>
            </w:r>
            <w:proofErr w:type="spellEnd"/>
            <w:r w:rsidRPr="00E26706">
              <w:rPr>
                <w:rFonts w:eastAsiaTheme="minorEastAsia" w:cs="Arial"/>
                <w:color w:val="1F497D" w:themeColor="text2"/>
                <w:sz w:val="20"/>
              </w:rPr>
              <w:t xml:space="preserve"> po </w:t>
            </w:r>
            <w:proofErr w:type="spellStart"/>
            <w:r w:rsidRPr="00E26706">
              <w:rPr>
                <w:rFonts w:eastAsiaTheme="minorEastAsia" w:cs="Arial"/>
                <w:color w:val="1F497D" w:themeColor="text2"/>
                <w:sz w:val="20"/>
              </w:rPr>
              <w:t>sodelovanju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meja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Slovenije</w:t>
            </w:r>
            <w:proofErr w:type="spellEnd"/>
            <w:r w:rsidRPr="00E26706">
              <w:rPr>
                <w:rFonts w:eastAsiaTheme="minorEastAsia" w:cs="Arial"/>
                <w:color w:val="1F497D" w:themeColor="text2"/>
                <w:sz w:val="20"/>
              </w:rPr>
              <w:t>.</w:t>
            </w:r>
          </w:p>
        </w:tc>
        <w:tc>
          <w:tcPr>
            <w:tcW w:w="3323" w:type="pct"/>
          </w:tcPr>
          <w:p w14:paraId="7897C7F7"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r w:rsidRPr="00E26706">
              <w:rPr>
                <w:rFonts w:eastAsiaTheme="minorEastAsia" w:cs="Arial"/>
                <w:color w:val="1F497D" w:themeColor="text2"/>
                <w:sz w:val="20"/>
              </w:rPr>
              <w:t xml:space="preserve">Slovenija </w:t>
            </w:r>
            <w:proofErr w:type="spellStart"/>
            <w:r w:rsidRPr="00E26706">
              <w:rPr>
                <w:rFonts w:eastAsiaTheme="minorEastAsia" w:cs="Arial"/>
                <w:color w:val="1F497D" w:themeColor="text2"/>
                <w:sz w:val="20"/>
              </w:rPr>
              <w:t>kot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majhna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država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vseh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področjih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nima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zadostne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kritične</w:t>
            </w:r>
            <w:proofErr w:type="spellEnd"/>
            <w:r w:rsidRPr="00E26706">
              <w:rPr>
                <w:rFonts w:eastAsiaTheme="minorEastAsia" w:cs="Arial"/>
                <w:color w:val="1F497D" w:themeColor="text2"/>
                <w:sz w:val="20"/>
              </w:rPr>
              <w:t xml:space="preserve"> mase za </w:t>
            </w:r>
            <w:proofErr w:type="spellStart"/>
            <w:r w:rsidRPr="00E26706">
              <w:rPr>
                <w:rFonts w:eastAsiaTheme="minorEastAsia" w:cs="Arial"/>
                <w:color w:val="1F497D" w:themeColor="text2"/>
                <w:sz w:val="20"/>
              </w:rPr>
              <w:t>doseganje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želenega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učinka</w:t>
            </w:r>
            <w:proofErr w:type="spellEnd"/>
            <w:r w:rsidRPr="00E26706">
              <w:rPr>
                <w:rFonts w:eastAsiaTheme="minorEastAsia" w:cs="Arial"/>
                <w:color w:val="1F497D" w:themeColor="text2"/>
                <w:sz w:val="20"/>
              </w:rPr>
              <w:t xml:space="preserve">. Na </w:t>
            </w:r>
            <w:proofErr w:type="spellStart"/>
            <w:r w:rsidRPr="00E26706">
              <w:rPr>
                <w:rFonts w:eastAsiaTheme="minorEastAsia" w:cs="Arial"/>
                <w:color w:val="1F497D" w:themeColor="text2"/>
                <w:sz w:val="20"/>
              </w:rPr>
              <w:t>področju</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lastniškega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obstajajo</w:t>
            </w:r>
            <w:proofErr w:type="spellEnd"/>
            <w:r w:rsidRPr="00E26706">
              <w:rPr>
                <w:rFonts w:eastAsiaTheme="minorEastAsia" w:cs="Arial"/>
                <w:color w:val="1F497D" w:themeColor="text2"/>
                <w:sz w:val="20"/>
              </w:rPr>
              <w:t xml:space="preserve"> preference za </w:t>
            </w:r>
            <w:proofErr w:type="spellStart"/>
            <w:r w:rsidRPr="00E26706">
              <w:rPr>
                <w:rFonts w:eastAsiaTheme="minorEastAsia" w:cs="Arial"/>
                <w:color w:val="1F497D" w:themeColor="text2"/>
                <w:sz w:val="20"/>
              </w:rPr>
              <w:t>integracijo</w:t>
            </w:r>
            <w:proofErr w:type="spellEnd"/>
            <w:r w:rsidRPr="00E26706">
              <w:rPr>
                <w:rFonts w:eastAsiaTheme="minorEastAsia" w:cs="Arial"/>
                <w:color w:val="1F497D" w:themeColor="text2"/>
                <w:sz w:val="20"/>
              </w:rPr>
              <w:t xml:space="preserve"> z </w:t>
            </w:r>
            <w:proofErr w:type="spellStart"/>
            <w:r w:rsidRPr="00E26706">
              <w:rPr>
                <w:rFonts w:eastAsiaTheme="minorEastAsia" w:cs="Arial"/>
                <w:color w:val="1F497D" w:themeColor="text2"/>
                <w:sz w:val="20"/>
              </w:rPr>
              <w:t>drugimi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državami</w:t>
            </w:r>
            <w:proofErr w:type="spellEnd"/>
            <w:r w:rsidRPr="00E26706">
              <w:rPr>
                <w:rFonts w:eastAsiaTheme="minorEastAsia" w:cs="Arial"/>
                <w:color w:val="1F497D" w:themeColor="text2"/>
                <w:sz w:val="20"/>
              </w:rPr>
              <w:t>.</w:t>
            </w:r>
          </w:p>
        </w:tc>
      </w:tr>
      <w:tr w:rsidR="003E3ED9" w:rsidRPr="004861F4" w14:paraId="4056A3E6" w14:textId="77777777" w:rsidTr="00E8716B">
        <w:trPr>
          <w:cnfStyle w:val="100000000000" w:firstRow="1" w:lastRow="0" w:firstColumn="0" w:lastColumn="0" w:oddVBand="0" w:evenVBand="0" w:oddHBand="0" w:evenHBand="0" w:firstRowFirstColumn="0" w:firstRowLastColumn="0" w:lastRowFirstColumn="0" w:lastRowLastColumn="0"/>
          <w:trHeight w:val="1181"/>
          <w:tblHeader/>
          <w:jc w:val="center"/>
        </w:trPr>
        <w:tc>
          <w:tcPr>
            <w:tcW w:w="1677" w:type="pct"/>
          </w:tcPr>
          <w:p w14:paraId="1D4336CA"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Obstoječe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institucije</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nudijo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financiranje</w:t>
            </w:r>
            <w:proofErr w:type="spellEnd"/>
            <w:r w:rsidRPr="00E26706">
              <w:rPr>
                <w:rFonts w:eastAsiaTheme="minorEastAsia" w:cs="Arial"/>
                <w:color w:val="1F497D" w:themeColor="text2"/>
                <w:sz w:val="20"/>
              </w:rPr>
              <w:t xml:space="preserve">, se </w:t>
            </w:r>
            <w:proofErr w:type="spellStart"/>
            <w:r w:rsidRPr="00E26706">
              <w:rPr>
                <w:rFonts w:eastAsiaTheme="minorEastAsia" w:cs="Arial"/>
                <w:color w:val="1F497D" w:themeColor="text2"/>
                <w:sz w:val="20"/>
              </w:rPr>
              <w:t>trudijo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povečati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svojo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prilagojenost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trgu</w:t>
            </w:r>
            <w:proofErr w:type="spellEnd"/>
            <w:r w:rsidRPr="00E26706">
              <w:rPr>
                <w:rFonts w:eastAsiaTheme="minorEastAsia" w:cs="Arial"/>
                <w:color w:val="1F497D" w:themeColor="text2"/>
                <w:sz w:val="20"/>
              </w:rPr>
              <w:t>.</w:t>
            </w:r>
          </w:p>
        </w:tc>
        <w:tc>
          <w:tcPr>
            <w:tcW w:w="3323" w:type="pct"/>
          </w:tcPr>
          <w:p w14:paraId="3699AB8A" w14:textId="77777777" w:rsidR="003E3ED9" w:rsidRPr="004861F4" w:rsidRDefault="003E3ED9" w:rsidP="00E8716B">
            <w:pPr>
              <w:keepNext/>
              <w:keepLines/>
              <w:widowControl w:val="0"/>
              <w:spacing w:before="0" w:beforeAutospacing="0" w:after="0" w:afterAutospacing="0"/>
              <w:ind w:left="7"/>
              <w:rPr>
                <w:rFonts w:eastAsiaTheme="minorEastAsia" w:cs="Arial"/>
                <w:b w:val="0"/>
                <w:color w:val="1F497D" w:themeColor="text2"/>
                <w:sz w:val="20"/>
                <w:lang w:val="sl-SI"/>
              </w:rPr>
            </w:pPr>
            <w:proofErr w:type="spellStart"/>
            <w:r w:rsidRPr="00E26706">
              <w:rPr>
                <w:rFonts w:eastAsiaTheme="minorEastAsia" w:cs="Arial"/>
                <w:color w:val="1F497D" w:themeColor="text2"/>
                <w:sz w:val="20"/>
              </w:rPr>
              <w:t>Obstoječe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institucije</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nudijo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financiranje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vključujejo</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tekoče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razprave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glavne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korespondente</w:t>
            </w:r>
            <w:proofErr w:type="spellEnd"/>
            <w:r w:rsidRPr="00E26706">
              <w:rPr>
                <w:rFonts w:eastAsiaTheme="minorEastAsia" w:cs="Arial"/>
                <w:color w:val="1F497D" w:themeColor="text2"/>
                <w:sz w:val="20"/>
              </w:rPr>
              <w:t xml:space="preserve">, z </w:t>
            </w:r>
            <w:proofErr w:type="spellStart"/>
            <w:r w:rsidRPr="00E26706">
              <w:rPr>
                <w:rFonts w:eastAsiaTheme="minorEastAsia" w:cs="Arial"/>
                <w:color w:val="1F497D" w:themeColor="text2"/>
                <w:sz w:val="20"/>
              </w:rPr>
              <w:t>namenom</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razumevanja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nazorov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glavnih</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deležnikov</w:t>
            </w:r>
            <w:proofErr w:type="spellEnd"/>
            <w:r w:rsidRPr="00E26706">
              <w:rPr>
                <w:rFonts w:eastAsiaTheme="minorEastAsia" w:cs="Arial"/>
                <w:color w:val="1F497D" w:themeColor="text2"/>
                <w:sz w:val="20"/>
              </w:rPr>
              <w:t xml:space="preserve">, ki so </w:t>
            </w:r>
            <w:proofErr w:type="spellStart"/>
            <w:r w:rsidRPr="00E26706">
              <w:rPr>
                <w:rFonts w:eastAsiaTheme="minorEastAsia" w:cs="Arial"/>
                <w:color w:val="1F497D" w:themeColor="text2"/>
                <w:sz w:val="20"/>
              </w:rPr>
              <w:t>vključeni</w:t>
            </w:r>
            <w:proofErr w:type="spellEnd"/>
            <w:r w:rsidRPr="00E26706">
              <w:rPr>
                <w:rFonts w:eastAsiaTheme="minorEastAsia" w:cs="Arial"/>
                <w:color w:val="1F497D" w:themeColor="text2"/>
                <w:sz w:val="20"/>
              </w:rPr>
              <w:t xml:space="preserve"> v </w:t>
            </w:r>
            <w:proofErr w:type="spellStart"/>
            <w:r w:rsidRPr="00E26706">
              <w:rPr>
                <w:rFonts w:eastAsiaTheme="minorEastAsia" w:cs="Arial"/>
                <w:color w:val="1F497D" w:themeColor="text2"/>
                <w:sz w:val="20"/>
              </w:rPr>
              <w:t>trg</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ter</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tako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povečanja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transparentnost</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Vendar</w:t>
            </w:r>
            <w:proofErr w:type="spellEnd"/>
            <w:r w:rsidRPr="00E26706">
              <w:rPr>
                <w:rFonts w:eastAsiaTheme="minorEastAsia" w:cs="Arial"/>
                <w:color w:val="1F497D" w:themeColor="text2"/>
                <w:sz w:val="20"/>
              </w:rPr>
              <w:t xml:space="preserve"> ne glede </w:t>
            </w:r>
            <w:proofErr w:type="spellStart"/>
            <w:r w:rsidRPr="00E26706">
              <w:rPr>
                <w:rFonts w:eastAsiaTheme="minorEastAsia" w:cs="Arial"/>
                <w:color w:val="1F497D" w:themeColor="text2"/>
                <w:sz w:val="20"/>
              </w:rPr>
              <w:t>na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zgoraj</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navedeno</w:t>
            </w:r>
            <w:proofErr w:type="spellEnd"/>
            <w:r w:rsidRPr="00E26706">
              <w:rPr>
                <w:rFonts w:eastAsiaTheme="minorEastAsia" w:cs="Arial"/>
                <w:color w:val="1F497D" w:themeColor="text2"/>
                <w:sz w:val="20"/>
              </w:rPr>
              <w:t xml:space="preserve">, Slovenija </w:t>
            </w:r>
            <w:proofErr w:type="spellStart"/>
            <w:r w:rsidRPr="00E26706">
              <w:rPr>
                <w:rFonts w:eastAsiaTheme="minorEastAsia" w:cs="Arial"/>
                <w:color w:val="1F497D" w:themeColor="text2"/>
                <w:sz w:val="20"/>
              </w:rPr>
              <w:t>še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vedno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potrebuje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večjo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fleksibilnost</w:t>
            </w:r>
            <w:proofErr w:type="spellEnd"/>
            <w:r w:rsidRPr="00E26706">
              <w:rPr>
                <w:rFonts w:eastAsiaTheme="minorEastAsia" w:cs="Arial"/>
                <w:color w:val="1F497D" w:themeColor="text2"/>
                <w:sz w:val="20"/>
              </w:rPr>
              <w:t xml:space="preserve">, ki </w:t>
            </w:r>
            <w:proofErr w:type="spellStart"/>
            <w:r w:rsidRPr="00E26706">
              <w:rPr>
                <w:rFonts w:eastAsiaTheme="minorEastAsia" w:cs="Arial"/>
                <w:color w:val="1F497D" w:themeColor="text2"/>
                <w:sz w:val="20"/>
              </w:rPr>
              <w:t>bo</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omogočila</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hitrejše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pretvorbe</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programov</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skladno</w:t>
            </w:r>
            <w:proofErr w:type="spellEnd"/>
            <w:r w:rsidRPr="00E26706">
              <w:rPr>
                <w:rFonts w:eastAsiaTheme="minorEastAsia" w:cs="Arial"/>
                <w:color w:val="1F497D" w:themeColor="text2"/>
                <w:sz w:val="20"/>
              </w:rPr>
              <w:t xml:space="preserve"> s </w:t>
            </w:r>
            <w:proofErr w:type="spellStart"/>
            <w:r w:rsidRPr="00E26706">
              <w:rPr>
                <w:rFonts w:eastAsiaTheme="minorEastAsia" w:cs="Arial"/>
                <w:color w:val="1F497D" w:themeColor="text2"/>
                <w:sz w:val="20"/>
              </w:rPr>
              <w:t>potrebami</w:t>
            </w:r>
            <w:proofErr w:type="spellEnd"/>
            <w:r w:rsidRPr="00E26706">
              <w:rPr>
                <w:rFonts w:eastAsiaTheme="minorEastAsia" w:cs="Arial"/>
                <w:color w:val="1F497D" w:themeColor="text2"/>
                <w:sz w:val="20"/>
              </w:rPr>
              <w:t xml:space="preserve"> </w:t>
            </w:r>
            <w:proofErr w:type="spellStart"/>
            <w:r w:rsidRPr="00E26706">
              <w:rPr>
                <w:rFonts w:eastAsiaTheme="minorEastAsia" w:cs="Arial"/>
                <w:color w:val="1F497D" w:themeColor="text2"/>
                <w:sz w:val="20"/>
              </w:rPr>
              <w:t>trga</w:t>
            </w:r>
            <w:proofErr w:type="spellEnd"/>
            <w:r w:rsidRPr="00E26706">
              <w:rPr>
                <w:rFonts w:eastAsiaTheme="minorEastAsia" w:cs="Arial"/>
                <w:color w:val="1F497D" w:themeColor="text2"/>
                <w:sz w:val="20"/>
              </w:rPr>
              <w:t>.</w:t>
            </w:r>
          </w:p>
        </w:tc>
      </w:tr>
    </w:tbl>
    <w:p w14:paraId="56DA956E" w14:textId="77777777" w:rsidR="003E3ED9" w:rsidRPr="004005A5" w:rsidRDefault="003E3ED9" w:rsidP="003E3ED9">
      <w:pPr>
        <w:jc w:val="both"/>
        <w:rPr>
          <w:rFonts w:cs="Arial"/>
          <w:szCs w:val="20"/>
        </w:rPr>
      </w:pPr>
      <w:r w:rsidRPr="004005A5">
        <w:rPr>
          <w:rFonts w:cs="Arial"/>
          <w:szCs w:val="20"/>
        </w:rPr>
        <w:t>Vir: Predhodna ocena FI, 2015</w:t>
      </w:r>
    </w:p>
    <w:p w14:paraId="1AA385DD" w14:textId="77777777" w:rsidR="003E3ED9" w:rsidRPr="004005A5" w:rsidRDefault="003E3ED9" w:rsidP="003E3ED9">
      <w:pPr>
        <w:jc w:val="both"/>
        <w:rPr>
          <w:rFonts w:cs="Arial"/>
          <w:szCs w:val="20"/>
        </w:rPr>
      </w:pPr>
    </w:p>
    <w:p w14:paraId="0E532E27" w14:textId="77777777" w:rsidR="003E3ED9" w:rsidRPr="00830439" w:rsidRDefault="003E3ED9" w:rsidP="003E3ED9">
      <w:pPr>
        <w:jc w:val="both"/>
        <w:rPr>
          <w:rFonts w:cs="Arial"/>
          <w:szCs w:val="20"/>
        </w:rPr>
      </w:pPr>
      <w:r w:rsidRPr="004005A5">
        <w:rPr>
          <w:rFonts w:cs="Arial"/>
          <w:szCs w:val="20"/>
        </w:rPr>
        <w:lastRenderedPageBreak/>
        <w:t>Obstoječi FI so pokazali pozitivne rezultate pri podpori končnih prejemnikov sredstev. V tem pogledu ni razloga za prekinitev delovanja teh instrumentov. Njihovo delovanje se lahko nadaljuje še naprej tudi v programskem obdobju 2014-2020, vzporedno s finančnimi instrumenti in produkti, predlaganimi v trenutni naložbeni strategiji. Obstoječe FI se lahko izvaja nespremenjeno, če se za njihovo izvajanje zagotovi drug vir sredstev (ne sredstev evropskih strukturnih in investicijskih skladov), npr. financiranje</w:t>
      </w:r>
      <w:r w:rsidRPr="00830439">
        <w:rPr>
          <w:rFonts w:cs="Arial"/>
          <w:szCs w:val="20"/>
        </w:rPr>
        <w:t xml:space="preserve"> iz integralnega proračuna, sproščena sredstva obstoječih FI, financiranje občin in zasebno financiranje. Ne da bi to vplivalo na izvajanje obstoječih FI ali ostalih dejavnosti ključnih deležnikov pri FI (kot so opredeljeni v uvodnem poglavju) pa je potrebno v največji možni meri zagotoviti komplementarnost s prednostnim izvajanjem sklada skladov oz. FI financiranimi iz sredstev evropske kohezijske politike 2014-2020.</w:t>
      </w:r>
    </w:p>
    <w:p w14:paraId="281E50DB" w14:textId="77777777" w:rsidR="003E3ED9" w:rsidRPr="00830439" w:rsidRDefault="003E3ED9" w:rsidP="003E3ED9">
      <w:pPr>
        <w:jc w:val="both"/>
        <w:rPr>
          <w:rFonts w:cs="Arial"/>
          <w:szCs w:val="20"/>
        </w:rPr>
      </w:pPr>
    </w:p>
    <w:p w14:paraId="2E10AE5D" w14:textId="77777777" w:rsidR="003E3ED9" w:rsidRPr="00830439" w:rsidRDefault="003E3ED9" w:rsidP="003E3ED9">
      <w:pPr>
        <w:jc w:val="both"/>
        <w:rPr>
          <w:rFonts w:cs="Arial"/>
          <w:szCs w:val="20"/>
        </w:rPr>
      </w:pPr>
      <w:r w:rsidRPr="00830439">
        <w:rPr>
          <w:rFonts w:cs="Arial"/>
          <w:szCs w:val="20"/>
        </w:rPr>
        <w:t>Če se OU in PO skupaj s sodelujočima ministrstvoma odločijo na podlagi pozitivih rezultatov in učinkov FI, ki so bili izvedeni iz sredstev evropske kohezijske politike 2007-2013, za nadaljevanje enega ali več obstoječih (ali nadgrajenih) FI s financiranjem preko sredstev ESIF v obdobju 2014</w:t>
      </w:r>
      <w:r w:rsidRPr="00830439">
        <w:rPr>
          <w:rFonts w:cs="Arial"/>
          <w:szCs w:val="20"/>
        </w:rPr>
        <w:noBreakHyphen/>
        <w:t>2020, morajo biti le-ti prilagojeni in skladni z Uredbo (EU) št. 1303/2013 EU o razvoju FI z uporabo sredstev evropskih strukturnih in investicijskih skladov. To posledično vključuje spremembe v oblikovanju in izvajanju FI. Te spremembe so potrebne zaradi uskladitve obstoječih FI v Sloveniji z Uredbo (EU) št. 1303/2013, ki se navezuje na FI v programskem obdobju 201</w:t>
      </w:r>
      <w:r w:rsidRPr="00830439">
        <w:rPr>
          <w:rFonts w:cs="Arial"/>
          <w:szCs w:val="20"/>
        </w:rPr>
        <w:noBreakHyphen/>
        <w:t xml:space="preserve">2020. Ta uredba vključuje izbiro finančnih posrednikov na podlagi odprtih, preglednih, sorazmernih in </w:t>
      </w:r>
      <w:proofErr w:type="spellStart"/>
      <w:r w:rsidRPr="00830439">
        <w:rPr>
          <w:rFonts w:cs="Arial"/>
          <w:szCs w:val="20"/>
        </w:rPr>
        <w:t>nediskriminatornih</w:t>
      </w:r>
      <w:proofErr w:type="spellEnd"/>
      <w:r w:rsidRPr="00830439">
        <w:rPr>
          <w:rFonts w:cs="Arial"/>
          <w:szCs w:val="20"/>
        </w:rPr>
        <w:t xml:space="preserve"> postopkov, pri čemer se preprečijo navzkrižja interesov.</w:t>
      </w:r>
    </w:p>
    <w:p w14:paraId="50FDE03B" w14:textId="77777777" w:rsidR="003E3ED9" w:rsidRPr="002A1F16" w:rsidRDefault="003E3ED9" w:rsidP="003E3ED9">
      <w:pPr>
        <w:rPr>
          <w:rFonts w:cs="Arial"/>
          <w:szCs w:val="20"/>
        </w:rPr>
      </w:pPr>
      <w:r w:rsidRPr="002A1F16">
        <w:rPr>
          <w:rFonts w:cs="Arial"/>
          <w:szCs w:val="20"/>
        </w:rPr>
        <w:br w:type="page"/>
      </w:r>
    </w:p>
    <w:p w14:paraId="369004FC" w14:textId="77777777" w:rsidR="003E3ED9" w:rsidRPr="002A1F16" w:rsidRDefault="003E3ED9" w:rsidP="003E3ED9">
      <w:pPr>
        <w:spacing w:before="240" w:after="120"/>
        <w:ind w:left="2"/>
        <w:outlineLvl w:val="0"/>
        <w:rPr>
          <w:rFonts w:cs="Arial"/>
          <w:b/>
          <w:color w:val="AACDDB"/>
          <w:szCs w:val="20"/>
        </w:rPr>
      </w:pPr>
      <w:bookmarkStart w:id="23" w:name="_Toc122425435"/>
      <w:bookmarkStart w:id="24" w:name="_Toc132097823"/>
      <w:r w:rsidRPr="002A1F16">
        <w:rPr>
          <w:rFonts w:cs="Arial"/>
          <w:b/>
          <w:color w:val="AACDDB"/>
          <w:szCs w:val="20"/>
        </w:rPr>
        <w:lastRenderedPageBreak/>
        <w:t xml:space="preserve">3. NALOŽBENA STRATEGIJA IN NAČRTOVANJE </w:t>
      </w:r>
      <w:bookmarkEnd w:id="23"/>
      <w:r w:rsidRPr="002A1F16">
        <w:rPr>
          <w:rFonts w:cs="Arial"/>
          <w:b/>
          <w:color w:val="AACDDB"/>
          <w:szCs w:val="20"/>
        </w:rPr>
        <w:t>FI</w:t>
      </w:r>
      <w:bookmarkEnd w:id="24"/>
    </w:p>
    <w:p w14:paraId="4E1C114F" w14:textId="77777777" w:rsidR="003E3ED9" w:rsidRPr="002A1F16" w:rsidRDefault="003E3ED9" w:rsidP="003E3ED9">
      <w:pPr>
        <w:spacing w:before="240" w:after="120"/>
        <w:ind w:left="2"/>
        <w:outlineLvl w:val="0"/>
        <w:rPr>
          <w:rFonts w:cs="Arial"/>
          <w:b/>
          <w:color w:val="AACDDB"/>
          <w:szCs w:val="20"/>
        </w:rPr>
      </w:pPr>
      <w:bookmarkStart w:id="25" w:name="_Toc54857917"/>
      <w:bookmarkStart w:id="26" w:name="_Toc132097824"/>
      <w:r w:rsidRPr="002A1F16">
        <w:rPr>
          <w:rFonts w:cs="Arial"/>
          <w:b/>
          <w:color w:val="AACDDB"/>
          <w:szCs w:val="20"/>
        </w:rPr>
        <w:t>3.1 Izvedbeni pogoji</w:t>
      </w:r>
      <w:bookmarkEnd w:id="25"/>
      <w:bookmarkEnd w:id="26"/>
    </w:p>
    <w:p w14:paraId="25D0F4C5" w14:textId="77777777" w:rsidR="003E3ED9" w:rsidRPr="00830439" w:rsidRDefault="003E3ED9" w:rsidP="003E3ED9">
      <w:pPr>
        <w:jc w:val="both"/>
        <w:rPr>
          <w:rFonts w:cs="Arial"/>
          <w:color w:val="000000"/>
          <w:szCs w:val="20"/>
        </w:rPr>
      </w:pPr>
      <w:r w:rsidRPr="00830439">
        <w:rPr>
          <w:rFonts w:cs="Arial"/>
          <w:color w:val="000000"/>
          <w:szCs w:val="20"/>
        </w:rPr>
        <w:t>Predhodna ocena FI predlaga dvostopenjsko strukturo izvajanja FI preko sklada skladov. Tudi EIB analiza potrjuje, da je to najbolj primeren način izvajanja finančnih instrumentov v Sloveniji v tej fazi. Enostopenjski struktura (brez sklada skladov) zahteva veliko stopnjo strokovnega znanja upravne zmogljivosti v okviru OU in PO, le na ta način bi bil zagotovljen neposreden nadzor finančnih posrednikov.</w:t>
      </w:r>
    </w:p>
    <w:p w14:paraId="5C4AE0B6" w14:textId="77777777" w:rsidR="003E3ED9" w:rsidRPr="00830439" w:rsidRDefault="003E3ED9" w:rsidP="003E3ED9">
      <w:pPr>
        <w:jc w:val="both"/>
        <w:rPr>
          <w:rFonts w:cs="Arial"/>
          <w:color w:val="000000"/>
          <w:szCs w:val="20"/>
        </w:rPr>
      </w:pPr>
    </w:p>
    <w:p w14:paraId="3F9B9A55" w14:textId="77777777" w:rsidR="003E3ED9" w:rsidRPr="00830439" w:rsidRDefault="003E3ED9" w:rsidP="003E3ED9">
      <w:pPr>
        <w:jc w:val="both"/>
        <w:rPr>
          <w:rFonts w:cs="Arial"/>
          <w:color w:val="000000"/>
          <w:szCs w:val="20"/>
        </w:rPr>
      </w:pPr>
      <w:r w:rsidRPr="00830439">
        <w:rPr>
          <w:rFonts w:cs="Arial"/>
          <w:color w:val="000000"/>
          <w:szCs w:val="20"/>
        </w:rPr>
        <w:t xml:space="preserve">Predlagana struktura z enim skladom skladov in tematskimi </w:t>
      </w:r>
      <w:proofErr w:type="spellStart"/>
      <w:r w:rsidRPr="00830439">
        <w:rPr>
          <w:rFonts w:cs="Arial"/>
          <w:color w:val="000000"/>
          <w:szCs w:val="20"/>
        </w:rPr>
        <w:t>podskladi</w:t>
      </w:r>
      <w:proofErr w:type="spellEnd"/>
      <w:r w:rsidRPr="00830439">
        <w:rPr>
          <w:rFonts w:cs="Arial"/>
          <w:color w:val="000000"/>
          <w:szCs w:val="20"/>
        </w:rPr>
        <w:t xml:space="preserve"> je v skladu s predpisi in vključuje številne prednosti, kot na primer enotno strukturo upravljanja in enega podpisnika sporazuma o financiranju, večjo kritično maso, ekonomijo obsega, stroškovno učinkovitost in potencial za izkoriščanje sinergij med </w:t>
      </w:r>
      <w:proofErr w:type="spellStart"/>
      <w:r w:rsidRPr="00830439">
        <w:rPr>
          <w:rFonts w:cs="Arial"/>
          <w:color w:val="000000"/>
          <w:szCs w:val="20"/>
        </w:rPr>
        <w:t>podskladi</w:t>
      </w:r>
      <w:proofErr w:type="spellEnd"/>
      <w:r w:rsidRPr="00830439">
        <w:rPr>
          <w:rFonts w:cs="Arial"/>
          <w:color w:val="000000"/>
          <w:szCs w:val="20"/>
        </w:rPr>
        <w:t>.</w:t>
      </w:r>
    </w:p>
    <w:p w14:paraId="4F7C7E27" w14:textId="77777777" w:rsidR="003E3ED9" w:rsidRPr="002A1F16" w:rsidRDefault="003E3ED9" w:rsidP="003E3ED9">
      <w:pPr>
        <w:jc w:val="both"/>
        <w:rPr>
          <w:rFonts w:cs="Arial"/>
          <w:szCs w:val="20"/>
        </w:rPr>
      </w:pPr>
    </w:p>
    <w:p w14:paraId="76007EBF" w14:textId="77777777" w:rsidR="003E3ED9" w:rsidRPr="00F60B42" w:rsidRDefault="003E3ED9" w:rsidP="003E3ED9">
      <w:pPr>
        <w:jc w:val="both"/>
        <w:rPr>
          <w:rFonts w:cs="Arial"/>
          <w:color w:val="000000"/>
          <w:szCs w:val="20"/>
        </w:rPr>
      </w:pPr>
      <w:bookmarkStart w:id="27" w:name="_Toc132097848"/>
      <w:r w:rsidRPr="00830439">
        <w:rPr>
          <w:rFonts w:cs="Arial"/>
          <w:color w:val="000000"/>
          <w:szCs w:val="20"/>
        </w:rPr>
        <w:t xml:space="preserve">Slika </w:t>
      </w:r>
      <w:r w:rsidRPr="00F60B42">
        <w:rPr>
          <w:rFonts w:cs="Arial"/>
          <w:color w:val="000000"/>
          <w:szCs w:val="20"/>
        </w:rPr>
        <w:fldChar w:fldCharType="begin"/>
      </w:r>
      <w:r w:rsidRPr="00830439">
        <w:rPr>
          <w:rFonts w:cs="Arial"/>
          <w:color w:val="000000"/>
          <w:szCs w:val="20"/>
        </w:rPr>
        <w:instrText xml:space="preserve"> SEQ Slika \* ARABIC </w:instrText>
      </w:r>
      <w:r w:rsidRPr="00F60B42">
        <w:rPr>
          <w:rFonts w:cs="Arial"/>
          <w:color w:val="000000"/>
          <w:szCs w:val="20"/>
        </w:rPr>
        <w:fldChar w:fldCharType="separate"/>
      </w:r>
      <w:r>
        <w:rPr>
          <w:rFonts w:cs="Arial"/>
          <w:noProof/>
          <w:color w:val="000000"/>
          <w:szCs w:val="20"/>
        </w:rPr>
        <w:t>1</w:t>
      </w:r>
      <w:r w:rsidRPr="00F60B42">
        <w:rPr>
          <w:rFonts w:cs="Arial"/>
          <w:color w:val="000000"/>
          <w:szCs w:val="20"/>
        </w:rPr>
        <w:fldChar w:fldCharType="end"/>
      </w:r>
      <w:r w:rsidRPr="00830439">
        <w:rPr>
          <w:rFonts w:cs="Arial"/>
          <w:color w:val="000000"/>
          <w:szCs w:val="20"/>
        </w:rPr>
        <w:t>: Struktura upravljanja sklada skladov v programskem obdobju 2014-2020</w:t>
      </w:r>
      <w:bookmarkEnd w:id="27"/>
    </w:p>
    <w:p w14:paraId="0C0B6AC3" w14:textId="77777777" w:rsidR="003E3ED9" w:rsidRPr="002A1F16" w:rsidRDefault="003E3ED9" w:rsidP="003E3ED9">
      <w:pPr>
        <w:jc w:val="center"/>
        <w:rPr>
          <w:rFonts w:cs="Arial"/>
          <w:szCs w:val="20"/>
        </w:rPr>
      </w:pPr>
      <w:r w:rsidRPr="002A1F16">
        <w:rPr>
          <w:rFonts w:cs="Arial"/>
          <w:noProof/>
          <w:szCs w:val="20"/>
          <w:lang w:eastAsia="sl-SI"/>
        </w:rPr>
        <w:drawing>
          <wp:inline distT="0" distB="0" distL="0" distR="0" wp14:anchorId="419CB015" wp14:editId="331BDD09">
            <wp:extent cx="5281683" cy="2842954"/>
            <wp:effectExtent l="0" t="0" r="0" b="0"/>
            <wp:docPr id="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l="57053" t="20114" r="14334" b="48653"/>
                    <a:stretch>
                      <a:fillRect/>
                    </a:stretch>
                  </pic:blipFill>
                  <pic:spPr bwMode="auto">
                    <a:xfrm>
                      <a:off x="0" y="0"/>
                      <a:ext cx="5292339" cy="2848690"/>
                    </a:xfrm>
                    <a:prstGeom prst="rect">
                      <a:avLst/>
                    </a:prstGeom>
                    <a:noFill/>
                    <a:ln>
                      <a:noFill/>
                    </a:ln>
                  </pic:spPr>
                </pic:pic>
              </a:graphicData>
            </a:graphic>
          </wp:inline>
        </w:drawing>
      </w:r>
    </w:p>
    <w:p w14:paraId="2D0B7A9B" w14:textId="77777777" w:rsidR="003E3ED9" w:rsidRPr="00F60B42" w:rsidRDefault="003E3ED9" w:rsidP="003E3ED9">
      <w:pPr>
        <w:jc w:val="both"/>
        <w:rPr>
          <w:rFonts w:cs="Arial"/>
          <w:color w:val="000000"/>
          <w:szCs w:val="20"/>
        </w:rPr>
      </w:pPr>
      <w:r w:rsidRPr="00830439">
        <w:rPr>
          <w:rFonts w:cs="Arial"/>
          <w:color w:val="000000"/>
          <w:szCs w:val="20"/>
        </w:rPr>
        <w:t>Vir: Lastni</w:t>
      </w:r>
    </w:p>
    <w:p w14:paraId="2C6B55E4" w14:textId="77777777" w:rsidR="003E3ED9" w:rsidRPr="00F60B42" w:rsidRDefault="003E3ED9" w:rsidP="003E3ED9">
      <w:pPr>
        <w:jc w:val="both"/>
        <w:rPr>
          <w:rFonts w:cs="Arial"/>
          <w:color w:val="000000"/>
          <w:szCs w:val="20"/>
        </w:rPr>
      </w:pPr>
    </w:p>
    <w:p w14:paraId="2CCACD8B" w14:textId="77777777" w:rsidR="003E3ED9" w:rsidRPr="004005A5" w:rsidRDefault="003E3ED9" w:rsidP="003E3ED9">
      <w:pPr>
        <w:jc w:val="both"/>
        <w:rPr>
          <w:rFonts w:cs="Arial"/>
          <w:color w:val="000000"/>
          <w:szCs w:val="20"/>
        </w:rPr>
      </w:pPr>
      <w:r w:rsidRPr="00F60B42">
        <w:rPr>
          <w:rFonts w:cs="Arial"/>
          <w:color w:val="000000"/>
          <w:szCs w:val="20"/>
        </w:rPr>
        <w:t>V Predhodni oceni FI je bila predlagana naložbena strategija</w:t>
      </w:r>
      <w:r w:rsidRPr="00830439">
        <w:rPr>
          <w:rFonts w:cs="Arial"/>
          <w:color w:val="000000"/>
          <w:szCs w:val="20"/>
          <w:vertAlign w:val="superscript"/>
        </w:rPr>
        <w:footnoteReference w:id="8"/>
      </w:r>
      <w:r w:rsidRPr="00830439">
        <w:rPr>
          <w:rFonts w:cs="Arial"/>
          <w:color w:val="000000"/>
          <w:szCs w:val="20"/>
        </w:rPr>
        <w:t>,</w:t>
      </w:r>
      <w:r w:rsidRPr="00F60B42">
        <w:rPr>
          <w:rFonts w:cs="Arial"/>
          <w:color w:val="000000"/>
          <w:szCs w:val="20"/>
        </w:rPr>
        <w:t xml:space="preserve"> ki temelji na petih naložbenih skladih (MSP, razvoj podeželja, RRI, energetska učinkovitost, urbani razvoj). V Ključnih elementih FI so predstavljena štiri področja (MSP, RRI, energetska učinkovitost, urbani razvoj), ki so financirana iz OP 2014-2020, medtem ko je področje razvoja podeželja obravnavano posebej, saj je financirano iz Evropskega kmetijskega sklada za razvoj podeželja in opredeljeno v Programu za razvoj podeželja 2014-2020. Za vsa naložbena področja je predlagano, da se uporabijo po meri oblikovani FI (</w:t>
      </w:r>
      <w:proofErr w:type="spellStart"/>
      <w:r w:rsidRPr="00F60B42">
        <w:rPr>
          <w:rFonts w:cs="Arial"/>
          <w:color w:val="000000"/>
          <w:szCs w:val="20"/>
        </w:rPr>
        <w:t>tailor-made</w:t>
      </w:r>
      <w:proofErr w:type="spellEnd"/>
      <w:r w:rsidRPr="00F60B42">
        <w:rPr>
          <w:rFonts w:cs="Arial"/>
          <w:color w:val="000000"/>
          <w:szCs w:val="20"/>
        </w:rPr>
        <w:t xml:space="preserve">). Izvedbene ključne pogoje in cilje natančneje definira upravljavec sklada skladov v naložbeni strategiji, ki bo sestavni del sporazuma o financiranju. Upravljavec sklada skladov bo moral pri pripravi naložbene strategije sklada skladov zasledovati vsebino Ključnih elementov FI, </w:t>
      </w:r>
      <w:r w:rsidRPr="004005A5">
        <w:rPr>
          <w:rFonts w:cs="Arial"/>
          <w:color w:val="000000"/>
          <w:szCs w:val="20"/>
        </w:rPr>
        <w:t>Predhodne ocene FI, EIB analize, preverjanja na trgu (market test) in ciljev OP 2014-2020.</w:t>
      </w:r>
    </w:p>
    <w:p w14:paraId="7B3C0C6F" w14:textId="77777777" w:rsidR="003E3ED9" w:rsidRPr="004005A5" w:rsidRDefault="003E3ED9" w:rsidP="003E3ED9">
      <w:pPr>
        <w:jc w:val="both"/>
        <w:rPr>
          <w:rFonts w:cs="Arial"/>
          <w:color w:val="000000"/>
          <w:szCs w:val="20"/>
        </w:rPr>
      </w:pPr>
    </w:p>
    <w:p w14:paraId="49B5EE57" w14:textId="77777777" w:rsidR="003E3ED9" w:rsidRPr="00F60B42" w:rsidRDefault="003E3ED9" w:rsidP="003E3ED9">
      <w:pPr>
        <w:keepNext/>
        <w:keepLines/>
        <w:widowControl w:val="0"/>
        <w:jc w:val="both"/>
        <w:rPr>
          <w:rFonts w:cs="Arial"/>
          <w:color w:val="000000"/>
          <w:szCs w:val="20"/>
        </w:rPr>
      </w:pPr>
      <w:bookmarkStart w:id="28" w:name="_Toc132097849"/>
      <w:r w:rsidRPr="004005A5">
        <w:rPr>
          <w:rFonts w:cs="Arial"/>
          <w:color w:val="000000"/>
          <w:szCs w:val="20"/>
        </w:rPr>
        <w:lastRenderedPageBreak/>
        <w:t xml:space="preserve">Slika </w:t>
      </w:r>
      <w:r w:rsidRPr="00F60B42">
        <w:rPr>
          <w:rFonts w:cs="Arial"/>
          <w:color w:val="000000"/>
          <w:szCs w:val="20"/>
        </w:rPr>
        <w:fldChar w:fldCharType="begin"/>
      </w:r>
      <w:r w:rsidRPr="00830439">
        <w:rPr>
          <w:rFonts w:cs="Arial"/>
          <w:color w:val="000000"/>
          <w:szCs w:val="20"/>
        </w:rPr>
        <w:instrText xml:space="preserve"> SEQ Slika \* ARABIC </w:instrText>
      </w:r>
      <w:r w:rsidRPr="00F60B42">
        <w:rPr>
          <w:rFonts w:cs="Arial"/>
          <w:color w:val="000000"/>
          <w:szCs w:val="20"/>
        </w:rPr>
        <w:fldChar w:fldCharType="separate"/>
      </w:r>
      <w:r>
        <w:rPr>
          <w:rFonts w:cs="Arial"/>
          <w:noProof/>
          <w:color w:val="000000"/>
          <w:szCs w:val="20"/>
        </w:rPr>
        <w:t>2</w:t>
      </w:r>
      <w:r w:rsidRPr="00F60B42">
        <w:rPr>
          <w:rFonts w:cs="Arial"/>
          <w:color w:val="000000"/>
          <w:szCs w:val="20"/>
        </w:rPr>
        <w:fldChar w:fldCharType="end"/>
      </w:r>
      <w:r w:rsidRPr="00830439">
        <w:rPr>
          <w:rFonts w:cs="Arial"/>
          <w:color w:val="000000"/>
          <w:szCs w:val="20"/>
        </w:rPr>
        <w:t>: Naložbena strategija sklada skladov</w:t>
      </w:r>
      <w:bookmarkEnd w:id="28"/>
    </w:p>
    <w:p w14:paraId="63856EB9" w14:textId="77777777" w:rsidR="003E3ED9" w:rsidRPr="002A1F16" w:rsidRDefault="003E3ED9" w:rsidP="003E3ED9">
      <w:pPr>
        <w:keepNext/>
        <w:keepLines/>
        <w:widowControl w:val="0"/>
        <w:spacing w:before="240"/>
        <w:jc w:val="both"/>
        <w:rPr>
          <w:rFonts w:cs="Arial"/>
          <w:noProof/>
          <w:color w:val="008000"/>
          <w:szCs w:val="20"/>
          <w:lang w:eastAsia="sl-SI"/>
        </w:rPr>
      </w:pPr>
      <w:r w:rsidRPr="002A1F16">
        <w:rPr>
          <w:rFonts w:cs="Arial"/>
          <w:noProof/>
          <w:szCs w:val="20"/>
          <w:lang w:eastAsia="sl-SI"/>
        </w:rPr>
        <w:drawing>
          <wp:inline distT="0" distB="0" distL="0" distR="0" wp14:anchorId="4EFB8014" wp14:editId="216D68FE">
            <wp:extent cx="5295331" cy="3058549"/>
            <wp:effectExtent l="0" t="0" r="635" b="889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1171" cy="3067698"/>
                    </a:xfrm>
                    <a:prstGeom prst="rect">
                      <a:avLst/>
                    </a:prstGeom>
                    <a:noFill/>
                  </pic:spPr>
                </pic:pic>
              </a:graphicData>
            </a:graphic>
          </wp:inline>
        </w:drawing>
      </w:r>
    </w:p>
    <w:p w14:paraId="10F5975C" w14:textId="77777777" w:rsidR="003E3ED9" w:rsidRPr="00F60B42" w:rsidRDefault="003E3ED9" w:rsidP="003E3ED9">
      <w:pPr>
        <w:keepNext/>
        <w:keepLines/>
        <w:widowControl w:val="0"/>
        <w:jc w:val="both"/>
        <w:rPr>
          <w:rFonts w:cs="Arial"/>
          <w:szCs w:val="20"/>
        </w:rPr>
      </w:pPr>
      <w:r w:rsidRPr="00830439">
        <w:rPr>
          <w:rFonts w:cs="Arial"/>
          <w:szCs w:val="20"/>
        </w:rPr>
        <w:t>Vir: Predhodna ocena FI, 2015</w:t>
      </w:r>
    </w:p>
    <w:p w14:paraId="38BC6A55" w14:textId="77777777" w:rsidR="003E3ED9" w:rsidRPr="00F60B42" w:rsidRDefault="003E3ED9" w:rsidP="003E3ED9">
      <w:pPr>
        <w:jc w:val="both"/>
        <w:rPr>
          <w:rFonts w:cs="Arial"/>
          <w:szCs w:val="20"/>
        </w:rPr>
      </w:pPr>
    </w:p>
    <w:p w14:paraId="2F48046A" w14:textId="77777777" w:rsidR="003E3ED9" w:rsidRPr="00830439" w:rsidRDefault="003E3ED9" w:rsidP="003E3ED9">
      <w:pPr>
        <w:jc w:val="both"/>
        <w:rPr>
          <w:rFonts w:cs="Arial"/>
          <w:szCs w:val="20"/>
        </w:rPr>
      </w:pPr>
      <w:r w:rsidRPr="00F60B42">
        <w:rPr>
          <w:rFonts w:cs="Arial"/>
          <w:szCs w:val="20"/>
        </w:rPr>
        <w:t>Skladno z Uredbo (EU) št. 1303/2013 in glede na Navodila EK je</w:t>
      </w:r>
      <w:r w:rsidRPr="004005A5">
        <w:rPr>
          <w:rFonts w:cs="Arial"/>
          <w:szCs w:val="20"/>
        </w:rPr>
        <w:t xml:space="preserve"> možno upravljavca sklada skladov izbrati na več načinov, med drugim v skladu z veljavnim zakonom o javnem naročanju, na primer kot javno naročilo med osebami v javnem sektorju, ki je upoštevaje pogoje za tako imenovanje in glede na izkušnje drugih držav č</w:t>
      </w:r>
      <w:r w:rsidRPr="00830439">
        <w:rPr>
          <w:rFonts w:cs="Arial"/>
          <w:szCs w:val="20"/>
        </w:rPr>
        <w:t>lanic, tudi najbolj ustrezen način.</w:t>
      </w:r>
    </w:p>
    <w:p w14:paraId="78DE1F8F" w14:textId="77777777" w:rsidR="003E3ED9" w:rsidRPr="00830439" w:rsidRDefault="003E3ED9" w:rsidP="003E3ED9">
      <w:pPr>
        <w:jc w:val="both"/>
        <w:rPr>
          <w:rFonts w:cs="Arial"/>
          <w:szCs w:val="20"/>
        </w:rPr>
      </w:pPr>
    </w:p>
    <w:p w14:paraId="7C6DB4F8" w14:textId="77777777" w:rsidR="003E3ED9" w:rsidRPr="00830439" w:rsidRDefault="003E3ED9" w:rsidP="003E3ED9">
      <w:pPr>
        <w:jc w:val="both"/>
        <w:rPr>
          <w:rFonts w:cs="Arial"/>
          <w:szCs w:val="20"/>
        </w:rPr>
      </w:pPr>
      <w:r w:rsidRPr="00830439">
        <w:rPr>
          <w:rFonts w:cs="Arial"/>
          <w:szCs w:val="20"/>
        </w:rPr>
        <w:t>Skladno s Predhodno oceno FI v Sloveniji se bodo FI izvajali preko sklada skladov, in sicer jih bo izvajal sklad skladov preko finančnih posrednikov ali izjemoma neposredno. Ta način izvedbe predstavlja največji potencial za dodano vrednost in ustvarjanje maksimalnega finančnega vzvoda za slovenski trg. Upravljavec sklada skladov lahko izjemoma izvaja FI tudi sam, če to narekujejo rezultati preverjanja na trgu (market test) glede na cilje OP 2014-2020 ob upoštevanju splošnih načel izvajanja FI, vključno z minimalnim finančnim vzvodom. Preverjanje na trgu se opravi pri finančnih posrednikih, ki bi lahko izvajali FI.</w:t>
      </w:r>
    </w:p>
    <w:p w14:paraId="17C49066" w14:textId="77777777" w:rsidR="003E3ED9" w:rsidRPr="00830439" w:rsidRDefault="003E3ED9" w:rsidP="003E3ED9">
      <w:pPr>
        <w:jc w:val="both"/>
        <w:rPr>
          <w:rFonts w:cs="Arial"/>
          <w:szCs w:val="20"/>
        </w:rPr>
      </w:pPr>
    </w:p>
    <w:p w14:paraId="6AE447BC" w14:textId="77777777" w:rsidR="003E3ED9" w:rsidRPr="00830439" w:rsidRDefault="003E3ED9" w:rsidP="003E3ED9">
      <w:pPr>
        <w:jc w:val="both"/>
        <w:rPr>
          <w:rFonts w:cs="Arial"/>
          <w:szCs w:val="20"/>
        </w:rPr>
      </w:pPr>
      <w:r w:rsidRPr="00830439">
        <w:rPr>
          <w:rFonts w:cs="Arial"/>
          <w:szCs w:val="20"/>
        </w:rPr>
        <w:t>Upravljavca sklada skladov bo PO skladno točko b) četrtega odstavka 38. člena Uredbe (EU) št. 1303/2013 izbral upoštevajoč veljavno pravo javnega naročanja. PO lahko na podlagi 28. člena Zakona o javnem naročanju (Uradni list RS, št. 91/15) in Obvestilom Evropske Komisije: Smernice za države članice o izbiri organov, ki izvajajo finančne instrumente (2016/C276/01) odda javno naročilo pravni osebi javnega prava in neposredno sklene sporazum o financiranju z upravljavcem sklada skladov.</w:t>
      </w:r>
    </w:p>
    <w:p w14:paraId="52A0D75B" w14:textId="77777777" w:rsidR="003E3ED9" w:rsidRPr="00830439" w:rsidRDefault="003E3ED9" w:rsidP="003E3ED9">
      <w:pPr>
        <w:jc w:val="both"/>
        <w:rPr>
          <w:rFonts w:cs="Arial"/>
          <w:szCs w:val="20"/>
        </w:rPr>
      </w:pPr>
    </w:p>
    <w:p w14:paraId="7F7292CD" w14:textId="77777777" w:rsidR="003E3ED9" w:rsidRPr="00830439" w:rsidRDefault="003E3ED9" w:rsidP="003E3ED9">
      <w:pPr>
        <w:jc w:val="both"/>
        <w:rPr>
          <w:rFonts w:cs="Arial"/>
          <w:szCs w:val="20"/>
        </w:rPr>
      </w:pPr>
      <w:r w:rsidRPr="00830439">
        <w:rPr>
          <w:rFonts w:cs="Arial"/>
          <w:szCs w:val="20"/>
        </w:rPr>
        <w:t>PO mora pri izboru upravljavca sklada skladov upoštevati zahteve in merila, ki izhajajo iz 7. člena  Delegirane uredbe Komisije (EU) št. 480/2014. Minimalne zahteve, ki jih mora upravljavec sklada skladov izpolnjevati, so:</w:t>
      </w:r>
    </w:p>
    <w:p w14:paraId="6976AD05"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t>pooblastilo po pravu EU in nacionalnem pravu za izvajanje zadevnih nalog,</w:t>
      </w:r>
    </w:p>
    <w:p w14:paraId="08D87E0C"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t>primerna ekonomska in finančna vzdržnost,</w:t>
      </w:r>
    </w:p>
    <w:p w14:paraId="7468550B"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t>primerna zmogljivost za izvajanje finančnega instrumenta, vključno z organizacijsko strukturo in upravljavskim okvirjem,</w:t>
      </w:r>
    </w:p>
    <w:p w14:paraId="61937A29"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t>obstoj uspešnega in učinkovitega sistema notranjega nadzora,</w:t>
      </w:r>
    </w:p>
    <w:p w14:paraId="71C257C6"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t>uporaba računovodskega sistema, ki pravočasno zagotavlja točne, popolne in zanesljive informacije,</w:t>
      </w:r>
    </w:p>
    <w:p w14:paraId="47AE41D0" w14:textId="77777777" w:rsidR="003E3ED9" w:rsidRPr="00830439" w:rsidRDefault="003E3ED9" w:rsidP="003E3ED9">
      <w:pPr>
        <w:numPr>
          <w:ilvl w:val="0"/>
          <w:numId w:val="34"/>
        </w:numPr>
        <w:spacing w:line="240" w:lineRule="atLeast"/>
        <w:contextualSpacing/>
        <w:jc w:val="both"/>
        <w:rPr>
          <w:rFonts w:eastAsia="Calibri" w:cs="Arial"/>
          <w:szCs w:val="20"/>
        </w:rPr>
      </w:pPr>
      <w:r w:rsidRPr="00830439">
        <w:rPr>
          <w:rFonts w:eastAsia="Calibri" w:cs="Arial"/>
          <w:szCs w:val="20"/>
        </w:rPr>
        <w:lastRenderedPageBreak/>
        <w:t>pristanek na revizijo s strani slovenskih, EU revizijskih organov in Evropskega računskega sodišča.</w:t>
      </w:r>
    </w:p>
    <w:p w14:paraId="031F9E36" w14:textId="77777777" w:rsidR="003E3ED9" w:rsidRPr="00830439" w:rsidRDefault="003E3ED9" w:rsidP="003E3ED9">
      <w:pPr>
        <w:jc w:val="both"/>
        <w:rPr>
          <w:rFonts w:cs="Arial"/>
          <w:szCs w:val="20"/>
        </w:rPr>
      </w:pPr>
      <w:r w:rsidRPr="00830439">
        <w:rPr>
          <w:rFonts w:cs="Arial"/>
          <w:szCs w:val="20"/>
        </w:rPr>
        <w:t>Uporabijo se vsaj naslednja merila pri izbiri upravljavca sklada skladov:</w:t>
      </w:r>
    </w:p>
    <w:p w14:paraId="6F052254"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zanesljivost in verodostojnost metodologije za opredelitev in oceno finančnih posrednikov oziroma končnih prejemnikov,</w:t>
      </w:r>
    </w:p>
    <w:p w14:paraId="3302F0DF"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raven stroškov upravljanja in provizij za upravljanje, povezanih z izvajanjem FI, ter predlagana metodologija za njihov izračun,</w:t>
      </w:r>
    </w:p>
    <w:p w14:paraId="12DF6B43"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pogoji v zvezi s podporo, ki se zagotavlja končnim prejemnikom, vključno z oblikovanjem cen,</w:t>
      </w:r>
    </w:p>
    <w:p w14:paraId="2022B16C"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sposobnost mobilizacije dodatnih sredstev za naložbe v korist končnih prejemnikov poleg prispevkov programa,</w:t>
      </w:r>
    </w:p>
    <w:p w14:paraId="6DFD4C08"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dokazana dodatna dejavnost v primerjavi z obstoječo dejavnostjo,</w:t>
      </w:r>
    </w:p>
    <w:p w14:paraId="295AB9E8" w14:textId="77777777" w:rsidR="003E3ED9" w:rsidRPr="00830439" w:rsidRDefault="003E3ED9" w:rsidP="003E3ED9">
      <w:pPr>
        <w:numPr>
          <w:ilvl w:val="0"/>
          <w:numId w:val="35"/>
        </w:numPr>
        <w:spacing w:line="240" w:lineRule="atLeast"/>
        <w:contextualSpacing/>
        <w:jc w:val="both"/>
        <w:rPr>
          <w:rFonts w:eastAsia="Calibri" w:cs="Arial"/>
          <w:szCs w:val="20"/>
        </w:rPr>
      </w:pPr>
      <w:r w:rsidRPr="00830439">
        <w:rPr>
          <w:rFonts w:eastAsia="Calibri" w:cs="Arial"/>
          <w:szCs w:val="20"/>
        </w:rPr>
        <w:t>če sklad skladov, ki izvaja FI, temu instrumentu nameni lastna sredstva ali nosi del tveganja, so predlagani ukrepi za usklajevanje interesov in za omejitev mogočega navzkrižja interesov.</w:t>
      </w:r>
    </w:p>
    <w:p w14:paraId="189ABB72" w14:textId="77777777" w:rsidR="003E3ED9" w:rsidRPr="00F60B42" w:rsidRDefault="003E3ED9" w:rsidP="003E3ED9">
      <w:pPr>
        <w:jc w:val="both"/>
        <w:rPr>
          <w:rFonts w:cs="Arial"/>
          <w:szCs w:val="20"/>
        </w:rPr>
      </w:pPr>
      <w:r w:rsidRPr="00830439">
        <w:rPr>
          <w:rFonts w:cs="Arial"/>
          <w:szCs w:val="20"/>
        </w:rPr>
        <w:t>Na osnovi Navodil OU za načrtovanje, odločanje o podpori, spremljanje, poročanje in vrednotenje izvajanja evropske kohezijske politike v programskem obdobju 2014-2020, kjer je opisan postopek izbora sklada skladov kot operacije, MGTŠ kot PO v sodelovanju s sodelujočimi ministrstvi izbere upravljavca sklada skladov in s sporazumom o financiranju</w:t>
      </w:r>
      <w:r w:rsidRPr="00830439">
        <w:rPr>
          <w:rFonts w:cs="Arial"/>
          <w:szCs w:val="20"/>
          <w:vertAlign w:val="superscript"/>
        </w:rPr>
        <w:footnoteReference w:id="9"/>
      </w:r>
      <w:r w:rsidRPr="00830439">
        <w:rPr>
          <w:rFonts w:cs="Arial"/>
          <w:szCs w:val="20"/>
        </w:rPr>
        <w:t xml:space="preserve"> dogovori podrobnosti</w:t>
      </w:r>
      <w:r w:rsidRPr="00F60B42">
        <w:rPr>
          <w:rFonts w:cs="Arial"/>
          <w:szCs w:val="20"/>
        </w:rPr>
        <w:t xml:space="preserve"> glede oblike, vsebine, dinamike in učinkovitosti FI, kot sledi iz naložbene strategije sklada skladov. Poleg tega se MGTŠ kot PO v sporazumu z upravljavcem sklada skladov dogovori tudi glede upravljanja sklada skladov (osnovno nadomestilo in nadomestilo za uspešnost skladno s 13. členom Delegirane uredbe Komisije (EU) št. 480/2014).</w:t>
      </w:r>
    </w:p>
    <w:p w14:paraId="0315C6CE" w14:textId="77777777" w:rsidR="003E3ED9" w:rsidRPr="00F60B42" w:rsidRDefault="003E3ED9" w:rsidP="003E3ED9">
      <w:pPr>
        <w:jc w:val="both"/>
        <w:rPr>
          <w:rFonts w:cs="Arial"/>
          <w:szCs w:val="20"/>
        </w:rPr>
      </w:pPr>
    </w:p>
    <w:p w14:paraId="75787DC3" w14:textId="77777777" w:rsidR="003E3ED9" w:rsidRPr="00830439" w:rsidRDefault="003E3ED9" w:rsidP="003E3ED9">
      <w:pPr>
        <w:jc w:val="both"/>
        <w:rPr>
          <w:rFonts w:cs="Arial"/>
          <w:szCs w:val="20"/>
        </w:rPr>
      </w:pPr>
      <w:r w:rsidRPr="00830439">
        <w:rPr>
          <w:rFonts w:cs="Arial"/>
          <w:szCs w:val="20"/>
        </w:rPr>
        <w:t>Upravljavec sklada skladov finančne posrednike izbere skladno s 7. členom Delegirane uredbe Komisije (EU) št. 480/2014, Obvestilom Evropske Komisije: Smernice za države članice o izbiri organov, ki izvajajo finančne instrumente (2016/C276/01) in ZJN-3 (vključno z 28. členom ZJN</w:t>
      </w:r>
      <w:r w:rsidRPr="00830439">
        <w:rPr>
          <w:rFonts w:cs="Arial"/>
          <w:szCs w:val="20"/>
        </w:rPr>
        <w:noBreakHyphen/>
        <w:t>3). Upravljavec sklada skladov zagotovi, da so v zvezi s finančnimi posredniki izpolnjene zahteve, ki izhajajo iz 7. člena Delegirane uredbe Komisije (EU) št. 480/2014.</w:t>
      </w:r>
    </w:p>
    <w:p w14:paraId="2A7D9323" w14:textId="77777777" w:rsidR="003E3ED9" w:rsidRPr="002A1F16" w:rsidRDefault="003E3ED9" w:rsidP="003E3ED9">
      <w:pPr>
        <w:autoSpaceDE w:val="0"/>
        <w:autoSpaceDN w:val="0"/>
        <w:adjustRightInd w:val="0"/>
        <w:jc w:val="both"/>
        <w:rPr>
          <w:rFonts w:eastAsia="Calibri" w:cs="Arial"/>
          <w:color w:val="000000"/>
          <w:szCs w:val="20"/>
        </w:rPr>
      </w:pPr>
    </w:p>
    <w:p w14:paraId="2E82627C" w14:textId="77777777" w:rsidR="003E3ED9" w:rsidRPr="00F60B42" w:rsidRDefault="003E3ED9" w:rsidP="003E3ED9">
      <w:pPr>
        <w:jc w:val="both"/>
        <w:rPr>
          <w:rFonts w:cs="Arial"/>
          <w:szCs w:val="20"/>
        </w:rPr>
      </w:pPr>
      <w:r w:rsidRPr="00830439">
        <w:rPr>
          <w:rFonts w:cs="Arial"/>
          <w:szCs w:val="20"/>
        </w:rPr>
        <w:t>Izbor sklada skladov in finančnih posrednikov</w:t>
      </w:r>
    </w:p>
    <w:p w14:paraId="5B08EE6F" w14:textId="77777777" w:rsidR="003E3ED9" w:rsidRPr="00F60B42" w:rsidRDefault="003E3ED9" w:rsidP="003E3ED9">
      <w:pPr>
        <w:jc w:val="both"/>
        <w:rPr>
          <w:rFonts w:cs="Arial"/>
          <w:szCs w:val="20"/>
        </w:rPr>
      </w:pPr>
    </w:p>
    <w:p w14:paraId="00B00BCB" w14:textId="77777777" w:rsidR="003E3ED9" w:rsidRPr="00830439" w:rsidRDefault="003E3ED9" w:rsidP="003E3ED9">
      <w:pPr>
        <w:keepNext/>
        <w:keepLines/>
        <w:widowControl w:val="0"/>
        <w:jc w:val="both"/>
        <w:rPr>
          <w:rFonts w:cs="Arial"/>
          <w:szCs w:val="20"/>
        </w:rPr>
      </w:pPr>
      <w:bookmarkStart w:id="29" w:name="_Toc132097850"/>
      <w:r w:rsidRPr="00F60B42">
        <w:rPr>
          <w:rFonts w:cs="Arial"/>
          <w:szCs w:val="20"/>
        </w:rPr>
        <w:lastRenderedPageBreak/>
        <w:t xml:space="preserve">Slika </w:t>
      </w:r>
      <w:r w:rsidRPr="00F60B42">
        <w:rPr>
          <w:rFonts w:cs="Arial"/>
          <w:szCs w:val="20"/>
        </w:rPr>
        <w:fldChar w:fldCharType="begin"/>
      </w:r>
      <w:r w:rsidRPr="00830439">
        <w:rPr>
          <w:rFonts w:cs="Arial"/>
          <w:szCs w:val="20"/>
        </w:rPr>
        <w:instrText xml:space="preserve"> SEQ Slika \* ARABIC </w:instrText>
      </w:r>
      <w:r w:rsidRPr="00F60B42">
        <w:rPr>
          <w:rFonts w:cs="Arial"/>
          <w:szCs w:val="20"/>
        </w:rPr>
        <w:fldChar w:fldCharType="separate"/>
      </w:r>
      <w:r>
        <w:rPr>
          <w:rFonts w:cs="Arial"/>
          <w:noProof/>
          <w:szCs w:val="20"/>
        </w:rPr>
        <w:t>3</w:t>
      </w:r>
      <w:r w:rsidRPr="00F60B42">
        <w:rPr>
          <w:rFonts w:cs="Arial"/>
          <w:szCs w:val="20"/>
        </w:rPr>
        <w:fldChar w:fldCharType="end"/>
      </w:r>
      <w:r w:rsidRPr="00830439">
        <w:rPr>
          <w:rFonts w:cs="Arial"/>
          <w:szCs w:val="20"/>
        </w:rPr>
        <w:t>: Struktura izvajanja FI v Sloveniji</w:t>
      </w:r>
      <w:r w:rsidRPr="00830439">
        <w:rPr>
          <w:rFonts w:cs="Arial"/>
          <w:szCs w:val="20"/>
          <w:vertAlign w:val="superscript"/>
        </w:rPr>
        <w:footnoteReference w:id="10"/>
      </w:r>
      <w:bookmarkEnd w:id="29"/>
    </w:p>
    <w:p w14:paraId="7CC11AB2" w14:textId="77777777" w:rsidR="003E3ED9" w:rsidRPr="002A1F16" w:rsidRDefault="003E3ED9" w:rsidP="003E3ED9">
      <w:pPr>
        <w:keepNext/>
        <w:keepLines/>
        <w:widowControl w:val="0"/>
        <w:autoSpaceDE w:val="0"/>
        <w:autoSpaceDN w:val="0"/>
        <w:adjustRightInd w:val="0"/>
        <w:jc w:val="both"/>
        <w:rPr>
          <w:rFonts w:eastAsia="Calibri" w:cs="Arial"/>
          <w:color w:val="000000"/>
          <w:szCs w:val="20"/>
        </w:rPr>
      </w:pPr>
    </w:p>
    <w:p w14:paraId="172A2876" w14:textId="77777777" w:rsidR="003E3ED9" w:rsidRPr="002A1F16" w:rsidRDefault="003E3ED9" w:rsidP="003E3ED9">
      <w:pPr>
        <w:keepNext/>
        <w:keepLines/>
        <w:widowControl w:val="0"/>
        <w:autoSpaceDE w:val="0"/>
        <w:autoSpaceDN w:val="0"/>
        <w:adjustRightInd w:val="0"/>
        <w:jc w:val="center"/>
        <w:rPr>
          <w:rFonts w:eastAsia="Calibri" w:cs="Arial"/>
          <w:color w:val="000000"/>
          <w:szCs w:val="20"/>
        </w:rPr>
      </w:pPr>
    </w:p>
    <w:p w14:paraId="475EF761" w14:textId="77777777" w:rsidR="003E3ED9" w:rsidRPr="00830439" w:rsidRDefault="003E3ED9" w:rsidP="003E3ED9">
      <w:pPr>
        <w:keepNext/>
        <w:keepLines/>
        <w:widowControl w:val="0"/>
        <w:jc w:val="both"/>
        <w:rPr>
          <w:rFonts w:cs="Arial"/>
          <w:szCs w:val="20"/>
        </w:rPr>
      </w:pPr>
      <w:r w:rsidRPr="00830439">
        <w:rPr>
          <w:rFonts w:cs="Arial"/>
          <w:noProof/>
          <w:szCs w:val="20"/>
          <w:lang w:eastAsia="sl-SI"/>
        </w:rPr>
        <w:drawing>
          <wp:inline distT="0" distB="0" distL="0" distR="0" wp14:anchorId="7D61970F" wp14:editId="23ED22E5">
            <wp:extent cx="5330142" cy="3151870"/>
            <wp:effectExtent l="0" t="0" r="444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920" cy="3161200"/>
                    </a:xfrm>
                    <a:prstGeom prst="rect">
                      <a:avLst/>
                    </a:prstGeom>
                    <a:noFill/>
                    <a:ln>
                      <a:noFill/>
                    </a:ln>
                  </pic:spPr>
                </pic:pic>
              </a:graphicData>
            </a:graphic>
          </wp:inline>
        </w:drawing>
      </w:r>
    </w:p>
    <w:p w14:paraId="21452D24" w14:textId="77777777" w:rsidR="003E3ED9" w:rsidRPr="00830439" w:rsidRDefault="003E3ED9" w:rsidP="003E3ED9">
      <w:pPr>
        <w:keepNext/>
        <w:keepLines/>
        <w:widowControl w:val="0"/>
        <w:jc w:val="both"/>
        <w:rPr>
          <w:rFonts w:cs="Arial"/>
          <w:szCs w:val="20"/>
        </w:rPr>
      </w:pPr>
      <w:r w:rsidRPr="00830439">
        <w:rPr>
          <w:rFonts w:cs="Arial"/>
          <w:szCs w:val="20"/>
        </w:rPr>
        <w:t>Vir: Lastni</w:t>
      </w:r>
    </w:p>
    <w:p w14:paraId="75E17CF1" w14:textId="77777777" w:rsidR="003E3ED9" w:rsidRPr="00830439" w:rsidRDefault="003E3ED9" w:rsidP="003E3ED9">
      <w:pPr>
        <w:jc w:val="both"/>
        <w:rPr>
          <w:rFonts w:cs="Arial"/>
          <w:szCs w:val="20"/>
        </w:rPr>
      </w:pPr>
    </w:p>
    <w:p w14:paraId="66831299" w14:textId="77777777" w:rsidR="003E3ED9" w:rsidRPr="00830439" w:rsidRDefault="003E3ED9" w:rsidP="003E3ED9">
      <w:pPr>
        <w:jc w:val="both"/>
        <w:rPr>
          <w:rFonts w:cs="Arial"/>
          <w:szCs w:val="20"/>
        </w:rPr>
      </w:pPr>
      <w:r w:rsidRPr="00830439">
        <w:rPr>
          <w:rFonts w:cs="Arial"/>
          <w:szCs w:val="20"/>
        </w:rPr>
        <w:t>PO za izvajanje FI je MGTŠ, ki pri izvajanju sodeluje s sodelujočima ministrstvoma, in sicer MZI in MOP. V okviru MGTŠ je zagotovljena koordinacija vseh vključenih ministrstev.</w:t>
      </w:r>
    </w:p>
    <w:p w14:paraId="4D6D6AE5" w14:textId="77777777" w:rsidR="003E3ED9" w:rsidRPr="00830439" w:rsidRDefault="003E3ED9" w:rsidP="003E3ED9">
      <w:pPr>
        <w:jc w:val="both"/>
        <w:rPr>
          <w:rFonts w:cs="Arial"/>
          <w:szCs w:val="20"/>
        </w:rPr>
      </w:pPr>
    </w:p>
    <w:p w14:paraId="79AAC1EF" w14:textId="77777777" w:rsidR="003E3ED9" w:rsidRPr="00830439" w:rsidRDefault="003E3ED9" w:rsidP="003E3ED9">
      <w:pPr>
        <w:jc w:val="both"/>
        <w:rPr>
          <w:rFonts w:cs="Arial"/>
          <w:szCs w:val="20"/>
        </w:rPr>
      </w:pPr>
      <w:r w:rsidRPr="00830439">
        <w:rPr>
          <w:rFonts w:cs="Arial"/>
          <w:szCs w:val="20"/>
        </w:rPr>
        <w:t xml:space="preserve">MGTŠ deluje kot PO (oddelek za FI) in hkrati tudi vsebinsko pokriva področje MSP in RRI. Sodelujoči ministrstvi sta MZI in MOP, ki pokrivata vsebinski področji energetske učinkovitosti ter urbanega razvoja. Vsebinski nosilci na ministrstvih sodelujejo z oddelkom za FI v okviru MGTŠ ter pripravljajo vsebinske predloge za gradivo, ki ga koordinira oddelek za FI za Usmerjevalni odbor. Poleg tega oddelek za FI sodeluje z OU, organom za potrjevanje in upravljavcem sklada skladov ter ZMOS. Upravljavec sklada skladov sodeluje z oddelkom PO za FI pri pripravi poslovnega načrta, sporazuma o financiranju in drugih dokumentov. Upravljavec sklada skladov prav tako izvede postopek izbora finančnih posrednikov, plasira sredstva sklada skladov ter upravlja s prostimi sredstvi sklada skladov. Pravila </w:t>
      </w:r>
      <w:proofErr w:type="spellStart"/>
      <w:r w:rsidRPr="00830439">
        <w:rPr>
          <w:rFonts w:cs="Arial"/>
          <w:szCs w:val="20"/>
        </w:rPr>
        <w:t>naložbenja</w:t>
      </w:r>
      <w:proofErr w:type="spellEnd"/>
      <w:r w:rsidRPr="00830439">
        <w:rPr>
          <w:rFonts w:cs="Arial"/>
          <w:szCs w:val="20"/>
        </w:rPr>
        <w:t xml:space="preserve"> prostih sredstev sklada skladov PO in upravljavec sklada skladov dogovorita v sporazumu o financiranju. Finančni posrednik sklepa naložbene posle s končnimi prejemniki. Upravljavec sklada skladov in finančni posredniki samostojno in neodvisno odobravajo naložbene posle.</w:t>
      </w:r>
    </w:p>
    <w:p w14:paraId="26DED97F" w14:textId="77777777" w:rsidR="003E3ED9" w:rsidRPr="00830439" w:rsidRDefault="003E3ED9" w:rsidP="003E3ED9">
      <w:pPr>
        <w:jc w:val="both"/>
        <w:rPr>
          <w:rFonts w:cs="Arial"/>
          <w:szCs w:val="20"/>
        </w:rPr>
      </w:pPr>
    </w:p>
    <w:p w14:paraId="4E4AB7B9" w14:textId="77777777" w:rsidR="003E3ED9" w:rsidRPr="00830439" w:rsidRDefault="003E3ED9" w:rsidP="003E3ED9">
      <w:pPr>
        <w:jc w:val="both"/>
        <w:rPr>
          <w:rFonts w:cs="Arial"/>
          <w:szCs w:val="20"/>
        </w:rPr>
      </w:pPr>
      <w:r w:rsidRPr="00830439">
        <w:rPr>
          <w:rFonts w:cs="Arial"/>
          <w:szCs w:val="20"/>
        </w:rPr>
        <w:t>ZMOS pri izvajanju finančnih instrumentov skladno s 7. členom Uredbe (EU) št. 1301/2013, kot posredniški organ v okviru celostnih teritorialnih naložb opravlja naslednje naloge:</w:t>
      </w:r>
    </w:p>
    <w:p w14:paraId="23772533" w14:textId="77777777" w:rsidR="003E3ED9" w:rsidRPr="00830439" w:rsidRDefault="003E3ED9" w:rsidP="003E3ED9">
      <w:pPr>
        <w:numPr>
          <w:ilvl w:val="0"/>
          <w:numId w:val="36"/>
        </w:numPr>
        <w:spacing w:line="240" w:lineRule="atLeast"/>
        <w:contextualSpacing/>
        <w:jc w:val="both"/>
        <w:rPr>
          <w:rFonts w:eastAsia="Calibri" w:cs="Arial"/>
          <w:szCs w:val="20"/>
        </w:rPr>
      </w:pPr>
      <w:r w:rsidRPr="00830439">
        <w:rPr>
          <w:rFonts w:eastAsia="Calibri" w:cs="Arial"/>
          <w:szCs w:val="20"/>
        </w:rPr>
        <w:t>daje soglasje h ključnim elementom FI;</w:t>
      </w:r>
    </w:p>
    <w:p w14:paraId="2CDAEC12" w14:textId="77777777" w:rsidR="003E3ED9" w:rsidRPr="00830439" w:rsidRDefault="003E3ED9" w:rsidP="003E3ED9">
      <w:pPr>
        <w:numPr>
          <w:ilvl w:val="0"/>
          <w:numId w:val="36"/>
        </w:numPr>
        <w:spacing w:line="240" w:lineRule="atLeast"/>
        <w:contextualSpacing/>
        <w:jc w:val="both"/>
        <w:rPr>
          <w:rFonts w:eastAsia="Calibri" w:cs="Arial"/>
          <w:szCs w:val="20"/>
        </w:rPr>
      </w:pPr>
      <w:r w:rsidRPr="00830439">
        <w:rPr>
          <w:rFonts w:eastAsia="Calibri" w:cs="Arial"/>
          <w:szCs w:val="20"/>
        </w:rPr>
        <w:t>na ravni posamezne investicije poda mnenje o skladnosti investicije s trajnostno urbano strategijo.</w:t>
      </w:r>
    </w:p>
    <w:p w14:paraId="659F4082" w14:textId="77777777" w:rsidR="003E3ED9" w:rsidRPr="00830439" w:rsidRDefault="003E3ED9" w:rsidP="003E3ED9">
      <w:pPr>
        <w:jc w:val="both"/>
        <w:rPr>
          <w:rFonts w:cs="Arial"/>
          <w:szCs w:val="20"/>
        </w:rPr>
      </w:pPr>
      <w:r w:rsidRPr="00830439">
        <w:rPr>
          <w:rFonts w:cs="Arial"/>
          <w:szCs w:val="20"/>
        </w:rPr>
        <w:t>V okviru prve naloge sodeluje z oddelkom PO za FI pri pripravi ključnih elementov FI in poda soglasje h ključnim elementom FI v okviru medresorskega usklajevanja gradiva pred obravnavo na Vladi RS. Za izvajanje druge naloge poda mnenje o skladnosti investicije s trajnostno urbano strategijo, ki je sestavni del vloge za financiranje.</w:t>
      </w:r>
    </w:p>
    <w:p w14:paraId="297AB07E" w14:textId="77777777" w:rsidR="003E3ED9" w:rsidRPr="00830439" w:rsidRDefault="003E3ED9" w:rsidP="003E3ED9">
      <w:pPr>
        <w:jc w:val="both"/>
        <w:rPr>
          <w:rFonts w:cs="Arial"/>
          <w:szCs w:val="20"/>
        </w:rPr>
      </w:pPr>
    </w:p>
    <w:p w14:paraId="62D18F83" w14:textId="77777777" w:rsidR="003E3ED9" w:rsidRPr="00830439" w:rsidRDefault="003E3ED9" w:rsidP="003E3ED9">
      <w:pPr>
        <w:jc w:val="both"/>
        <w:rPr>
          <w:rFonts w:cs="Arial"/>
          <w:szCs w:val="20"/>
        </w:rPr>
      </w:pPr>
      <w:r w:rsidRPr="00830439">
        <w:rPr>
          <w:rFonts w:cs="Arial"/>
          <w:szCs w:val="20"/>
        </w:rPr>
        <w:t>Naloge Usmerjevalnega odbora so opredeljene v Uredbi o porabi sredstev evropske kohezijske politike v Republiki Sloveniji v programskem obdobju 2014-2020 za cilj naložbe za rast in delovna mesta ter so navedene v uvodnem poglavju Ključnih elementov FI. Skladno s to uredbo deluje Usmerjevalni odbor kot posvetovalni organ posredniškega organa, pristojnega za izvajanje finančnih instrumentov, h katerim prispevajo evropski strukturni in investicijski skladi, glede:</w:t>
      </w:r>
    </w:p>
    <w:p w14:paraId="1C7B8835" w14:textId="77777777" w:rsidR="003E3ED9" w:rsidRPr="00830439" w:rsidRDefault="003E3ED9" w:rsidP="003E3ED9">
      <w:pPr>
        <w:numPr>
          <w:ilvl w:val="0"/>
          <w:numId w:val="67"/>
        </w:numPr>
        <w:spacing w:line="240" w:lineRule="atLeast"/>
        <w:contextualSpacing/>
        <w:jc w:val="both"/>
        <w:rPr>
          <w:rFonts w:eastAsia="Calibri" w:cs="Arial"/>
          <w:szCs w:val="20"/>
        </w:rPr>
      </w:pPr>
      <w:r w:rsidRPr="00830439">
        <w:rPr>
          <w:rFonts w:eastAsia="Calibri" w:cs="Arial"/>
          <w:szCs w:val="20"/>
        </w:rPr>
        <w:t>priprave ključnih elementov FI v skladu s predpisi, ki urejajo javne finance,</w:t>
      </w:r>
    </w:p>
    <w:p w14:paraId="4A251725" w14:textId="77777777" w:rsidR="003E3ED9" w:rsidRPr="00830439" w:rsidRDefault="003E3ED9" w:rsidP="003E3ED9">
      <w:pPr>
        <w:numPr>
          <w:ilvl w:val="0"/>
          <w:numId w:val="67"/>
        </w:numPr>
        <w:spacing w:line="240" w:lineRule="atLeast"/>
        <w:contextualSpacing/>
        <w:jc w:val="both"/>
        <w:rPr>
          <w:rFonts w:eastAsia="Calibri" w:cs="Arial"/>
          <w:szCs w:val="20"/>
        </w:rPr>
      </w:pPr>
      <w:r w:rsidRPr="00830439">
        <w:rPr>
          <w:rFonts w:eastAsia="Calibri" w:cs="Arial"/>
          <w:szCs w:val="20"/>
        </w:rPr>
        <w:t>priprave naložbene strategije,</w:t>
      </w:r>
    </w:p>
    <w:p w14:paraId="0BF5C1A2" w14:textId="77777777" w:rsidR="003E3ED9" w:rsidRPr="00830439" w:rsidRDefault="003E3ED9" w:rsidP="003E3ED9">
      <w:pPr>
        <w:numPr>
          <w:ilvl w:val="0"/>
          <w:numId w:val="67"/>
        </w:numPr>
        <w:spacing w:line="240" w:lineRule="atLeast"/>
        <w:contextualSpacing/>
        <w:jc w:val="both"/>
        <w:rPr>
          <w:rFonts w:eastAsia="Calibri" w:cs="Arial"/>
          <w:szCs w:val="20"/>
        </w:rPr>
      </w:pPr>
      <w:r w:rsidRPr="00830439">
        <w:rPr>
          <w:rFonts w:eastAsia="Calibri" w:cs="Arial"/>
          <w:szCs w:val="20"/>
        </w:rPr>
        <w:t>priprave predloga izvedbenega načrta,</w:t>
      </w:r>
    </w:p>
    <w:p w14:paraId="6E12197F" w14:textId="77777777" w:rsidR="003E3ED9" w:rsidRPr="00830439" w:rsidRDefault="003E3ED9" w:rsidP="003E3ED9">
      <w:pPr>
        <w:numPr>
          <w:ilvl w:val="0"/>
          <w:numId w:val="67"/>
        </w:numPr>
        <w:spacing w:line="240" w:lineRule="atLeast"/>
        <w:contextualSpacing/>
        <w:jc w:val="both"/>
        <w:rPr>
          <w:rFonts w:eastAsia="Calibri" w:cs="Arial"/>
          <w:szCs w:val="20"/>
        </w:rPr>
      </w:pPr>
      <w:r w:rsidRPr="00830439">
        <w:rPr>
          <w:rFonts w:eastAsia="Calibri" w:cs="Arial"/>
          <w:szCs w:val="20"/>
        </w:rPr>
        <w:t>priprave predloga za izbor operacij in izvajalca sklada skladov.</w:t>
      </w:r>
    </w:p>
    <w:p w14:paraId="47691F70" w14:textId="77777777" w:rsidR="003E3ED9" w:rsidRPr="00830439" w:rsidRDefault="003E3ED9" w:rsidP="003E3ED9">
      <w:pPr>
        <w:jc w:val="both"/>
        <w:rPr>
          <w:rFonts w:cs="Arial"/>
          <w:szCs w:val="20"/>
        </w:rPr>
      </w:pPr>
      <w:r w:rsidRPr="00830439">
        <w:rPr>
          <w:rFonts w:cs="Arial"/>
          <w:szCs w:val="20"/>
        </w:rPr>
        <w:t>Usmerjevalni odbor spremlja izvajanje FI preko četrtletnih, polletnih in letnih poročil o napredku izvajanja, skladno s cilji OP 2014-2020 in naložbeno strategijo, ter zavzema stališča do doseženih ciljev. Po potrebi izdaja splošna priporočila pristojnemu PO predvsem glede porabe sredstev namenjenih FI, ter obravnava spremembe operacije ter daje priporočila in predloge PO za primer, ko operacija ne dosega zastavljenih ciljev. PO priporočila in predloge preuči in se nanje ustrezno odzove.</w:t>
      </w:r>
    </w:p>
    <w:p w14:paraId="26E7E0BC" w14:textId="77777777" w:rsidR="003E3ED9" w:rsidRPr="002A1F16" w:rsidRDefault="003E3ED9" w:rsidP="003E3ED9">
      <w:pPr>
        <w:spacing w:before="240" w:after="120"/>
        <w:ind w:left="2"/>
        <w:outlineLvl w:val="0"/>
        <w:rPr>
          <w:rFonts w:cs="Arial"/>
          <w:b/>
          <w:color w:val="AACDDB"/>
          <w:szCs w:val="20"/>
        </w:rPr>
      </w:pPr>
      <w:bookmarkStart w:id="30" w:name="_Toc132097825"/>
      <w:r w:rsidRPr="002A1F16">
        <w:rPr>
          <w:rFonts w:cs="Arial"/>
          <w:b/>
          <w:color w:val="AACDDB"/>
          <w:szCs w:val="20"/>
        </w:rPr>
        <w:t>3.2 Načrtovani finančni produkti in ciljne skupine</w:t>
      </w:r>
      <w:bookmarkEnd w:id="30"/>
    </w:p>
    <w:p w14:paraId="28A545FE" w14:textId="77777777" w:rsidR="003E3ED9" w:rsidRPr="00830439" w:rsidRDefault="003E3ED9" w:rsidP="003E3ED9">
      <w:pPr>
        <w:jc w:val="both"/>
        <w:rPr>
          <w:rFonts w:cs="Arial"/>
          <w:szCs w:val="20"/>
        </w:rPr>
      </w:pPr>
      <w:r w:rsidRPr="00830439">
        <w:rPr>
          <w:rFonts w:cs="Arial"/>
          <w:szCs w:val="20"/>
        </w:rPr>
        <w:t>Ob upoštevanju izsledkov Predhodne ocene FI, Analize EIB in potreb na trgu so predlagani naslednji finančni produkti:</w:t>
      </w:r>
    </w:p>
    <w:p w14:paraId="677AF5DE" w14:textId="77777777" w:rsidR="003E3ED9" w:rsidRPr="00830439" w:rsidRDefault="003E3ED9" w:rsidP="003E3ED9">
      <w:pPr>
        <w:jc w:val="both"/>
        <w:rPr>
          <w:rFonts w:cs="Arial"/>
          <w:szCs w:val="20"/>
        </w:rPr>
      </w:pPr>
    </w:p>
    <w:p w14:paraId="73372242" w14:textId="77777777" w:rsidR="003E3ED9" w:rsidRPr="00830439" w:rsidRDefault="003E3ED9" w:rsidP="003E3ED9">
      <w:pPr>
        <w:numPr>
          <w:ilvl w:val="0"/>
          <w:numId w:val="39"/>
        </w:numPr>
        <w:spacing w:line="240" w:lineRule="atLeast"/>
        <w:contextualSpacing/>
        <w:jc w:val="both"/>
        <w:rPr>
          <w:rFonts w:eastAsia="Calibri" w:cs="Arial"/>
          <w:szCs w:val="20"/>
        </w:rPr>
      </w:pPr>
      <w:r w:rsidRPr="00830439">
        <w:rPr>
          <w:rFonts w:eastAsia="Calibri" w:cs="Arial"/>
          <w:szCs w:val="20"/>
        </w:rPr>
        <w:t>Finančni instrument za RRI iz TC 1 vključujejo:</w:t>
      </w:r>
    </w:p>
    <w:p w14:paraId="252A2B4D" w14:textId="77777777" w:rsidR="003E3ED9" w:rsidRPr="00830439" w:rsidRDefault="003E3ED9" w:rsidP="003E3ED9">
      <w:pPr>
        <w:numPr>
          <w:ilvl w:val="0"/>
          <w:numId w:val="37"/>
        </w:numPr>
        <w:spacing w:line="240" w:lineRule="atLeast"/>
        <w:contextualSpacing/>
        <w:jc w:val="both"/>
        <w:rPr>
          <w:rFonts w:eastAsia="Calibri" w:cs="Arial"/>
          <w:szCs w:val="20"/>
        </w:rPr>
      </w:pPr>
      <w:r w:rsidRPr="00830439">
        <w:rPr>
          <w:rFonts w:eastAsia="Calibri" w:cs="Arial"/>
          <w:szCs w:val="20"/>
        </w:rPr>
        <w:t>kredite podjetjem vseh velikosti,</w:t>
      </w:r>
    </w:p>
    <w:p w14:paraId="5DCBDD0C" w14:textId="77777777" w:rsidR="003E3ED9" w:rsidRPr="00830439" w:rsidRDefault="003E3ED9" w:rsidP="003E3ED9">
      <w:pPr>
        <w:numPr>
          <w:ilvl w:val="0"/>
          <w:numId w:val="37"/>
        </w:numPr>
        <w:spacing w:line="240" w:lineRule="atLeast"/>
        <w:contextualSpacing/>
        <w:jc w:val="both"/>
        <w:rPr>
          <w:rFonts w:eastAsia="Calibri" w:cs="Arial"/>
          <w:szCs w:val="20"/>
        </w:rPr>
      </w:pPr>
      <w:proofErr w:type="spellStart"/>
      <w:r w:rsidRPr="00830439">
        <w:rPr>
          <w:rFonts w:eastAsia="Calibri" w:cs="Arial"/>
          <w:szCs w:val="20"/>
        </w:rPr>
        <w:t>portfeljske</w:t>
      </w:r>
      <w:proofErr w:type="spellEnd"/>
      <w:r w:rsidRPr="00830439">
        <w:rPr>
          <w:rFonts w:eastAsia="Calibri" w:cs="Arial"/>
          <w:szCs w:val="20"/>
        </w:rPr>
        <w:t xml:space="preserve"> garancije finančnim institucijam za financiranje RRI v MSP.</w:t>
      </w:r>
    </w:p>
    <w:p w14:paraId="70EBF869" w14:textId="77777777" w:rsidR="003E3ED9" w:rsidRPr="00830439" w:rsidRDefault="003E3ED9" w:rsidP="003E3ED9">
      <w:pPr>
        <w:jc w:val="both"/>
        <w:rPr>
          <w:rFonts w:cs="Arial"/>
          <w:szCs w:val="20"/>
        </w:rPr>
      </w:pPr>
    </w:p>
    <w:p w14:paraId="27A5D94B" w14:textId="77777777" w:rsidR="003E3ED9" w:rsidRPr="00830439" w:rsidRDefault="003E3ED9" w:rsidP="003E3ED9">
      <w:pPr>
        <w:numPr>
          <w:ilvl w:val="0"/>
          <w:numId w:val="39"/>
        </w:numPr>
        <w:spacing w:line="240" w:lineRule="atLeast"/>
        <w:contextualSpacing/>
        <w:jc w:val="both"/>
        <w:rPr>
          <w:rFonts w:eastAsia="Calibri" w:cs="Arial"/>
          <w:szCs w:val="20"/>
        </w:rPr>
      </w:pPr>
      <w:r w:rsidRPr="00830439">
        <w:rPr>
          <w:rFonts w:eastAsia="Calibri" w:cs="Arial"/>
          <w:szCs w:val="20"/>
        </w:rPr>
        <w:t>Finančni instrumenti za MSP iz TC 3 vključujejo:</w:t>
      </w:r>
    </w:p>
    <w:p w14:paraId="208DE38C" w14:textId="77777777" w:rsidR="003E3ED9" w:rsidRPr="00830439" w:rsidRDefault="003E3ED9" w:rsidP="003E3ED9">
      <w:pPr>
        <w:numPr>
          <w:ilvl w:val="0"/>
          <w:numId w:val="38"/>
        </w:numPr>
        <w:spacing w:line="240" w:lineRule="atLeast"/>
        <w:contextualSpacing/>
        <w:jc w:val="both"/>
        <w:rPr>
          <w:rFonts w:eastAsia="Calibri" w:cs="Arial"/>
          <w:szCs w:val="20"/>
        </w:rPr>
      </w:pPr>
      <w:proofErr w:type="spellStart"/>
      <w:r w:rsidRPr="00830439">
        <w:rPr>
          <w:rFonts w:eastAsia="Calibri" w:cs="Arial"/>
          <w:szCs w:val="20"/>
        </w:rPr>
        <w:t>portfeljske</w:t>
      </w:r>
      <w:proofErr w:type="spellEnd"/>
      <w:r w:rsidRPr="00830439">
        <w:rPr>
          <w:rFonts w:eastAsia="Calibri" w:cs="Arial"/>
          <w:szCs w:val="20"/>
        </w:rPr>
        <w:t xml:space="preserve"> garancije finančnim institucijam za financiranje MSP,</w:t>
      </w:r>
    </w:p>
    <w:p w14:paraId="7E5F2867"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 xml:space="preserve">mikrokredite </w:t>
      </w:r>
      <w:proofErr w:type="spellStart"/>
      <w:r w:rsidRPr="00830439">
        <w:rPr>
          <w:rFonts w:eastAsia="Calibri" w:cs="Arial"/>
          <w:szCs w:val="20"/>
        </w:rPr>
        <w:t>mikro</w:t>
      </w:r>
      <w:proofErr w:type="spellEnd"/>
      <w:r w:rsidRPr="00830439">
        <w:rPr>
          <w:rFonts w:eastAsia="Calibri" w:cs="Arial"/>
          <w:szCs w:val="20"/>
        </w:rPr>
        <w:t xml:space="preserve"> in malim podjetjem in samostojnim podjetnikom (do 25.000 EUR),</w:t>
      </w:r>
    </w:p>
    <w:p w14:paraId="239E009D"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 xml:space="preserve">lastniško in/ali </w:t>
      </w:r>
      <w:proofErr w:type="spellStart"/>
      <w:r w:rsidRPr="00830439">
        <w:rPr>
          <w:rFonts w:eastAsia="Calibri" w:cs="Arial"/>
          <w:szCs w:val="20"/>
        </w:rPr>
        <w:t>kvazi</w:t>
      </w:r>
      <w:proofErr w:type="spellEnd"/>
      <w:r w:rsidRPr="00830439">
        <w:rPr>
          <w:rFonts w:eastAsia="Calibri" w:cs="Arial"/>
          <w:szCs w:val="20"/>
        </w:rPr>
        <w:t>-lastniško financiranje MSP.</w:t>
      </w:r>
    </w:p>
    <w:p w14:paraId="7F8A50FC" w14:textId="77777777" w:rsidR="003E3ED9" w:rsidRPr="00830439" w:rsidRDefault="003E3ED9" w:rsidP="003E3ED9">
      <w:pPr>
        <w:jc w:val="both"/>
        <w:rPr>
          <w:rFonts w:cs="Arial"/>
          <w:szCs w:val="20"/>
        </w:rPr>
      </w:pPr>
    </w:p>
    <w:p w14:paraId="7851DE76" w14:textId="77777777" w:rsidR="003E3ED9" w:rsidRPr="00830439" w:rsidRDefault="003E3ED9" w:rsidP="003E3ED9">
      <w:pPr>
        <w:numPr>
          <w:ilvl w:val="0"/>
          <w:numId w:val="39"/>
        </w:numPr>
        <w:spacing w:line="240" w:lineRule="atLeast"/>
        <w:contextualSpacing/>
        <w:jc w:val="both"/>
        <w:rPr>
          <w:rFonts w:eastAsia="Calibri" w:cs="Arial"/>
          <w:szCs w:val="20"/>
        </w:rPr>
      </w:pPr>
      <w:r w:rsidRPr="00830439">
        <w:rPr>
          <w:rFonts w:eastAsia="Calibri" w:cs="Arial"/>
          <w:szCs w:val="20"/>
        </w:rPr>
        <w:t>Finančni instrumenti za energetsko učinkovitost iz TC 4 vključujejo:</w:t>
      </w:r>
    </w:p>
    <w:p w14:paraId="77D04C13"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posojila javnim partnerjem za celovito energetsko prenovo javnih stavb,</w:t>
      </w:r>
    </w:p>
    <w:p w14:paraId="0D0374CF"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posojila ESCO podjetjem za celovito energetsko prenovo javnih stavb,</w:t>
      </w:r>
    </w:p>
    <w:p w14:paraId="58A4DF12"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garancijske sheme,</w:t>
      </w:r>
    </w:p>
    <w:p w14:paraId="480EA662" w14:textId="77777777" w:rsidR="003E3ED9" w:rsidRPr="00830439" w:rsidRDefault="003E3ED9" w:rsidP="003E3ED9">
      <w:pPr>
        <w:numPr>
          <w:ilvl w:val="0"/>
          <w:numId w:val="38"/>
        </w:numPr>
        <w:spacing w:line="240" w:lineRule="atLeast"/>
        <w:contextualSpacing/>
        <w:jc w:val="both"/>
        <w:rPr>
          <w:rFonts w:eastAsia="Calibri" w:cs="Arial"/>
          <w:szCs w:val="20"/>
        </w:rPr>
      </w:pPr>
      <w:r w:rsidRPr="00830439">
        <w:rPr>
          <w:rFonts w:eastAsia="Calibri" w:cs="Arial"/>
          <w:szCs w:val="20"/>
        </w:rPr>
        <w:t>lastniško financiranje.</w:t>
      </w:r>
    </w:p>
    <w:p w14:paraId="7511C634" w14:textId="77777777" w:rsidR="003E3ED9" w:rsidRPr="00830439" w:rsidRDefault="003E3ED9" w:rsidP="003E3ED9">
      <w:pPr>
        <w:jc w:val="both"/>
        <w:rPr>
          <w:rFonts w:cs="Arial"/>
          <w:szCs w:val="20"/>
        </w:rPr>
      </w:pPr>
      <w:r w:rsidRPr="00830439">
        <w:rPr>
          <w:rFonts w:cs="Arial"/>
          <w:szCs w:val="20"/>
        </w:rPr>
        <w:t xml:space="preserve">Po Predhodni oceni finančnih instrumentov v Sloveniji, </w:t>
      </w:r>
      <w:proofErr w:type="spellStart"/>
      <w:r w:rsidRPr="00830439">
        <w:rPr>
          <w:rFonts w:cs="Arial"/>
          <w:szCs w:val="20"/>
        </w:rPr>
        <w:t>PwC</w:t>
      </w:r>
      <w:proofErr w:type="spellEnd"/>
      <w:r w:rsidRPr="00830439">
        <w:rPr>
          <w:rFonts w:cs="Arial"/>
          <w:szCs w:val="20"/>
        </w:rPr>
        <w:t xml:space="preserve"> 2015, so za področje energetske učinkovitosti predvideni vsi našteti finančni produkti. Za samo izvajanje energetskih prenov javnih stavb po EPC modelu (</w:t>
      </w:r>
      <w:proofErr w:type="spellStart"/>
      <w:r w:rsidRPr="00830439">
        <w:rPr>
          <w:rFonts w:cs="Arial"/>
          <w:szCs w:val="20"/>
        </w:rPr>
        <w:t>energy</w:t>
      </w:r>
      <w:proofErr w:type="spellEnd"/>
      <w:r w:rsidRPr="00830439">
        <w:rPr>
          <w:rFonts w:cs="Arial"/>
          <w:szCs w:val="20"/>
        </w:rPr>
        <w:t xml:space="preserve"> </w:t>
      </w:r>
      <w:proofErr w:type="spellStart"/>
      <w:r w:rsidRPr="00830439">
        <w:rPr>
          <w:rFonts w:cs="Arial"/>
          <w:szCs w:val="20"/>
        </w:rPr>
        <w:t>performance</w:t>
      </w:r>
      <w:proofErr w:type="spellEnd"/>
      <w:r w:rsidRPr="00830439">
        <w:rPr>
          <w:rFonts w:cs="Arial"/>
          <w:szCs w:val="20"/>
        </w:rPr>
        <w:t xml:space="preserve"> </w:t>
      </w:r>
      <w:proofErr w:type="spellStart"/>
      <w:r w:rsidRPr="00830439">
        <w:rPr>
          <w:rFonts w:cs="Arial"/>
          <w:szCs w:val="20"/>
        </w:rPr>
        <w:t>contracting</w:t>
      </w:r>
      <w:proofErr w:type="spellEnd"/>
      <w:r w:rsidRPr="00830439">
        <w:rPr>
          <w:rFonts w:cs="Arial"/>
          <w:szCs w:val="20"/>
        </w:rPr>
        <w:t>) se primarno predvideva uporaba finančnega produkta posojil, uporaba ostalih dveh finančnih produktov pa ob upoštevanju omejitev glede javnofinančne stabilnosti.</w:t>
      </w:r>
    </w:p>
    <w:p w14:paraId="45EDB978" w14:textId="77777777" w:rsidR="003E3ED9" w:rsidRPr="00830439" w:rsidRDefault="003E3ED9" w:rsidP="003E3ED9">
      <w:pPr>
        <w:jc w:val="both"/>
        <w:rPr>
          <w:rFonts w:cs="Arial"/>
          <w:szCs w:val="20"/>
        </w:rPr>
      </w:pPr>
    </w:p>
    <w:p w14:paraId="4BF0FEBE" w14:textId="77777777" w:rsidR="003E3ED9" w:rsidRPr="00830439" w:rsidRDefault="003E3ED9" w:rsidP="003E3ED9">
      <w:pPr>
        <w:numPr>
          <w:ilvl w:val="0"/>
          <w:numId w:val="39"/>
        </w:numPr>
        <w:spacing w:line="240" w:lineRule="atLeast"/>
        <w:contextualSpacing/>
        <w:jc w:val="both"/>
        <w:rPr>
          <w:rFonts w:eastAsia="Calibri" w:cs="Arial"/>
          <w:szCs w:val="20"/>
        </w:rPr>
      </w:pPr>
      <w:r w:rsidRPr="00830439">
        <w:rPr>
          <w:rFonts w:eastAsia="Calibri" w:cs="Arial"/>
          <w:szCs w:val="20"/>
        </w:rPr>
        <w:t>Finančni instrument za urbani razvoj iz TC 6 vključujejo:</w:t>
      </w:r>
    </w:p>
    <w:p w14:paraId="7769AA2B" w14:textId="77777777" w:rsidR="003E3ED9" w:rsidRPr="00830439" w:rsidRDefault="003E3ED9" w:rsidP="003E3ED9">
      <w:pPr>
        <w:numPr>
          <w:ilvl w:val="0"/>
          <w:numId w:val="40"/>
        </w:numPr>
        <w:spacing w:line="240" w:lineRule="atLeast"/>
        <w:contextualSpacing/>
        <w:jc w:val="both"/>
        <w:rPr>
          <w:rFonts w:eastAsia="Calibri" w:cs="Arial"/>
          <w:szCs w:val="20"/>
        </w:rPr>
      </w:pPr>
      <w:r w:rsidRPr="00830439">
        <w:rPr>
          <w:rFonts w:eastAsia="Calibri" w:cs="Arial"/>
          <w:szCs w:val="20"/>
        </w:rPr>
        <w:t>posojila za projekte na področju urbanega razvoja.</w:t>
      </w:r>
      <w:r w:rsidRPr="00830439">
        <w:rPr>
          <w:rFonts w:eastAsia="Calibri" w:cs="Arial"/>
          <w:szCs w:val="20"/>
          <w:vertAlign w:val="superscript"/>
        </w:rPr>
        <w:footnoteReference w:id="11"/>
      </w:r>
    </w:p>
    <w:p w14:paraId="2BB22A16" w14:textId="77777777" w:rsidR="003E3ED9" w:rsidRPr="00F60B42" w:rsidRDefault="003E3ED9" w:rsidP="003E3ED9">
      <w:pPr>
        <w:jc w:val="both"/>
        <w:rPr>
          <w:rFonts w:cs="Arial"/>
          <w:szCs w:val="20"/>
        </w:rPr>
      </w:pPr>
      <w:r w:rsidRPr="00F60B42">
        <w:rPr>
          <w:rFonts w:cs="Arial"/>
          <w:szCs w:val="20"/>
        </w:rPr>
        <w:t>Ponudba FI mora biti za končne prejemnike ugodnejša od tržne za ciljno skupino končnih prejemnikov.</w:t>
      </w:r>
    </w:p>
    <w:p w14:paraId="6D054836" w14:textId="77777777" w:rsidR="003E3ED9" w:rsidRPr="00F60B42" w:rsidRDefault="003E3ED9" w:rsidP="003E3ED9">
      <w:pPr>
        <w:jc w:val="both"/>
        <w:rPr>
          <w:rFonts w:cs="Arial"/>
          <w:szCs w:val="20"/>
        </w:rPr>
      </w:pPr>
    </w:p>
    <w:p w14:paraId="7EB01E9F" w14:textId="77777777" w:rsidR="003E3ED9" w:rsidRPr="00830439" w:rsidRDefault="003E3ED9" w:rsidP="003E3ED9">
      <w:pPr>
        <w:jc w:val="both"/>
        <w:rPr>
          <w:rFonts w:cs="Arial"/>
          <w:szCs w:val="20"/>
        </w:rPr>
      </w:pPr>
      <w:r w:rsidRPr="00830439">
        <w:rPr>
          <w:rFonts w:cs="Arial"/>
          <w:szCs w:val="20"/>
        </w:rPr>
        <w:t>Dejanska izvedba, vsebina in pogoji posameznega finančnega produkta so odvisni od razmer na trgu ter učinkovitosti posameznega finančnega produkta in se bo skladno z določbami iz sporazuma o financiranju sproti prilagajala.</w:t>
      </w:r>
    </w:p>
    <w:p w14:paraId="4593C641" w14:textId="77777777" w:rsidR="003E3ED9" w:rsidRPr="00830439" w:rsidRDefault="003E3ED9" w:rsidP="003E3ED9">
      <w:pPr>
        <w:jc w:val="both"/>
        <w:rPr>
          <w:rFonts w:cs="Arial"/>
          <w:szCs w:val="20"/>
        </w:rPr>
      </w:pPr>
    </w:p>
    <w:p w14:paraId="51297544" w14:textId="77777777" w:rsidR="003E3ED9" w:rsidRPr="00F60B42" w:rsidRDefault="003E3ED9" w:rsidP="003E3ED9">
      <w:pPr>
        <w:jc w:val="both"/>
        <w:rPr>
          <w:rFonts w:cs="Arial"/>
          <w:szCs w:val="20"/>
        </w:rPr>
      </w:pPr>
      <w:bookmarkStart w:id="31" w:name="_Toc132097860"/>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9</w:t>
      </w:r>
      <w:r w:rsidRPr="00F60B42">
        <w:rPr>
          <w:rFonts w:cs="Arial"/>
          <w:szCs w:val="20"/>
        </w:rPr>
        <w:fldChar w:fldCharType="end"/>
      </w:r>
      <w:r w:rsidRPr="00830439">
        <w:rPr>
          <w:rFonts w:cs="Arial"/>
          <w:szCs w:val="20"/>
        </w:rPr>
        <w:t>: Finančni produkti in ciljne skupine povzeti po Predhodni oceni FI in Analizi EIB in s strani ministrstev predlagani finančni produkti z višino sredstev in ciljnimi skupinami</w:t>
      </w:r>
      <w:r w:rsidRPr="00830439">
        <w:rPr>
          <w:rFonts w:cs="Arial"/>
          <w:szCs w:val="20"/>
          <w:vertAlign w:val="superscript"/>
        </w:rPr>
        <w:footnoteReference w:id="12"/>
      </w:r>
      <w:r w:rsidRPr="00830439">
        <w:rPr>
          <w:rFonts w:cs="Arial"/>
          <w:szCs w:val="20"/>
        </w:rPr>
        <w:t>:</w:t>
      </w:r>
      <w:bookmarkEnd w:id="31"/>
    </w:p>
    <w:tbl>
      <w:tblPr>
        <w:tblStyle w:val="Tabelamrea"/>
        <w:tblW w:w="4673" w:type="pct"/>
        <w:tblLayout w:type="fixed"/>
        <w:tblLook w:val="04A0" w:firstRow="1" w:lastRow="0" w:firstColumn="1" w:lastColumn="0" w:noHBand="0" w:noVBand="1"/>
      </w:tblPr>
      <w:tblGrid>
        <w:gridCol w:w="797"/>
        <w:gridCol w:w="813"/>
        <w:gridCol w:w="802"/>
        <w:gridCol w:w="846"/>
        <w:gridCol w:w="1039"/>
        <w:gridCol w:w="1180"/>
        <w:gridCol w:w="1214"/>
        <w:gridCol w:w="1242"/>
      </w:tblGrid>
      <w:tr w:rsidR="003E3ED9" w:rsidRPr="00830439" w14:paraId="7D42F978" w14:textId="77777777" w:rsidTr="00E8716B">
        <w:trPr>
          <w:trHeight w:val="770"/>
        </w:trPr>
        <w:tc>
          <w:tcPr>
            <w:tcW w:w="502" w:type="pct"/>
            <w:vAlign w:val="center"/>
          </w:tcPr>
          <w:p w14:paraId="3E84A0B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Področje</w:t>
            </w:r>
          </w:p>
        </w:tc>
        <w:tc>
          <w:tcPr>
            <w:tcW w:w="512" w:type="pct"/>
            <w:vAlign w:val="center"/>
          </w:tcPr>
          <w:p w14:paraId="0117A09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Finančni produkt glede na vrzel financiranja</w:t>
            </w:r>
          </w:p>
        </w:tc>
        <w:tc>
          <w:tcPr>
            <w:tcW w:w="505" w:type="pct"/>
            <w:vAlign w:val="center"/>
          </w:tcPr>
          <w:p w14:paraId="0277CB1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Ugotovljena vrzel financiranja</w:t>
            </w:r>
          </w:p>
          <w:p w14:paraId="48B636B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(v mio EUR)</w:t>
            </w:r>
          </w:p>
        </w:tc>
        <w:tc>
          <w:tcPr>
            <w:tcW w:w="533" w:type="pct"/>
            <w:shd w:val="clear" w:color="auto" w:fill="B9D7E3"/>
            <w:vAlign w:val="center"/>
          </w:tcPr>
          <w:p w14:paraId="115D491B"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Predlagani finančni produkt</w:t>
            </w:r>
          </w:p>
        </w:tc>
        <w:tc>
          <w:tcPr>
            <w:tcW w:w="655" w:type="pct"/>
            <w:shd w:val="clear" w:color="auto" w:fill="auto"/>
            <w:vAlign w:val="center"/>
          </w:tcPr>
          <w:p w14:paraId="42CA5465"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Predvidena višina sredstev glede na Predhodno oceno FI</w:t>
            </w:r>
          </w:p>
        </w:tc>
        <w:tc>
          <w:tcPr>
            <w:tcW w:w="744" w:type="pct"/>
            <w:shd w:val="clear" w:color="auto" w:fill="B9D7E3"/>
            <w:vAlign w:val="center"/>
          </w:tcPr>
          <w:p w14:paraId="67147A6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Predlagana višina sredstev ** / ***</w:t>
            </w:r>
          </w:p>
        </w:tc>
        <w:tc>
          <w:tcPr>
            <w:tcW w:w="765" w:type="pct"/>
            <w:shd w:val="clear" w:color="auto" w:fill="auto"/>
            <w:vAlign w:val="center"/>
          </w:tcPr>
          <w:p w14:paraId="17A7FDB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Ciljna skupina glede na Predhodno oceno FI</w:t>
            </w:r>
          </w:p>
        </w:tc>
        <w:tc>
          <w:tcPr>
            <w:tcW w:w="783" w:type="pct"/>
            <w:shd w:val="clear" w:color="auto" w:fill="B9D7E3"/>
            <w:vAlign w:val="center"/>
          </w:tcPr>
          <w:p w14:paraId="22BBF49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Predlagana</w:t>
            </w:r>
          </w:p>
          <w:p w14:paraId="1FA44DA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ciljna skupina</w:t>
            </w:r>
          </w:p>
        </w:tc>
      </w:tr>
      <w:tr w:rsidR="003E3ED9" w:rsidRPr="00830439" w14:paraId="6BC9CD25" w14:textId="77777777" w:rsidTr="00E8716B">
        <w:trPr>
          <w:trHeight w:val="1405"/>
        </w:trPr>
        <w:tc>
          <w:tcPr>
            <w:tcW w:w="502" w:type="pct"/>
            <w:vMerge w:val="restart"/>
            <w:vAlign w:val="center"/>
          </w:tcPr>
          <w:p w14:paraId="0D696496"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RRI</w:t>
            </w:r>
          </w:p>
        </w:tc>
        <w:tc>
          <w:tcPr>
            <w:tcW w:w="512" w:type="pct"/>
            <w:vAlign w:val="center"/>
          </w:tcPr>
          <w:p w14:paraId="1F4488DD"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w:t>
            </w:r>
          </w:p>
        </w:tc>
        <w:tc>
          <w:tcPr>
            <w:tcW w:w="505" w:type="pct"/>
            <w:vAlign w:val="center"/>
          </w:tcPr>
          <w:p w14:paraId="23434CD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 xml:space="preserve">0 – 247 </w:t>
            </w:r>
          </w:p>
          <w:p w14:paraId="67E8BE88" w14:textId="77777777" w:rsidR="003E3ED9" w:rsidRPr="002A1F16" w:rsidRDefault="003E3ED9" w:rsidP="00E8716B">
            <w:pPr>
              <w:autoSpaceDE w:val="0"/>
              <w:autoSpaceDN w:val="0"/>
              <w:adjustRightInd w:val="0"/>
              <w:rPr>
                <w:rFonts w:eastAsia="Calibri" w:cs="Arial"/>
                <w:color w:val="000000"/>
              </w:rPr>
            </w:pPr>
          </w:p>
        </w:tc>
        <w:tc>
          <w:tcPr>
            <w:tcW w:w="533" w:type="pct"/>
            <w:shd w:val="clear" w:color="auto" w:fill="B9D7E3"/>
            <w:vAlign w:val="center"/>
          </w:tcPr>
          <w:p w14:paraId="66E25819"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w:t>
            </w:r>
          </w:p>
        </w:tc>
        <w:tc>
          <w:tcPr>
            <w:tcW w:w="655" w:type="pct"/>
            <w:shd w:val="clear" w:color="auto" w:fill="auto"/>
            <w:vAlign w:val="center"/>
          </w:tcPr>
          <w:p w14:paraId="145A981E"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20 mio EUR (start up, MSP)</w:t>
            </w:r>
          </w:p>
          <w:p w14:paraId="728A72FD" w14:textId="77777777" w:rsidR="003E3ED9" w:rsidRPr="002A1F16" w:rsidRDefault="003E3ED9" w:rsidP="00E8716B">
            <w:pPr>
              <w:autoSpaceDE w:val="0"/>
              <w:autoSpaceDN w:val="0"/>
              <w:adjustRightInd w:val="0"/>
              <w:rPr>
                <w:rFonts w:eastAsia="Calibri" w:cs="Arial"/>
                <w:color w:val="000000"/>
              </w:rPr>
            </w:pPr>
          </w:p>
          <w:p w14:paraId="446A47AD"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10 mio EUR (VP)</w:t>
            </w:r>
          </w:p>
        </w:tc>
        <w:tc>
          <w:tcPr>
            <w:tcW w:w="744" w:type="pct"/>
            <w:shd w:val="clear" w:color="auto" w:fill="B9D7E3"/>
            <w:vAlign w:val="center"/>
          </w:tcPr>
          <w:p w14:paraId="3C4C83C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45 mio EUR***</w:t>
            </w:r>
          </w:p>
          <w:p w14:paraId="5E6736AA"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(MSP)</w:t>
            </w:r>
          </w:p>
          <w:p w14:paraId="38A8F066" w14:textId="77777777" w:rsidR="003E3ED9" w:rsidRPr="002A1F16" w:rsidRDefault="003E3ED9" w:rsidP="00E8716B">
            <w:pPr>
              <w:autoSpaceDE w:val="0"/>
              <w:autoSpaceDN w:val="0"/>
              <w:adjustRightInd w:val="0"/>
              <w:spacing w:after="120"/>
              <w:rPr>
                <w:rFonts w:eastAsia="Calibri" w:cs="Arial"/>
                <w:color w:val="000000"/>
              </w:rPr>
            </w:pPr>
          </w:p>
          <w:p w14:paraId="441B4E5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23 mio EUR</w:t>
            </w:r>
          </w:p>
          <w:p w14:paraId="669894C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(VP)</w:t>
            </w:r>
          </w:p>
        </w:tc>
        <w:tc>
          <w:tcPr>
            <w:tcW w:w="765" w:type="pct"/>
            <w:shd w:val="clear" w:color="auto" w:fill="auto"/>
            <w:vAlign w:val="center"/>
          </w:tcPr>
          <w:p w14:paraId="068F7859"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Vsa podjetja</w:t>
            </w:r>
          </w:p>
        </w:tc>
        <w:tc>
          <w:tcPr>
            <w:tcW w:w="783" w:type="pct"/>
            <w:shd w:val="clear" w:color="auto" w:fill="B9D7E3"/>
            <w:vAlign w:val="center"/>
          </w:tcPr>
          <w:p w14:paraId="4908A5B4"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Vsa podjetja</w:t>
            </w:r>
          </w:p>
        </w:tc>
      </w:tr>
      <w:tr w:rsidR="003E3ED9" w:rsidRPr="00830439" w14:paraId="15D8946F" w14:textId="77777777" w:rsidTr="00E8716B">
        <w:trPr>
          <w:trHeight w:val="820"/>
        </w:trPr>
        <w:tc>
          <w:tcPr>
            <w:tcW w:w="502" w:type="pct"/>
            <w:vMerge/>
            <w:vAlign w:val="center"/>
          </w:tcPr>
          <w:p w14:paraId="37CFEDB7"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3EDF6743" w14:textId="77777777" w:rsidR="003E3ED9" w:rsidRPr="002A1F16" w:rsidRDefault="003E3ED9" w:rsidP="00E8716B">
            <w:pPr>
              <w:autoSpaceDE w:val="0"/>
              <w:autoSpaceDN w:val="0"/>
              <w:adjustRightInd w:val="0"/>
              <w:rPr>
                <w:rFonts w:eastAsia="Calibri" w:cs="Arial"/>
                <w:color w:val="000000"/>
              </w:rPr>
            </w:pPr>
            <w:proofErr w:type="spellStart"/>
            <w:r w:rsidRPr="002A1F16">
              <w:rPr>
                <w:rFonts w:eastAsia="Calibri" w:cs="Arial"/>
                <w:color w:val="000000"/>
                <w:sz w:val="22"/>
                <w:szCs w:val="22"/>
              </w:rPr>
              <w:t>Portfeljske</w:t>
            </w:r>
            <w:proofErr w:type="spellEnd"/>
            <w:r w:rsidRPr="002A1F16">
              <w:rPr>
                <w:rFonts w:eastAsia="Calibri" w:cs="Arial"/>
                <w:color w:val="000000"/>
                <w:sz w:val="22"/>
                <w:szCs w:val="22"/>
              </w:rPr>
              <w:t xml:space="preserve"> garancije</w:t>
            </w:r>
          </w:p>
        </w:tc>
        <w:tc>
          <w:tcPr>
            <w:tcW w:w="505" w:type="pct"/>
            <w:vAlign w:val="center"/>
          </w:tcPr>
          <w:p w14:paraId="1B8950C1" w14:textId="77777777" w:rsidR="003E3ED9" w:rsidRPr="002A1F16" w:rsidRDefault="003E3ED9" w:rsidP="00E8716B">
            <w:pPr>
              <w:autoSpaceDE w:val="0"/>
              <w:autoSpaceDN w:val="0"/>
              <w:adjustRightInd w:val="0"/>
              <w:rPr>
                <w:rFonts w:eastAsia="Calibri" w:cs="Arial"/>
                <w:bCs/>
                <w:color w:val="000000"/>
              </w:rPr>
            </w:pPr>
          </w:p>
        </w:tc>
        <w:tc>
          <w:tcPr>
            <w:tcW w:w="533" w:type="pct"/>
            <w:shd w:val="clear" w:color="auto" w:fill="B9D7E3"/>
            <w:vAlign w:val="center"/>
          </w:tcPr>
          <w:p w14:paraId="7DEBC6AA" w14:textId="77777777" w:rsidR="003E3ED9" w:rsidRPr="002A1F16" w:rsidRDefault="003E3ED9" w:rsidP="00E8716B">
            <w:pPr>
              <w:autoSpaceDE w:val="0"/>
              <w:autoSpaceDN w:val="0"/>
              <w:adjustRightInd w:val="0"/>
              <w:rPr>
                <w:rFonts w:eastAsia="Calibri" w:cs="Arial"/>
                <w:color w:val="000000"/>
              </w:rPr>
            </w:pPr>
            <w:proofErr w:type="spellStart"/>
            <w:r w:rsidRPr="002A1F16">
              <w:rPr>
                <w:rFonts w:eastAsia="Calibri" w:cs="Arial"/>
                <w:color w:val="000000"/>
                <w:sz w:val="22"/>
                <w:szCs w:val="22"/>
              </w:rPr>
              <w:t>Portfeljske</w:t>
            </w:r>
            <w:proofErr w:type="spellEnd"/>
            <w:r w:rsidRPr="002A1F16">
              <w:rPr>
                <w:rFonts w:eastAsia="Calibri" w:cs="Arial"/>
                <w:color w:val="000000"/>
                <w:sz w:val="22"/>
                <w:szCs w:val="22"/>
              </w:rPr>
              <w:t xml:space="preserve"> garancije</w:t>
            </w:r>
          </w:p>
        </w:tc>
        <w:tc>
          <w:tcPr>
            <w:tcW w:w="655" w:type="pct"/>
            <w:shd w:val="clear" w:color="auto" w:fill="auto"/>
            <w:vAlign w:val="center"/>
          </w:tcPr>
          <w:p w14:paraId="59315DB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58 mio EUR (MSP)</w:t>
            </w:r>
          </w:p>
          <w:p w14:paraId="55E44BE8" w14:textId="77777777" w:rsidR="003E3ED9" w:rsidRPr="002A1F16" w:rsidRDefault="003E3ED9" w:rsidP="00E8716B">
            <w:pPr>
              <w:autoSpaceDE w:val="0"/>
              <w:autoSpaceDN w:val="0"/>
              <w:adjustRightInd w:val="0"/>
              <w:rPr>
                <w:rFonts w:eastAsia="Calibri" w:cs="Arial"/>
                <w:color w:val="000000"/>
              </w:rPr>
            </w:pPr>
          </w:p>
          <w:p w14:paraId="3240DFBE"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30 mio EUR (VP)</w:t>
            </w:r>
          </w:p>
        </w:tc>
        <w:tc>
          <w:tcPr>
            <w:tcW w:w="744" w:type="pct"/>
            <w:shd w:val="clear" w:color="auto" w:fill="B9D7E3"/>
            <w:vAlign w:val="center"/>
          </w:tcPr>
          <w:p w14:paraId="7DD45B67"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20 mio EUR***</w:t>
            </w:r>
          </w:p>
          <w:p w14:paraId="56C38763"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(MSP)</w:t>
            </w:r>
            <w:r w:rsidRPr="002A1F16" w:rsidDel="00FE62E8">
              <w:rPr>
                <w:rFonts w:eastAsia="Calibri" w:cs="Arial"/>
                <w:color w:val="000000"/>
                <w:sz w:val="22"/>
                <w:szCs w:val="22"/>
              </w:rPr>
              <w:t xml:space="preserve"> </w:t>
            </w:r>
          </w:p>
        </w:tc>
        <w:tc>
          <w:tcPr>
            <w:tcW w:w="765" w:type="pct"/>
            <w:shd w:val="clear" w:color="auto" w:fill="auto"/>
            <w:vAlign w:val="center"/>
          </w:tcPr>
          <w:p w14:paraId="262DBC4E"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Vsa podjetja</w:t>
            </w:r>
          </w:p>
        </w:tc>
        <w:tc>
          <w:tcPr>
            <w:tcW w:w="783" w:type="pct"/>
            <w:shd w:val="clear" w:color="auto" w:fill="B9D7E3"/>
            <w:vAlign w:val="center"/>
          </w:tcPr>
          <w:p w14:paraId="439DBFEC" w14:textId="77777777" w:rsidR="003E3ED9" w:rsidRPr="002A1F16" w:rsidRDefault="003E3ED9" w:rsidP="00E8716B">
            <w:pPr>
              <w:autoSpaceDE w:val="0"/>
              <w:autoSpaceDN w:val="0"/>
              <w:adjustRightInd w:val="0"/>
              <w:spacing w:after="120"/>
              <w:rPr>
                <w:rFonts w:eastAsia="Calibri" w:cs="Arial"/>
                <w:color w:val="000000"/>
              </w:rPr>
            </w:pPr>
            <w:r w:rsidRPr="002A1F16">
              <w:rPr>
                <w:rFonts w:eastAsia="Calibri" w:cs="Arial"/>
                <w:color w:val="000000"/>
                <w:sz w:val="22"/>
                <w:szCs w:val="22"/>
              </w:rPr>
              <w:t>MSP</w:t>
            </w:r>
          </w:p>
        </w:tc>
      </w:tr>
      <w:tr w:rsidR="003E3ED9" w:rsidRPr="00830439" w14:paraId="45D29778" w14:textId="77777777" w:rsidTr="00E8716B">
        <w:trPr>
          <w:trHeight w:val="383"/>
        </w:trPr>
        <w:tc>
          <w:tcPr>
            <w:tcW w:w="502" w:type="pct"/>
            <w:vMerge/>
            <w:vAlign w:val="center"/>
          </w:tcPr>
          <w:p w14:paraId="30C315AE" w14:textId="77777777" w:rsidR="003E3ED9" w:rsidRPr="002A1F16" w:rsidRDefault="003E3ED9" w:rsidP="00E8716B">
            <w:pPr>
              <w:autoSpaceDE w:val="0"/>
              <w:autoSpaceDN w:val="0"/>
              <w:adjustRightInd w:val="0"/>
              <w:rPr>
                <w:rFonts w:eastAsia="Calibri" w:cs="Arial"/>
                <w:color w:val="000000"/>
              </w:rPr>
            </w:pPr>
          </w:p>
        </w:tc>
        <w:tc>
          <w:tcPr>
            <w:tcW w:w="512" w:type="pct"/>
            <w:shd w:val="clear" w:color="auto" w:fill="auto"/>
            <w:vAlign w:val="center"/>
          </w:tcPr>
          <w:p w14:paraId="4723864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Lastniško financiranje</w:t>
            </w:r>
          </w:p>
        </w:tc>
        <w:tc>
          <w:tcPr>
            <w:tcW w:w="505" w:type="pct"/>
            <w:shd w:val="clear" w:color="auto" w:fill="auto"/>
            <w:vAlign w:val="center"/>
          </w:tcPr>
          <w:p w14:paraId="38E267D8" w14:textId="77777777" w:rsidR="003E3ED9" w:rsidRPr="002A1F16" w:rsidRDefault="003E3ED9" w:rsidP="00E8716B">
            <w:pPr>
              <w:autoSpaceDE w:val="0"/>
              <w:autoSpaceDN w:val="0"/>
              <w:adjustRightInd w:val="0"/>
              <w:rPr>
                <w:rFonts w:eastAsia="Calibri" w:cs="Arial"/>
                <w:bCs/>
                <w:color w:val="000000"/>
              </w:rPr>
            </w:pPr>
          </w:p>
        </w:tc>
        <w:tc>
          <w:tcPr>
            <w:tcW w:w="533" w:type="pct"/>
            <w:shd w:val="clear" w:color="auto" w:fill="B9D7E3"/>
            <w:vAlign w:val="center"/>
          </w:tcPr>
          <w:p w14:paraId="60B6A97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Lastniško financiranje, </w:t>
            </w:r>
            <w:proofErr w:type="spellStart"/>
            <w:r w:rsidRPr="002A1F16">
              <w:rPr>
                <w:rFonts w:eastAsia="Calibri" w:cs="Arial"/>
                <w:color w:val="000000"/>
                <w:sz w:val="22"/>
                <w:szCs w:val="22"/>
              </w:rPr>
              <w:t>kvazi</w:t>
            </w:r>
            <w:proofErr w:type="spellEnd"/>
            <w:r w:rsidRPr="002A1F16">
              <w:rPr>
                <w:rFonts w:eastAsia="Calibri" w:cs="Arial"/>
                <w:color w:val="000000"/>
                <w:sz w:val="22"/>
                <w:szCs w:val="22"/>
              </w:rPr>
              <w:t>-lastniško financiranje</w:t>
            </w:r>
          </w:p>
        </w:tc>
        <w:tc>
          <w:tcPr>
            <w:tcW w:w="655" w:type="pct"/>
            <w:shd w:val="clear" w:color="auto" w:fill="auto"/>
            <w:vAlign w:val="center"/>
          </w:tcPr>
          <w:p w14:paraId="5A8F94C4"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10 mio EUR VP</w:t>
            </w:r>
          </w:p>
        </w:tc>
        <w:tc>
          <w:tcPr>
            <w:tcW w:w="744" w:type="pct"/>
            <w:shd w:val="clear" w:color="auto" w:fill="B9D7E3"/>
            <w:vAlign w:val="center"/>
          </w:tcPr>
          <w:p w14:paraId="514B03E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w:t>
            </w:r>
          </w:p>
        </w:tc>
        <w:tc>
          <w:tcPr>
            <w:tcW w:w="765" w:type="pct"/>
            <w:shd w:val="clear" w:color="auto" w:fill="auto"/>
            <w:vAlign w:val="center"/>
          </w:tcPr>
          <w:p w14:paraId="45E2D4C5"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Velika podjetja</w:t>
            </w:r>
          </w:p>
        </w:tc>
        <w:tc>
          <w:tcPr>
            <w:tcW w:w="783" w:type="pct"/>
            <w:shd w:val="clear" w:color="auto" w:fill="B9D7E3"/>
            <w:vAlign w:val="center"/>
          </w:tcPr>
          <w:p w14:paraId="2A096774"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w:t>
            </w:r>
          </w:p>
        </w:tc>
      </w:tr>
      <w:tr w:rsidR="003E3ED9" w:rsidRPr="00830439" w14:paraId="1E28EAF2" w14:textId="77777777" w:rsidTr="00E8716B">
        <w:trPr>
          <w:trHeight w:val="383"/>
        </w:trPr>
        <w:tc>
          <w:tcPr>
            <w:tcW w:w="502" w:type="pct"/>
            <w:vMerge w:val="restart"/>
            <w:vAlign w:val="center"/>
          </w:tcPr>
          <w:p w14:paraId="3B09B7A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c>
          <w:tcPr>
            <w:tcW w:w="512" w:type="pct"/>
            <w:vAlign w:val="center"/>
          </w:tcPr>
          <w:p w14:paraId="7ED65794"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Mikrokrediti</w:t>
            </w:r>
          </w:p>
        </w:tc>
        <w:tc>
          <w:tcPr>
            <w:tcW w:w="505" w:type="pct"/>
            <w:vAlign w:val="center"/>
          </w:tcPr>
          <w:p w14:paraId="7FEABC87"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1138 – 1260</w:t>
            </w:r>
          </w:p>
          <w:p w14:paraId="6B4F794E" w14:textId="77777777" w:rsidR="003E3ED9" w:rsidRPr="002A1F16" w:rsidRDefault="003E3ED9" w:rsidP="00E8716B">
            <w:pPr>
              <w:autoSpaceDE w:val="0"/>
              <w:autoSpaceDN w:val="0"/>
              <w:adjustRightInd w:val="0"/>
              <w:rPr>
                <w:rFonts w:eastAsia="Calibri" w:cs="Arial"/>
                <w:color w:val="000000"/>
              </w:rPr>
            </w:pPr>
          </w:p>
        </w:tc>
        <w:tc>
          <w:tcPr>
            <w:tcW w:w="533" w:type="pct"/>
            <w:shd w:val="clear" w:color="auto" w:fill="B9D7E3"/>
            <w:vAlign w:val="center"/>
          </w:tcPr>
          <w:p w14:paraId="62EDA5B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Mikrokrediti za </w:t>
            </w:r>
            <w:proofErr w:type="spellStart"/>
            <w:r w:rsidRPr="002A1F16">
              <w:rPr>
                <w:rFonts w:eastAsia="Calibri" w:cs="Arial"/>
                <w:color w:val="000000"/>
                <w:sz w:val="22"/>
                <w:szCs w:val="22"/>
              </w:rPr>
              <w:t>mikro</w:t>
            </w:r>
            <w:proofErr w:type="spellEnd"/>
            <w:r w:rsidRPr="002A1F16">
              <w:rPr>
                <w:rFonts w:eastAsia="Calibri" w:cs="Arial"/>
                <w:color w:val="000000"/>
                <w:sz w:val="22"/>
                <w:szCs w:val="22"/>
              </w:rPr>
              <w:t xml:space="preserve"> in mala podjetja</w:t>
            </w:r>
          </w:p>
        </w:tc>
        <w:tc>
          <w:tcPr>
            <w:tcW w:w="655" w:type="pct"/>
            <w:shd w:val="clear" w:color="auto" w:fill="auto"/>
            <w:vAlign w:val="center"/>
          </w:tcPr>
          <w:p w14:paraId="51FA309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79 mio EUR</w:t>
            </w:r>
          </w:p>
        </w:tc>
        <w:tc>
          <w:tcPr>
            <w:tcW w:w="744" w:type="pct"/>
            <w:shd w:val="clear" w:color="auto" w:fill="B9D7E3"/>
            <w:vAlign w:val="center"/>
          </w:tcPr>
          <w:p w14:paraId="06281BE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60 mio EUR***</w:t>
            </w:r>
          </w:p>
        </w:tc>
        <w:tc>
          <w:tcPr>
            <w:tcW w:w="765" w:type="pct"/>
            <w:shd w:val="clear" w:color="auto" w:fill="auto"/>
            <w:vAlign w:val="center"/>
          </w:tcPr>
          <w:p w14:paraId="4BC25197"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c>
          <w:tcPr>
            <w:tcW w:w="783" w:type="pct"/>
            <w:shd w:val="clear" w:color="auto" w:fill="B9D7E3"/>
            <w:vAlign w:val="center"/>
          </w:tcPr>
          <w:p w14:paraId="78C0F94D" w14:textId="77777777" w:rsidR="003E3ED9" w:rsidRPr="002A1F16" w:rsidRDefault="003E3ED9" w:rsidP="00E8716B">
            <w:pPr>
              <w:autoSpaceDE w:val="0"/>
              <w:autoSpaceDN w:val="0"/>
              <w:adjustRightInd w:val="0"/>
              <w:rPr>
                <w:rFonts w:eastAsia="Calibri" w:cs="Arial"/>
                <w:color w:val="000000"/>
              </w:rPr>
            </w:pPr>
            <w:proofErr w:type="spellStart"/>
            <w:r w:rsidRPr="002A1F16">
              <w:rPr>
                <w:rFonts w:eastAsia="Calibri" w:cs="Arial"/>
                <w:color w:val="000000"/>
                <w:sz w:val="22"/>
                <w:szCs w:val="22"/>
              </w:rPr>
              <w:t>mikro</w:t>
            </w:r>
            <w:proofErr w:type="spellEnd"/>
            <w:r w:rsidRPr="002A1F16">
              <w:rPr>
                <w:rFonts w:eastAsia="Calibri" w:cs="Arial"/>
                <w:color w:val="000000"/>
                <w:sz w:val="22"/>
                <w:szCs w:val="22"/>
              </w:rPr>
              <w:t xml:space="preserve"> in mala podjetja in samostojni podjetniki</w:t>
            </w:r>
          </w:p>
        </w:tc>
      </w:tr>
      <w:tr w:rsidR="003E3ED9" w:rsidRPr="00830439" w14:paraId="363A6B7A" w14:textId="77777777" w:rsidTr="00E8716B">
        <w:trPr>
          <w:trHeight w:val="396"/>
        </w:trPr>
        <w:tc>
          <w:tcPr>
            <w:tcW w:w="502" w:type="pct"/>
            <w:vMerge/>
            <w:vAlign w:val="center"/>
          </w:tcPr>
          <w:p w14:paraId="22CA1604"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3DBB5199"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Kratkoročna </w:t>
            </w:r>
            <w:r w:rsidRPr="002A1F16">
              <w:rPr>
                <w:rFonts w:eastAsia="Calibri" w:cs="Arial"/>
                <w:color w:val="000000"/>
                <w:sz w:val="22"/>
                <w:szCs w:val="22"/>
              </w:rPr>
              <w:lastRenderedPageBreak/>
              <w:t>posojila</w:t>
            </w:r>
          </w:p>
        </w:tc>
        <w:tc>
          <w:tcPr>
            <w:tcW w:w="505" w:type="pct"/>
            <w:vAlign w:val="center"/>
          </w:tcPr>
          <w:p w14:paraId="5636329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lastRenderedPageBreak/>
              <w:t>730 – 807</w:t>
            </w:r>
          </w:p>
          <w:p w14:paraId="7840E802" w14:textId="77777777" w:rsidR="003E3ED9" w:rsidRPr="002A1F16" w:rsidRDefault="003E3ED9" w:rsidP="00E8716B">
            <w:pPr>
              <w:autoSpaceDE w:val="0"/>
              <w:autoSpaceDN w:val="0"/>
              <w:adjustRightInd w:val="0"/>
              <w:rPr>
                <w:rFonts w:eastAsia="Calibri" w:cs="Arial"/>
                <w:color w:val="000000"/>
              </w:rPr>
            </w:pPr>
          </w:p>
        </w:tc>
        <w:tc>
          <w:tcPr>
            <w:tcW w:w="533" w:type="pct"/>
            <w:vMerge w:val="restart"/>
            <w:shd w:val="clear" w:color="auto" w:fill="B9D7E3"/>
            <w:vAlign w:val="center"/>
          </w:tcPr>
          <w:p w14:paraId="6D11844B" w14:textId="77777777" w:rsidR="003E3ED9" w:rsidRPr="002A1F16" w:rsidRDefault="003E3ED9" w:rsidP="00E8716B">
            <w:pPr>
              <w:autoSpaceDE w:val="0"/>
              <w:autoSpaceDN w:val="0"/>
              <w:adjustRightInd w:val="0"/>
              <w:rPr>
                <w:rFonts w:eastAsia="Calibri" w:cs="Arial"/>
                <w:color w:val="000000"/>
              </w:rPr>
            </w:pPr>
            <w:proofErr w:type="spellStart"/>
            <w:r w:rsidRPr="002A1F16">
              <w:rPr>
                <w:rFonts w:eastAsia="Calibri" w:cs="Arial"/>
                <w:color w:val="000000"/>
                <w:sz w:val="22"/>
                <w:szCs w:val="22"/>
              </w:rPr>
              <w:t>Portfeljske</w:t>
            </w:r>
            <w:proofErr w:type="spellEnd"/>
            <w:r w:rsidRPr="002A1F16">
              <w:rPr>
                <w:rFonts w:eastAsia="Calibri" w:cs="Arial"/>
                <w:color w:val="000000"/>
                <w:sz w:val="22"/>
                <w:szCs w:val="22"/>
              </w:rPr>
              <w:t xml:space="preserve"> garan</w:t>
            </w:r>
            <w:r w:rsidRPr="002A1F16">
              <w:rPr>
                <w:rFonts w:eastAsia="Calibri" w:cs="Arial"/>
                <w:color w:val="000000"/>
                <w:sz w:val="22"/>
                <w:szCs w:val="22"/>
              </w:rPr>
              <w:lastRenderedPageBreak/>
              <w:t xml:space="preserve">cije, vključno z </w:t>
            </w:r>
            <w:proofErr w:type="spellStart"/>
            <w:r w:rsidRPr="002A1F16">
              <w:rPr>
                <w:rFonts w:eastAsia="Calibri" w:cs="Arial"/>
                <w:color w:val="000000"/>
                <w:sz w:val="22"/>
                <w:szCs w:val="22"/>
              </w:rPr>
              <w:t>mikrogarancijami</w:t>
            </w:r>
            <w:proofErr w:type="spellEnd"/>
          </w:p>
        </w:tc>
        <w:tc>
          <w:tcPr>
            <w:tcW w:w="655" w:type="pct"/>
            <w:vMerge w:val="restart"/>
            <w:shd w:val="clear" w:color="auto" w:fill="auto"/>
            <w:vAlign w:val="center"/>
          </w:tcPr>
          <w:p w14:paraId="540D1CEB"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lastRenderedPageBreak/>
              <w:t>96 mio EUR (MSP)</w:t>
            </w:r>
          </w:p>
          <w:p w14:paraId="161B3DF6"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lastRenderedPageBreak/>
              <w:t>60 mio EUR (snovna in energetska učinkovitost)</w:t>
            </w:r>
            <w:r>
              <w:rPr>
                <w:rFonts w:eastAsia="Calibri" w:cs="Arial"/>
                <w:color w:val="000000"/>
                <w:sz w:val="22"/>
                <w:szCs w:val="22"/>
              </w:rPr>
              <w:t>****</w:t>
            </w:r>
          </w:p>
        </w:tc>
        <w:tc>
          <w:tcPr>
            <w:tcW w:w="744" w:type="pct"/>
            <w:shd w:val="clear" w:color="auto" w:fill="B9D7E3"/>
            <w:vAlign w:val="center"/>
          </w:tcPr>
          <w:p w14:paraId="2E24D0F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lastRenderedPageBreak/>
              <w:t>40 mio EUR</w:t>
            </w:r>
          </w:p>
        </w:tc>
        <w:tc>
          <w:tcPr>
            <w:tcW w:w="765" w:type="pct"/>
            <w:shd w:val="clear" w:color="auto" w:fill="auto"/>
            <w:vAlign w:val="center"/>
          </w:tcPr>
          <w:p w14:paraId="55729D2E"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c>
          <w:tcPr>
            <w:tcW w:w="783" w:type="pct"/>
            <w:shd w:val="clear" w:color="auto" w:fill="B9D7E3"/>
            <w:vAlign w:val="center"/>
          </w:tcPr>
          <w:p w14:paraId="2904BFA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r>
      <w:tr w:rsidR="003E3ED9" w:rsidRPr="00830439" w14:paraId="1DBB6458" w14:textId="77777777" w:rsidTr="00E8716B">
        <w:trPr>
          <w:trHeight w:val="750"/>
        </w:trPr>
        <w:tc>
          <w:tcPr>
            <w:tcW w:w="502" w:type="pct"/>
            <w:vMerge/>
            <w:vAlign w:val="center"/>
          </w:tcPr>
          <w:p w14:paraId="7A39E50F"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1A156411"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Srednje in dolgoročna posojila</w:t>
            </w:r>
          </w:p>
        </w:tc>
        <w:tc>
          <w:tcPr>
            <w:tcW w:w="505" w:type="pct"/>
            <w:vAlign w:val="center"/>
          </w:tcPr>
          <w:p w14:paraId="41AC9E24"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1196 – 1322</w:t>
            </w:r>
          </w:p>
          <w:p w14:paraId="163BAD3D" w14:textId="77777777" w:rsidR="003E3ED9" w:rsidRPr="002A1F16" w:rsidRDefault="003E3ED9" w:rsidP="00E8716B">
            <w:pPr>
              <w:autoSpaceDE w:val="0"/>
              <w:autoSpaceDN w:val="0"/>
              <w:adjustRightInd w:val="0"/>
              <w:rPr>
                <w:rFonts w:eastAsia="Calibri" w:cs="Arial"/>
                <w:color w:val="000000"/>
              </w:rPr>
            </w:pPr>
          </w:p>
        </w:tc>
        <w:tc>
          <w:tcPr>
            <w:tcW w:w="533" w:type="pct"/>
            <w:vMerge/>
            <w:shd w:val="clear" w:color="auto" w:fill="B9D7E3"/>
            <w:vAlign w:val="center"/>
          </w:tcPr>
          <w:p w14:paraId="0A71AEB1" w14:textId="77777777" w:rsidR="003E3ED9" w:rsidRPr="002A1F16" w:rsidRDefault="003E3ED9" w:rsidP="00E8716B">
            <w:pPr>
              <w:autoSpaceDE w:val="0"/>
              <w:autoSpaceDN w:val="0"/>
              <w:adjustRightInd w:val="0"/>
              <w:rPr>
                <w:rFonts w:eastAsia="Calibri" w:cs="Arial"/>
                <w:color w:val="000000"/>
              </w:rPr>
            </w:pPr>
          </w:p>
        </w:tc>
        <w:tc>
          <w:tcPr>
            <w:tcW w:w="655" w:type="pct"/>
            <w:vMerge/>
            <w:shd w:val="clear" w:color="auto" w:fill="auto"/>
            <w:vAlign w:val="center"/>
          </w:tcPr>
          <w:p w14:paraId="46477240" w14:textId="77777777" w:rsidR="003E3ED9" w:rsidRPr="002A1F16" w:rsidRDefault="003E3ED9" w:rsidP="00E8716B">
            <w:pPr>
              <w:autoSpaceDE w:val="0"/>
              <w:autoSpaceDN w:val="0"/>
              <w:adjustRightInd w:val="0"/>
              <w:rPr>
                <w:rFonts w:eastAsia="Calibri" w:cs="Arial"/>
                <w:color w:val="000000"/>
                <w:highlight w:val="yellow"/>
              </w:rPr>
            </w:pPr>
          </w:p>
        </w:tc>
        <w:tc>
          <w:tcPr>
            <w:tcW w:w="744" w:type="pct"/>
            <w:shd w:val="clear" w:color="auto" w:fill="B9D7E3"/>
            <w:vAlign w:val="center"/>
          </w:tcPr>
          <w:p w14:paraId="3DF6D2B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25 mio EUR (snovna in energetska učinkovitost)</w:t>
            </w:r>
            <w:r>
              <w:rPr>
                <w:rFonts w:eastAsia="Calibri" w:cs="Arial"/>
                <w:color w:val="000000"/>
                <w:sz w:val="22"/>
                <w:szCs w:val="22"/>
              </w:rPr>
              <w:t>****</w:t>
            </w:r>
          </w:p>
        </w:tc>
        <w:tc>
          <w:tcPr>
            <w:tcW w:w="765" w:type="pct"/>
            <w:shd w:val="clear" w:color="auto" w:fill="auto"/>
            <w:vAlign w:val="center"/>
          </w:tcPr>
          <w:p w14:paraId="40FDE18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c>
          <w:tcPr>
            <w:tcW w:w="783" w:type="pct"/>
            <w:shd w:val="clear" w:color="auto" w:fill="B9D7E3"/>
            <w:vAlign w:val="center"/>
          </w:tcPr>
          <w:p w14:paraId="66C1392D"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MSP</w:t>
            </w:r>
          </w:p>
        </w:tc>
      </w:tr>
      <w:tr w:rsidR="003E3ED9" w:rsidRPr="00830439" w14:paraId="4A22F164" w14:textId="77777777" w:rsidTr="00E8716B">
        <w:trPr>
          <w:trHeight w:val="584"/>
        </w:trPr>
        <w:tc>
          <w:tcPr>
            <w:tcW w:w="502" w:type="pct"/>
            <w:vMerge/>
            <w:vAlign w:val="center"/>
          </w:tcPr>
          <w:p w14:paraId="39053426"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17AE67C7"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Lastniško financiranje</w:t>
            </w:r>
          </w:p>
        </w:tc>
        <w:tc>
          <w:tcPr>
            <w:tcW w:w="505" w:type="pct"/>
            <w:vAlign w:val="center"/>
          </w:tcPr>
          <w:p w14:paraId="18D00C3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14 – 92</w:t>
            </w:r>
          </w:p>
          <w:p w14:paraId="007097E9" w14:textId="77777777" w:rsidR="003E3ED9" w:rsidRPr="002A1F16" w:rsidRDefault="003E3ED9" w:rsidP="00E8716B">
            <w:pPr>
              <w:autoSpaceDE w:val="0"/>
              <w:autoSpaceDN w:val="0"/>
              <w:adjustRightInd w:val="0"/>
              <w:rPr>
                <w:rFonts w:eastAsia="Calibri" w:cs="Arial"/>
                <w:color w:val="000000"/>
              </w:rPr>
            </w:pPr>
          </w:p>
        </w:tc>
        <w:tc>
          <w:tcPr>
            <w:tcW w:w="533" w:type="pct"/>
            <w:shd w:val="clear" w:color="auto" w:fill="B9D7E3"/>
            <w:vAlign w:val="center"/>
          </w:tcPr>
          <w:p w14:paraId="7A806C87"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Lastniško financiranje, </w:t>
            </w:r>
            <w:proofErr w:type="spellStart"/>
            <w:r w:rsidRPr="002A1F16">
              <w:rPr>
                <w:rFonts w:eastAsia="Calibri" w:cs="Arial"/>
                <w:color w:val="000000"/>
                <w:sz w:val="22"/>
                <w:szCs w:val="22"/>
              </w:rPr>
              <w:t>kvazi</w:t>
            </w:r>
            <w:proofErr w:type="spellEnd"/>
            <w:r w:rsidRPr="002A1F16">
              <w:rPr>
                <w:rFonts w:eastAsia="Calibri" w:cs="Arial"/>
                <w:color w:val="000000"/>
                <w:sz w:val="22"/>
                <w:szCs w:val="22"/>
              </w:rPr>
              <w:t>-lastniško financiranje</w:t>
            </w:r>
          </w:p>
        </w:tc>
        <w:tc>
          <w:tcPr>
            <w:tcW w:w="655" w:type="pct"/>
            <w:shd w:val="clear" w:color="auto" w:fill="auto"/>
            <w:vAlign w:val="center"/>
          </w:tcPr>
          <w:p w14:paraId="2BD081AA" w14:textId="77777777" w:rsidR="003E3ED9" w:rsidRPr="002A1F16" w:rsidRDefault="003E3ED9" w:rsidP="00E8716B">
            <w:pPr>
              <w:autoSpaceDE w:val="0"/>
              <w:autoSpaceDN w:val="0"/>
              <w:adjustRightInd w:val="0"/>
              <w:rPr>
                <w:rFonts w:eastAsia="Calibri" w:cs="Arial"/>
              </w:rPr>
            </w:pPr>
            <w:r w:rsidRPr="002A1F16">
              <w:rPr>
                <w:rFonts w:eastAsia="Calibri" w:cs="Arial"/>
                <w:sz w:val="22"/>
                <w:szCs w:val="22"/>
              </w:rPr>
              <w:t>20 mio EUR (MSP)</w:t>
            </w:r>
          </w:p>
        </w:tc>
        <w:tc>
          <w:tcPr>
            <w:tcW w:w="744" w:type="pct"/>
            <w:shd w:val="clear" w:color="auto" w:fill="B9D7E3"/>
            <w:vAlign w:val="center"/>
          </w:tcPr>
          <w:p w14:paraId="790B171E" w14:textId="77777777" w:rsidR="003E3ED9" w:rsidRPr="002A1F16" w:rsidRDefault="003E3ED9" w:rsidP="00E8716B">
            <w:pPr>
              <w:autoSpaceDE w:val="0"/>
              <w:autoSpaceDN w:val="0"/>
              <w:adjustRightInd w:val="0"/>
              <w:rPr>
                <w:rFonts w:eastAsia="Calibri" w:cs="Arial"/>
              </w:rPr>
            </w:pPr>
            <w:r w:rsidRPr="002A1F16">
              <w:rPr>
                <w:rFonts w:eastAsia="Calibri" w:cs="Arial"/>
                <w:sz w:val="22"/>
                <w:szCs w:val="22"/>
              </w:rPr>
              <w:t>10 mio EUR***</w:t>
            </w:r>
          </w:p>
        </w:tc>
        <w:tc>
          <w:tcPr>
            <w:tcW w:w="765" w:type="pct"/>
            <w:shd w:val="clear" w:color="auto" w:fill="auto"/>
            <w:vAlign w:val="center"/>
          </w:tcPr>
          <w:p w14:paraId="3982DB3A" w14:textId="77777777" w:rsidR="003E3ED9" w:rsidRPr="002A1F16" w:rsidRDefault="003E3ED9" w:rsidP="00E8716B">
            <w:pPr>
              <w:autoSpaceDE w:val="0"/>
              <w:autoSpaceDN w:val="0"/>
              <w:adjustRightInd w:val="0"/>
              <w:rPr>
                <w:rFonts w:eastAsia="Calibri" w:cs="Arial"/>
              </w:rPr>
            </w:pPr>
            <w:r w:rsidRPr="002A1F16">
              <w:rPr>
                <w:rFonts w:eastAsia="Calibri" w:cs="Arial"/>
                <w:sz w:val="22"/>
                <w:szCs w:val="22"/>
              </w:rPr>
              <w:t>MSP</w:t>
            </w:r>
          </w:p>
        </w:tc>
        <w:tc>
          <w:tcPr>
            <w:tcW w:w="783" w:type="pct"/>
            <w:shd w:val="clear" w:color="auto" w:fill="B9D7E3"/>
            <w:vAlign w:val="center"/>
          </w:tcPr>
          <w:p w14:paraId="6C210753" w14:textId="77777777" w:rsidR="003E3ED9" w:rsidRPr="002A1F16" w:rsidRDefault="003E3ED9" w:rsidP="00E8716B">
            <w:pPr>
              <w:autoSpaceDE w:val="0"/>
              <w:autoSpaceDN w:val="0"/>
              <w:adjustRightInd w:val="0"/>
              <w:rPr>
                <w:rFonts w:eastAsia="Calibri" w:cs="Arial"/>
              </w:rPr>
            </w:pPr>
            <w:r w:rsidRPr="002A1F16">
              <w:rPr>
                <w:rFonts w:eastAsia="Calibri" w:cs="Arial"/>
                <w:sz w:val="22"/>
                <w:szCs w:val="22"/>
              </w:rPr>
              <w:t>MSP</w:t>
            </w:r>
          </w:p>
        </w:tc>
      </w:tr>
      <w:tr w:rsidR="003E3ED9" w:rsidRPr="00830439" w14:paraId="2F9E2D71" w14:textId="77777777" w:rsidTr="00E8716B">
        <w:trPr>
          <w:trHeight w:val="383"/>
        </w:trPr>
        <w:tc>
          <w:tcPr>
            <w:tcW w:w="502" w:type="pct"/>
            <w:vMerge w:val="restart"/>
            <w:vAlign w:val="center"/>
          </w:tcPr>
          <w:p w14:paraId="39935515"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Energetska       učinkovitost</w:t>
            </w:r>
          </w:p>
        </w:tc>
        <w:tc>
          <w:tcPr>
            <w:tcW w:w="512" w:type="pct"/>
            <w:vAlign w:val="center"/>
          </w:tcPr>
          <w:p w14:paraId="6433D29B"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w:t>
            </w:r>
          </w:p>
        </w:tc>
        <w:tc>
          <w:tcPr>
            <w:tcW w:w="505" w:type="pct"/>
            <w:vAlign w:val="center"/>
          </w:tcPr>
          <w:p w14:paraId="33236531"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65-132</w:t>
            </w:r>
          </w:p>
          <w:p w14:paraId="6FEDDD51" w14:textId="77777777" w:rsidR="003E3ED9" w:rsidRPr="002A1F16" w:rsidRDefault="003E3ED9" w:rsidP="00E8716B">
            <w:pPr>
              <w:autoSpaceDE w:val="0"/>
              <w:autoSpaceDN w:val="0"/>
              <w:adjustRightInd w:val="0"/>
              <w:rPr>
                <w:rFonts w:eastAsia="Calibri" w:cs="Arial"/>
                <w:color w:val="000000"/>
              </w:rPr>
            </w:pPr>
          </w:p>
        </w:tc>
        <w:tc>
          <w:tcPr>
            <w:tcW w:w="533" w:type="pct"/>
            <w:vMerge w:val="restart"/>
            <w:shd w:val="clear" w:color="auto" w:fill="B9D7E3"/>
            <w:vAlign w:val="center"/>
          </w:tcPr>
          <w:p w14:paraId="1350686F"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 za celovito energetsko prenovo javnih stavb</w:t>
            </w:r>
          </w:p>
        </w:tc>
        <w:tc>
          <w:tcPr>
            <w:tcW w:w="655" w:type="pct"/>
            <w:vMerge w:val="restart"/>
            <w:shd w:val="clear" w:color="auto" w:fill="auto"/>
            <w:vAlign w:val="center"/>
          </w:tcPr>
          <w:p w14:paraId="0EC3357B"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56 mio EUR</w:t>
            </w:r>
          </w:p>
        </w:tc>
        <w:tc>
          <w:tcPr>
            <w:tcW w:w="744" w:type="pct"/>
            <w:vMerge w:val="restart"/>
            <w:shd w:val="clear" w:color="auto" w:fill="B9D7E3"/>
            <w:vAlign w:val="center"/>
          </w:tcPr>
          <w:p w14:paraId="71E76A46"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 25mio EUR**</w:t>
            </w:r>
          </w:p>
        </w:tc>
        <w:tc>
          <w:tcPr>
            <w:tcW w:w="765" w:type="pct"/>
            <w:vMerge w:val="restart"/>
            <w:shd w:val="clear" w:color="auto" w:fill="auto"/>
            <w:vAlign w:val="center"/>
          </w:tcPr>
          <w:p w14:paraId="55E50148"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Osebe javnega in zasebnega prava</w:t>
            </w:r>
          </w:p>
          <w:p w14:paraId="4D6EF8C1" w14:textId="77777777" w:rsidR="003E3ED9" w:rsidRPr="002A1F16" w:rsidRDefault="003E3ED9" w:rsidP="00E8716B">
            <w:pPr>
              <w:autoSpaceDE w:val="0"/>
              <w:autoSpaceDN w:val="0"/>
              <w:adjustRightInd w:val="0"/>
              <w:rPr>
                <w:rFonts w:eastAsia="Calibri" w:cs="Arial"/>
                <w:color w:val="000000"/>
              </w:rPr>
            </w:pPr>
          </w:p>
          <w:p w14:paraId="3549D689"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 ESCO podjetja</w:t>
            </w:r>
          </w:p>
        </w:tc>
        <w:tc>
          <w:tcPr>
            <w:tcW w:w="783" w:type="pct"/>
            <w:vMerge w:val="restart"/>
            <w:shd w:val="clear" w:color="auto" w:fill="B9D7E3"/>
            <w:vAlign w:val="center"/>
          </w:tcPr>
          <w:p w14:paraId="6CB8181D"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Javni sektor, ESCO podjetja</w:t>
            </w:r>
          </w:p>
          <w:p w14:paraId="6D820246" w14:textId="77777777" w:rsidR="003E3ED9" w:rsidRPr="002A1F16" w:rsidRDefault="003E3ED9" w:rsidP="00E8716B">
            <w:pPr>
              <w:autoSpaceDE w:val="0"/>
              <w:autoSpaceDN w:val="0"/>
              <w:adjustRightInd w:val="0"/>
              <w:rPr>
                <w:rFonts w:eastAsia="Calibri" w:cs="Arial"/>
                <w:color w:val="000000"/>
              </w:rPr>
            </w:pPr>
          </w:p>
        </w:tc>
      </w:tr>
      <w:tr w:rsidR="003E3ED9" w:rsidRPr="00830439" w14:paraId="3A1B65EC" w14:textId="77777777" w:rsidTr="00E8716B">
        <w:trPr>
          <w:trHeight w:val="464"/>
        </w:trPr>
        <w:tc>
          <w:tcPr>
            <w:tcW w:w="502" w:type="pct"/>
            <w:vMerge/>
            <w:vAlign w:val="center"/>
          </w:tcPr>
          <w:p w14:paraId="6242252F"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1E9973D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w:t>
            </w:r>
          </w:p>
        </w:tc>
        <w:tc>
          <w:tcPr>
            <w:tcW w:w="505" w:type="pct"/>
            <w:vAlign w:val="center"/>
          </w:tcPr>
          <w:p w14:paraId="7FFCB01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645 – 783</w:t>
            </w:r>
          </w:p>
          <w:p w14:paraId="1BFBCDFA" w14:textId="77777777" w:rsidR="003E3ED9" w:rsidRPr="002A1F16" w:rsidRDefault="003E3ED9" w:rsidP="00E8716B">
            <w:pPr>
              <w:autoSpaceDE w:val="0"/>
              <w:autoSpaceDN w:val="0"/>
              <w:adjustRightInd w:val="0"/>
              <w:rPr>
                <w:rFonts w:eastAsia="Calibri" w:cs="Arial"/>
                <w:color w:val="000000"/>
              </w:rPr>
            </w:pPr>
          </w:p>
        </w:tc>
        <w:tc>
          <w:tcPr>
            <w:tcW w:w="533" w:type="pct"/>
            <w:vMerge/>
            <w:shd w:val="clear" w:color="auto" w:fill="B9D7E3"/>
            <w:vAlign w:val="center"/>
          </w:tcPr>
          <w:p w14:paraId="2619BA13" w14:textId="77777777" w:rsidR="003E3ED9" w:rsidRPr="002A1F16" w:rsidRDefault="003E3ED9" w:rsidP="00E8716B">
            <w:pPr>
              <w:autoSpaceDE w:val="0"/>
              <w:autoSpaceDN w:val="0"/>
              <w:adjustRightInd w:val="0"/>
              <w:rPr>
                <w:rFonts w:eastAsia="Calibri" w:cs="Arial"/>
                <w:color w:val="000000"/>
              </w:rPr>
            </w:pPr>
          </w:p>
        </w:tc>
        <w:tc>
          <w:tcPr>
            <w:tcW w:w="655" w:type="pct"/>
            <w:vMerge/>
            <w:shd w:val="clear" w:color="auto" w:fill="auto"/>
            <w:vAlign w:val="center"/>
          </w:tcPr>
          <w:p w14:paraId="440444F7" w14:textId="77777777" w:rsidR="003E3ED9" w:rsidRPr="002A1F16" w:rsidRDefault="003E3ED9" w:rsidP="00E8716B">
            <w:pPr>
              <w:autoSpaceDE w:val="0"/>
              <w:autoSpaceDN w:val="0"/>
              <w:adjustRightInd w:val="0"/>
              <w:rPr>
                <w:rFonts w:eastAsia="Calibri" w:cs="Arial"/>
                <w:color w:val="000000"/>
                <w:highlight w:val="yellow"/>
              </w:rPr>
            </w:pPr>
          </w:p>
        </w:tc>
        <w:tc>
          <w:tcPr>
            <w:tcW w:w="744" w:type="pct"/>
            <w:vMerge/>
            <w:shd w:val="clear" w:color="auto" w:fill="B9D7E3"/>
            <w:vAlign w:val="center"/>
          </w:tcPr>
          <w:p w14:paraId="72D69E4E" w14:textId="77777777" w:rsidR="003E3ED9" w:rsidRPr="002A1F16" w:rsidRDefault="003E3ED9" w:rsidP="00E8716B">
            <w:pPr>
              <w:autoSpaceDE w:val="0"/>
              <w:autoSpaceDN w:val="0"/>
              <w:adjustRightInd w:val="0"/>
              <w:rPr>
                <w:rFonts w:eastAsia="Calibri" w:cs="Arial"/>
                <w:color w:val="000000"/>
              </w:rPr>
            </w:pPr>
          </w:p>
        </w:tc>
        <w:tc>
          <w:tcPr>
            <w:tcW w:w="765" w:type="pct"/>
            <w:vMerge/>
            <w:shd w:val="clear" w:color="auto" w:fill="auto"/>
            <w:vAlign w:val="center"/>
          </w:tcPr>
          <w:p w14:paraId="2E8409BA" w14:textId="77777777" w:rsidR="003E3ED9" w:rsidRPr="002A1F16" w:rsidRDefault="003E3ED9" w:rsidP="00E8716B">
            <w:pPr>
              <w:autoSpaceDE w:val="0"/>
              <w:autoSpaceDN w:val="0"/>
              <w:adjustRightInd w:val="0"/>
              <w:rPr>
                <w:rFonts w:eastAsia="Calibri" w:cs="Arial"/>
                <w:color w:val="000000"/>
              </w:rPr>
            </w:pPr>
          </w:p>
        </w:tc>
        <w:tc>
          <w:tcPr>
            <w:tcW w:w="783" w:type="pct"/>
            <w:vMerge/>
            <w:shd w:val="clear" w:color="auto" w:fill="B9D7E3"/>
            <w:vAlign w:val="center"/>
          </w:tcPr>
          <w:p w14:paraId="1A75F3EC" w14:textId="77777777" w:rsidR="003E3ED9" w:rsidRPr="002A1F16" w:rsidRDefault="003E3ED9" w:rsidP="00E8716B">
            <w:pPr>
              <w:autoSpaceDE w:val="0"/>
              <w:autoSpaceDN w:val="0"/>
              <w:adjustRightInd w:val="0"/>
              <w:rPr>
                <w:rFonts w:eastAsia="Calibri" w:cs="Arial"/>
                <w:color w:val="000000"/>
              </w:rPr>
            </w:pPr>
          </w:p>
        </w:tc>
      </w:tr>
      <w:tr w:rsidR="003E3ED9" w:rsidRPr="00830439" w14:paraId="3FA615E9" w14:textId="77777777" w:rsidTr="00E8716B">
        <w:trPr>
          <w:trHeight w:val="837"/>
        </w:trPr>
        <w:tc>
          <w:tcPr>
            <w:tcW w:w="502" w:type="pct"/>
            <w:vMerge/>
            <w:vAlign w:val="center"/>
          </w:tcPr>
          <w:p w14:paraId="4821E99F"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580C5F43" w14:textId="77777777" w:rsidR="003E3ED9" w:rsidRPr="002A1F16" w:rsidRDefault="003E3ED9" w:rsidP="00E8716B">
            <w:pPr>
              <w:autoSpaceDE w:val="0"/>
              <w:autoSpaceDN w:val="0"/>
              <w:adjustRightInd w:val="0"/>
              <w:rPr>
                <w:rFonts w:eastAsia="Calibri" w:cs="Arial"/>
                <w:color w:val="000000"/>
              </w:rPr>
            </w:pPr>
          </w:p>
          <w:p w14:paraId="6DAF79C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Lastniško financiranje</w:t>
            </w:r>
          </w:p>
        </w:tc>
        <w:tc>
          <w:tcPr>
            <w:tcW w:w="505" w:type="pct"/>
            <w:vAlign w:val="center"/>
          </w:tcPr>
          <w:p w14:paraId="7FDF014E"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568 – 607</w:t>
            </w:r>
          </w:p>
          <w:p w14:paraId="29421B07" w14:textId="77777777" w:rsidR="003E3ED9" w:rsidRPr="002A1F16" w:rsidRDefault="003E3ED9" w:rsidP="00E8716B">
            <w:pPr>
              <w:autoSpaceDE w:val="0"/>
              <w:autoSpaceDN w:val="0"/>
              <w:adjustRightInd w:val="0"/>
              <w:rPr>
                <w:rFonts w:eastAsia="Calibri" w:cs="Arial"/>
                <w:bCs/>
                <w:color w:val="000000"/>
              </w:rPr>
            </w:pPr>
          </w:p>
        </w:tc>
        <w:tc>
          <w:tcPr>
            <w:tcW w:w="533" w:type="pct"/>
            <w:shd w:val="clear" w:color="auto" w:fill="B9D7E3"/>
            <w:vAlign w:val="center"/>
          </w:tcPr>
          <w:p w14:paraId="6813A199"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Garancijske sheme, lastniško financiranje</w:t>
            </w:r>
            <w:r w:rsidRPr="002A1F16">
              <w:rPr>
                <w:rFonts w:eastAsia="Calibri" w:cs="Arial"/>
                <w:color w:val="000000"/>
                <w:sz w:val="22"/>
                <w:szCs w:val="22"/>
                <w:vertAlign w:val="superscript"/>
              </w:rPr>
              <w:footnoteReference w:id="13"/>
            </w:r>
          </w:p>
          <w:p w14:paraId="542B646A"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 </w:t>
            </w:r>
          </w:p>
        </w:tc>
        <w:tc>
          <w:tcPr>
            <w:tcW w:w="655" w:type="pct"/>
            <w:vMerge/>
            <w:shd w:val="clear" w:color="auto" w:fill="auto"/>
            <w:vAlign w:val="center"/>
          </w:tcPr>
          <w:p w14:paraId="1FB81DB0" w14:textId="77777777" w:rsidR="003E3ED9" w:rsidRPr="002A1F16" w:rsidRDefault="003E3ED9" w:rsidP="00E8716B">
            <w:pPr>
              <w:autoSpaceDE w:val="0"/>
              <w:autoSpaceDN w:val="0"/>
              <w:adjustRightInd w:val="0"/>
              <w:rPr>
                <w:rFonts w:eastAsia="Calibri" w:cs="Arial"/>
                <w:color w:val="000000"/>
                <w:highlight w:val="yellow"/>
              </w:rPr>
            </w:pPr>
          </w:p>
        </w:tc>
        <w:tc>
          <w:tcPr>
            <w:tcW w:w="744" w:type="pct"/>
            <w:vMerge/>
            <w:shd w:val="clear" w:color="auto" w:fill="B9D7E3"/>
            <w:vAlign w:val="center"/>
          </w:tcPr>
          <w:p w14:paraId="7557A0FB" w14:textId="77777777" w:rsidR="003E3ED9" w:rsidRPr="002A1F16" w:rsidRDefault="003E3ED9" w:rsidP="00E8716B">
            <w:pPr>
              <w:autoSpaceDE w:val="0"/>
              <w:autoSpaceDN w:val="0"/>
              <w:adjustRightInd w:val="0"/>
              <w:rPr>
                <w:rFonts w:eastAsia="Calibri" w:cs="Arial"/>
                <w:color w:val="000000"/>
              </w:rPr>
            </w:pPr>
          </w:p>
        </w:tc>
        <w:tc>
          <w:tcPr>
            <w:tcW w:w="765" w:type="pct"/>
            <w:shd w:val="clear" w:color="auto" w:fill="auto"/>
            <w:vAlign w:val="center"/>
          </w:tcPr>
          <w:p w14:paraId="3DC7B84B" w14:textId="77777777" w:rsidR="003E3ED9" w:rsidRPr="002A1F16" w:rsidRDefault="003E3ED9" w:rsidP="00E8716B">
            <w:pPr>
              <w:autoSpaceDE w:val="0"/>
              <w:autoSpaceDN w:val="0"/>
              <w:adjustRightInd w:val="0"/>
              <w:rPr>
                <w:rFonts w:eastAsia="Calibri" w:cs="Arial"/>
                <w:color w:val="000000"/>
              </w:rPr>
            </w:pPr>
          </w:p>
        </w:tc>
        <w:tc>
          <w:tcPr>
            <w:tcW w:w="783" w:type="pct"/>
            <w:vMerge/>
            <w:shd w:val="clear" w:color="auto" w:fill="B9D7E3"/>
            <w:vAlign w:val="center"/>
          </w:tcPr>
          <w:p w14:paraId="31F5D982" w14:textId="77777777" w:rsidR="003E3ED9" w:rsidRPr="002A1F16" w:rsidRDefault="003E3ED9" w:rsidP="00E8716B">
            <w:pPr>
              <w:autoSpaceDE w:val="0"/>
              <w:autoSpaceDN w:val="0"/>
              <w:adjustRightInd w:val="0"/>
              <w:rPr>
                <w:rFonts w:eastAsia="Calibri" w:cs="Arial"/>
                <w:color w:val="000000"/>
              </w:rPr>
            </w:pPr>
          </w:p>
        </w:tc>
      </w:tr>
      <w:tr w:rsidR="003E3ED9" w:rsidRPr="00830439" w14:paraId="1022920D" w14:textId="77777777" w:rsidTr="00E8716B">
        <w:trPr>
          <w:trHeight w:val="1540"/>
        </w:trPr>
        <w:tc>
          <w:tcPr>
            <w:tcW w:w="502" w:type="pct"/>
            <w:vMerge w:val="restart"/>
            <w:vAlign w:val="center"/>
          </w:tcPr>
          <w:p w14:paraId="61A362A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Urbani razvoj</w:t>
            </w:r>
          </w:p>
        </w:tc>
        <w:tc>
          <w:tcPr>
            <w:tcW w:w="512" w:type="pct"/>
            <w:vAlign w:val="center"/>
          </w:tcPr>
          <w:p w14:paraId="540BDCA2"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Posojila za projekte mestnih občin, ki so pripravljeni </w:t>
            </w:r>
            <w:r w:rsidRPr="002A1F16">
              <w:rPr>
                <w:rFonts w:eastAsia="Calibri" w:cs="Arial"/>
                <w:color w:val="000000"/>
                <w:sz w:val="22"/>
                <w:szCs w:val="22"/>
              </w:rPr>
              <w:lastRenderedPageBreak/>
              <w:t>na izvedbo</w:t>
            </w:r>
          </w:p>
        </w:tc>
        <w:tc>
          <w:tcPr>
            <w:tcW w:w="505" w:type="pct"/>
            <w:vAlign w:val="center"/>
          </w:tcPr>
          <w:p w14:paraId="661C0F6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lastRenderedPageBreak/>
              <w:t>590—594</w:t>
            </w:r>
          </w:p>
          <w:p w14:paraId="5D872F51" w14:textId="77777777" w:rsidR="003E3ED9" w:rsidRPr="002A1F16" w:rsidRDefault="003E3ED9" w:rsidP="00E8716B">
            <w:pPr>
              <w:autoSpaceDE w:val="0"/>
              <w:autoSpaceDN w:val="0"/>
              <w:adjustRightInd w:val="0"/>
              <w:rPr>
                <w:rFonts w:eastAsia="Calibri" w:cs="Arial"/>
                <w:bCs/>
                <w:color w:val="000000"/>
              </w:rPr>
            </w:pPr>
          </w:p>
        </w:tc>
        <w:tc>
          <w:tcPr>
            <w:tcW w:w="533" w:type="pct"/>
            <w:vMerge w:val="restart"/>
            <w:shd w:val="clear" w:color="auto" w:fill="B9D7E3"/>
            <w:vAlign w:val="center"/>
          </w:tcPr>
          <w:p w14:paraId="262F14EA"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 za projekte mestnih občin</w:t>
            </w:r>
          </w:p>
        </w:tc>
        <w:tc>
          <w:tcPr>
            <w:tcW w:w="655" w:type="pct"/>
            <w:vMerge w:val="restart"/>
            <w:shd w:val="clear" w:color="auto" w:fill="auto"/>
            <w:vAlign w:val="center"/>
          </w:tcPr>
          <w:p w14:paraId="77420A5B" w14:textId="77777777" w:rsidR="003E3ED9" w:rsidRPr="002A1F16" w:rsidRDefault="003E3ED9" w:rsidP="00E8716B">
            <w:pPr>
              <w:autoSpaceDE w:val="0"/>
              <w:autoSpaceDN w:val="0"/>
              <w:adjustRightInd w:val="0"/>
              <w:rPr>
                <w:rFonts w:eastAsia="Calibri" w:cs="Arial"/>
                <w:color w:val="000000"/>
                <w:highlight w:val="yellow"/>
              </w:rPr>
            </w:pPr>
            <w:r w:rsidRPr="002A1F16">
              <w:rPr>
                <w:rFonts w:eastAsia="Calibri" w:cs="Arial"/>
                <w:color w:val="000000"/>
                <w:sz w:val="22"/>
                <w:szCs w:val="22"/>
              </w:rPr>
              <w:t>16,7 mio EUR</w:t>
            </w:r>
          </w:p>
        </w:tc>
        <w:tc>
          <w:tcPr>
            <w:tcW w:w="744" w:type="pct"/>
            <w:vMerge w:val="restart"/>
            <w:shd w:val="clear" w:color="auto" w:fill="B9D7E3"/>
            <w:vAlign w:val="center"/>
          </w:tcPr>
          <w:p w14:paraId="3B942B7C"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5 mio EUR</w:t>
            </w:r>
          </w:p>
        </w:tc>
        <w:tc>
          <w:tcPr>
            <w:tcW w:w="765" w:type="pct"/>
            <w:shd w:val="clear" w:color="auto" w:fill="auto"/>
            <w:vAlign w:val="center"/>
          </w:tcPr>
          <w:p w14:paraId="3E551993"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 xml:space="preserve">Regionalni in lokalni organi, občine, podjetja za izvajanje/upravljanje javnih storitev, </w:t>
            </w:r>
            <w:r w:rsidRPr="002A1F16">
              <w:rPr>
                <w:rFonts w:eastAsia="Calibri" w:cs="Arial"/>
                <w:color w:val="000000"/>
                <w:sz w:val="22"/>
                <w:szCs w:val="22"/>
              </w:rPr>
              <w:lastRenderedPageBreak/>
              <w:t>nosilci nepremičninskih projektov.</w:t>
            </w:r>
          </w:p>
        </w:tc>
        <w:tc>
          <w:tcPr>
            <w:tcW w:w="783" w:type="pct"/>
            <w:shd w:val="clear" w:color="auto" w:fill="B9D7E3"/>
            <w:vAlign w:val="center"/>
          </w:tcPr>
          <w:p w14:paraId="61C2FAF6"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lastRenderedPageBreak/>
              <w:t xml:space="preserve">Gospodarstvo, lokalne skupnosti, upravljavci javnih površin in stavb, stanovanjske </w:t>
            </w:r>
            <w:r w:rsidRPr="002A1F16">
              <w:rPr>
                <w:rFonts w:eastAsia="Calibri" w:cs="Arial"/>
                <w:color w:val="000000"/>
                <w:sz w:val="22"/>
                <w:szCs w:val="22"/>
              </w:rPr>
              <w:lastRenderedPageBreak/>
              <w:t>kooperative in ponudniki drugih alternativnih oblik bivanja v mestih,</w:t>
            </w:r>
          </w:p>
        </w:tc>
      </w:tr>
      <w:tr w:rsidR="003E3ED9" w:rsidRPr="00830439" w14:paraId="2F2DE74D" w14:textId="77777777" w:rsidTr="00E8716B">
        <w:trPr>
          <w:trHeight w:val="1129"/>
        </w:trPr>
        <w:tc>
          <w:tcPr>
            <w:tcW w:w="502" w:type="pct"/>
            <w:vMerge/>
            <w:vAlign w:val="center"/>
          </w:tcPr>
          <w:p w14:paraId="1949B8AB" w14:textId="77777777" w:rsidR="003E3ED9" w:rsidRPr="002A1F16" w:rsidRDefault="003E3ED9" w:rsidP="00E8716B">
            <w:pPr>
              <w:autoSpaceDE w:val="0"/>
              <w:autoSpaceDN w:val="0"/>
              <w:adjustRightInd w:val="0"/>
              <w:rPr>
                <w:rFonts w:eastAsia="Calibri" w:cs="Arial"/>
                <w:color w:val="000000"/>
              </w:rPr>
            </w:pPr>
          </w:p>
        </w:tc>
        <w:tc>
          <w:tcPr>
            <w:tcW w:w="512" w:type="pct"/>
            <w:vAlign w:val="center"/>
          </w:tcPr>
          <w:p w14:paraId="3C3E3796"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color w:val="000000"/>
                <w:sz w:val="22"/>
                <w:szCs w:val="22"/>
              </w:rPr>
              <w:t>Posojila za projekte mestnih občin v pripravi</w:t>
            </w:r>
          </w:p>
        </w:tc>
        <w:tc>
          <w:tcPr>
            <w:tcW w:w="505" w:type="pct"/>
            <w:vAlign w:val="center"/>
          </w:tcPr>
          <w:p w14:paraId="39E74990" w14:textId="77777777" w:rsidR="003E3ED9" w:rsidRPr="002A1F16" w:rsidRDefault="003E3ED9" w:rsidP="00E8716B">
            <w:pPr>
              <w:autoSpaceDE w:val="0"/>
              <w:autoSpaceDN w:val="0"/>
              <w:adjustRightInd w:val="0"/>
              <w:rPr>
                <w:rFonts w:eastAsia="Calibri" w:cs="Arial"/>
                <w:color w:val="000000"/>
              </w:rPr>
            </w:pPr>
            <w:r w:rsidRPr="002A1F16">
              <w:rPr>
                <w:rFonts w:eastAsia="Calibri" w:cs="Arial"/>
                <w:bCs/>
                <w:color w:val="000000"/>
                <w:sz w:val="22"/>
                <w:szCs w:val="22"/>
              </w:rPr>
              <w:t>68—74</w:t>
            </w:r>
          </w:p>
          <w:p w14:paraId="78FDEB81" w14:textId="77777777" w:rsidR="003E3ED9" w:rsidRPr="002A1F16" w:rsidRDefault="003E3ED9" w:rsidP="00E8716B">
            <w:pPr>
              <w:autoSpaceDE w:val="0"/>
              <w:autoSpaceDN w:val="0"/>
              <w:adjustRightInd w:val="0"/>
              <w:rPr>
                <w:rFonts w:eastAsia="Calibri" w:cs="Arial"/>
                <w:bCs/>
                <w:color w:val="000000"/>
              </w:rPr>
            </w:pPr>
          </w:p>
        </w:tc>
        <w:tc>
          <w:tcPr>
            <w:tcW w:w="533" w:type="pct"/>
            <w:vMerge/>
            <w:shd w:val="clear" w:color="auto" w:fill="B9D7E3"/>
            <w:vAlign w:val="center"/>
          </w:tcPr>
          <w:p w14:paraId="4040BE08" w14:textId="77777777" w:rsidR="003E3ED9" w:rsidRPr="002A1F16" w:rsidRDefault="003E3ED9" w:rsidP="00E8716B">
            <w:pPr>
              <w:autoSpaceDE w:val="0"/>
              <w:autoSpaceDN w:val="0"/>
              <w:adjustRightInd w:val="0"/>
              <w:rPr>
                <w:rFonts w:eastAsia="Calibri" w:cs="Arial"/>
                <w:color w:val="000000"/>
              </w:rPr>
            </w:pPr>
          </w:p>
        </w:tc>
        <w:tc>
          <w:tcPr>
            <w:tcW w:w="655" w:type="pct"/>
            <w:vMerge/>
            <w:shd w:val="clear" w:color="auto" w:fill="auto"/>
            <w:vAlign w:val="center"/>
          </w:tcPr>
          <w:p w14:paraId="0EC710A7" w14:textId="77777777" w:rsidR="003E3ED9" w:rsidRPr="002A1F16" w:rsidRDefault="003E3ED9" w:rsidP="00E8716B">
            <w:pPr>
              <w:autoSpaceDE w:val="0"/>
              <w:autoSpaceDN w:val="0"/>
              <w:adjustRightInd w:val="0"/>
              <w:rPr>
                <w:rFonts w:eastAsia="Calibri" w:cs="Arial"/>
                <w:color w:val="000000"/>
              </w:rPr>
            </w:pPr>
          </w:p>
        </w:tc>
        <w:tc>
          <w:tcPr>
            <w:tcW w:w="744" w:type="pct"/>
            <w:vMerge/>
            <w:shd w:val="clear" w:color="auto" w:fill="B9D7E3"/>
            <w:vAlign w:val="center"/>
          </w:tcPr>
          <w:p w14:paraId="05D67EAF" w14:textId="77777777" w:rsidR="003E3ED9" w:rsidRPr="002A1F16" w:rsidRDefault="003E3ED9" w:rsidP="00E8716B">
            <w:pPr>
              <w:autoSpaceDE w:val="0"/>
              <w:autoSpaceDN w:val="0"/>
              <w:adjustRightInd w:val="0"/>
              <w:rPr>
                <w:rFonts w:eastAsia="Calibri" w:cs="Arial"/>
                <w:color w:val="000000"/>
              </w:rPr>
            </w:pPr>
          </w:p>
        </w:tc>
        <w:tc>
          <w:tcPr>
            <w:tcW w:w="765" w:type="pct"/>
            <w:shd w:val="clear" w:color="auto" w:fill="auto"/>
            <w:vAlign w:val="center"/>
          </w:tcPr>
          <w:p w14:paraId="10C6B2E7" w14:textId="77777777" w:rsidR="003E3ED9" w:rsidRPr="002A1F16" w:rsidRDefault="003E3ED9" w:rsidP="00E8716B">
            <w:pPr>
              <w:autoSpaceDE w:val="0"/>
              <w:autoSpaceDN w:val="0"/>
              <w:adjustRightInd w:val="0"/>
              <w:rPr>
                <w:rFonts w:eastAsia="Calibri" w:cs="Arial"/>
                <w:color w:val="000000"/>
              </w:rPr>
            </w:pPr>
          </w:p>
        </w:tc>
        <w:tc>
          <w:tcPr>
            <w:tcW w:w="783" w:type="pct"/>
            <w:shd w:val="clear" w:color="auto" w:fill="B9D7E3"/>
            <w:vAlign w:val="center"/>
          </w:tcPr>
          <w:p w14:paraId="31CA0BA8" w14:textId="77777777" w:rsidR="003E3ED9" w:rsidRPr="002A1F16" w:rsidRDefault="003E3ED9" w:rsidP="00E8716B">
            <w:pPr>
              <w:autoSpaceDE w:val="0"/>
              <w:autoSpaceDN w:val="0"/>
              <w:adjustRightInd w:val="0"/>
              <w:rPr>
                <w:rFonts w:eastAsia="Calibri" w:cs="Arial"/>
                <w:color w:val="000000"/>
              </w:rPr>
            </w:pPr>
          </w:p>
        </w:tc>
      </w:tr>
    </w:tbl>
    <w:p w14:paraId="0F0F4274" w14:textId="77777777" w:rsidR="003E3ED9" w:rsidRPr="00F60B42" w:rsidRDefault="003E3ED9" w:rsidP="003E3ED9">
      <w:pPr>
        <w:jc w:val="both"/>
        <w:rPr>
          <w:rFonts w:cs="Arial"/>
          <w:szCs w:val="20"/>
        </w:rPr>
      </w:pPr>
      <w:r w:rsidRPr="00830439">
        <w:rPr>
          <w:rFonts w:cs="Arial"/>
          <w:szCs w:val="20"/>
        </w:rPr>
        <w:t xml:space="preserve">*Razporeditev sredstev za </w:t>
      </w:r>
      <w:r w:rsidRPr="00F60B42">
        <w:rPr>
          <w:rFonts w:cs="Arial"/>
          <w:szCs w:val="20"/>
        </w:rPr>
        <w:t>finančne instrumente za TC6 temelji na razdelitvi sredstev med regije, ki je bila pripravljena na OU in bo vključena v OP 2014-2020 ob spremembi oz. dopolnitvi OP 2014-2020.</w:t>
      </w:r>
    </w:p>
    <w:p w14:paraId="57750892" w14:textId="77777777" w:rsidR="003E3ED9" w:rsidRPr="00830439" w:rsidRDefault="003E3ED9" w:rsidP="003E3ED9">
      <w:pPr>
        <w:jc w:val="both"/>
        <w:rPr>
          <w:rFonts w:cs="Arial"/>
          <w:szCs w:val="20"/>
        </w:rPr>
      </w:pPr>
      <w:r w:rsidRPr="00F60B42">
        <w:rPr>
          <w:rFonts w:cs="Arial"/>
          <w:szCs w:val="20"/>
        </w:rPr>
        <w:t>**Predlagana višina sredstev izhaja iz Predhodne ocene finančnih instrumentov (2015) in se na podlagi izsledk</w:t>
      </w:r>
      <w:r w:rsidRPr="00830439">
        <w:rPr>
          <w:rFonts w:cs="Arial"/>
          <w:szCs w:val="20"/>
        </w:rPr>
        <w:t xml:space="preserve">ov Analize izvajanja finančnih instrumentov za PN 4.1 EE (2021) v letu 2022 znižuje na 6,73 mio EUR. Sprememba višine je bila izvedena v verziji 1.3. </w:t>
      </w:r>
    </w:p>
    <w:p w14:paraId="3FD6BE3A" w14:textId="77777777" w:rsidR="003E3ED9" w:rsidRDefault="003E3ED9" w:rsidP="003E3ED9">
      <w:pPr>
        <w:jc w:val="both"/>
        <w:rPr>
          <w:rFonts w:cs="Arial"/>
          <w:szCs w:val="20"/>
        </w:rPr>
      </w:pPr>
      <w:r w:rsidRPr="00830439">
        <w:rPr>
          <w:rFonts w:cs="Arial"/>
          <w:szCs w:val="20"/>
        </w:rPr>
        <w:t>***Predlagana višina sredstev izhaja iz Predhodne ocene finančnih instrumentov (2015) in se na  PN 3.1 (MSP) znižuje zaradi trajnega prenosa še neporabljenih, že dodeljenih sredstev podpore EU iz finančnega produkta (</w:t>
      </w:r>
      <w:proofErr w:type="spellStart"/>
      <w:r w:rsidRPr="00830439">
        <w:rPr>
          <w:rFonts w:cs="Arial"/>
          <w:szCs w:val="20"/>
        </w:rPr>
        <w:t>kvazi</w:t>
      </w:r>
      <w:proofErr w:type="spellEnd"/>
      <w:r w:rsidRPr="00830439">
        <w:rPr>
          <w:rFonts w:cs="Arial"/>
          <w:szCs w:val="20"/>
        </w:rPr>
        <w:t xml:space="preserve">)lastniško financiranje na finančni produkt mikrokrediti v višini 3.565.000 EUR. Na PN 1.2 (RRI) se predlagana višina sredstev, ki izhaja iz Predhodne ocene finančnih instrumentov (2015) znižuje zaradi trajne dodelitve sredstev iz finančnega produkta PG za RRI za MSP na finančni produkt posojila RRI v višini 4.605.920,00 EUR (EU del), zaradi negativnih vplivov COVID in energetske krize ter </w:t>
      </w:r>
      <w:proofErr w:type="spellStart"/>
      <w:r w:rsidRPr="00830439">
        <w:rPr>
          <w:rFonts w:cs="Arial"/>
          <w:szCs w:val="20"/>
        </w:rPr>
        <w:t>neinteresa</w:t>
      </w:r>
      <w:proofErr w:type="spellEnd"/>
      <w:r w:rsidRPr="00830439">
        <w:rPr>
          <w:rFonts w:cs="Arial"/>
          <w:szCs w:val="20"/>
        </w:rPr>
        <w:t xml:space="preserve"> trga za koriščenje finančnega produkta, kot je podrobneje opredeljeno v poglavju 6.2 Market Test.</w:t>
      </w:r>
    </w:p>
    <w:p w14:paraId="2C4C9435" w14:textId="77777777" w:rsidR="003E3ED9" w:rsidRPr="002A1F16" w:rsidRDefault="003E3ED9" w:rsidP="003E3ED9">
      <w:pPr>
        <w:jc w:val="both"/>
        <w:rPr>
          <w:rFonts w:cs="Arial"/>
          <w:szCs w:val="20"/>
        </w:rPr>
      </w:pPr>
      <w:r>
        <w:rPr>
          <w:rFonts w:cs="Arial"/>
          <w:szCs w:val="20"/>
        </w:rPr>
        <w:t xml:space="preserve">**** </w:t>
      </w:r>
      <w:bookmarkStart w:id="32" w:name="_Hlk146283031"/>
      <w:r>
        <w:rPr>
          <w:rFonts w:cs="Arial"/>
          <w:szCs w:val="20"/>
        </w:rPr>
        <w:t>Poleg namena za snovno in energetsko učinkovitost se sredstva zagotavljajo tudi za druge namene v okviru navedene prednostne naložbe, ki so opredeljeni v operaciji FI</w:t>
      </w:r>
    </w:p>
    <w:bookmarkEnd w:id="32"/>
    <w:p w14:paraId="10DE86A1" w14:textId="77777777" w:rsidR="003E3ED9" w:rsidRPr="00830439" w:rsidRDefault="003E3ED9" w:rsidP="003E3ED9">
      <w:pPr>
        <w:jc w:val="both"/>
        <w:rPr>
          <w:rFonts w:cs="Arial"/>
          <w:szCs w:val="20"/>
        </w:rPr>
      </w:pPr>
      <w:r w:rsidRPr="002A1F16">
        <w:rPr>
          <w:rFonts w:cs="Arial"/>
          <w:szCs w:val="20"/>
        </w:rPr>
        <w:t xml:space="preserve"> </w:t>
      </w:r>
    </w:p>
    <w:p w14:paraId="43DF8C01" w14:textId="77777777" w:rsidR="003E3ED9" w:rsidRPr="00F60B42" w:rsidRDefault="003E3ED9" w:rsidP="003E3ED9">
      <w:pPr>
        <w:jc w:val="both"/>
        <w:rPr>
          <w:rFonts w:cs="Arial"/>
          <w:szCs w:val="20"/>
        </w:rPr>
      </w:pPr>
      <w:r w:rsidRPr="00830439">
        <w:rPr>
          <w:rFonts w:cs="Arial"/>
          <w:szCs w:val="20"/>
        </w:rPr>
        <w:t>Sredstva, ki so na voljo za posamezen FI, so določena na osnovi zneskov, ki so predlagani v OP 2014-2020 z dne 16. 12. 2014</w:t>
      </w:r>
      <w:r w:rsidRPr="00830439">
        <w:rPr>
          <w:rFonts w:cs="Arial"/>
          <w:szCs w:val="20"/>
          <w:vertAlign w:val="superscript"/>
        </w:rPr>
        <w:footnoteReference w:id="14"/>
      </w:r>
      <w:r w:rsidRPr="00830439">
        <w:rPr>
          <w:rFonts w:cs="Arial"/>
          <w:szCs w:val="20"/>
        </w:rPr>
        <w:t xml:space="preserve">. Za izvajanje FI okviru OP 2014-2020 je na TC1 namenjenih 128 mio EUR, za izvajaje FI na TC 3 je namenjenih 255 mio EUR in za izvajanje FI na TC 4 je namenjenih 25 mio EUR, za izvajanje FI na TC 6 je namenjenih 5 mio EUR. Sredstva na TC1 in TC3 so </w:t>
      </w:r>
      <w:r w:rsidRPr="00F60B42">
        <w:rPr>
          <w:rFonts w:cs="Arial"/>
          <w:szCs w:val="20"/>
        </w:rPr>
        <w:t>razdeljena na dve kohezijski regiji, Vzhodno in Zahodno Slovenijo.</w:t>
      </w:r>
    </w:p>
    <w:p w14:paraId="720AE112" w14:textId="77777777" w:rsidR="003E3ED9" w:rsidRPr="00830439" w:rsidRDefault="003E3ED9" w:rsidP="003E3ED9">
      <w:pPr>
        <w:jc w:val="both"/>
        <w:rPr>
          <w:rFonts w:cs="Arial"/>
          <w:szCs w:val="20"/>
        </w:rPr>
      </w:pPr>
    </w:p>
    <w:p w14:paraId="26696028" w14:textId="77777777" w:rsidR="003E3ED9" w:rsidRPr="00830439" w:rsidRDefault="003E3ED9" w:rsidP="003E3ED9">
      <w:pPr>
        <w:jc w:val="both"/>
        <w:rPr>
          <w:rFonts w:cs="Arial"/>
          <w:szCs w:val="20"/>
        </w:rPr>
      </w:pPr>
      <w:r w:rsidRPr="00830439">
        <w:rPr>
          <w:rFonts w:cs="Arial"/>
          <w:szCs w:val="20"/>
        </w:rPr>
        <w:t>Vir sredstev za FI za MSP v okviru OP 2014-2020 na TC 1 in TC 3, in sicer v višini 333 mio EUR, od tega 255 mio EUR na TC 3 in 78 mio EUR na TC 1. Za velika podjetja je v okviru TC 1 namenjenih 50 mio EUR.</w:t>
      </w:r>
    </w:p>
    <w:p w14:paraId="339AB8AC" w14:textId="77777777" w:rsidR="003E3ED9" w:rsidRPr="00830439" w:rsidRDefault="003E3ED9" w:rsidP="003E3ED9">
      <w:pPr>
        <w:jc w:val="both"/>
        <w:rPr>
          <w:rFonts w:cs="Arial"/>
          <w:szCs w:val="20"/>
        </w:rPr>
      </w:pPr>
    </w:p>
    <w:p w14:paraId="51AB65AA" w14:textId="77777777" w:rsidR="003E3ED9" w:rsidRPr="00830439" w:rsidRDefault="003E3ED9" w:rsidP="003E3ED9">
      <w:pPr>
        <w:jc w:val="both"/>
        <w:rPr>
          <w:rFonts w:cs="Arial"/>
          <w:szCs w:val="20"/>
        </w:rPr>
      </w:pPr>
    </w:p>
    <w:p w14:paraId="37681A07" w14:textId="77777777" w:rsidR="003E3ED9" w:rsidRPr="00830439" w:rsidRDefault="003E3ED9" w:rsidP="003E3ED9">
      <w:pPr>
        <w:jc w:val="both"/>
        <w:rPr>
          <w:rFonts w:cs="Arial"/>
          <w:szCs w:val="20"/>
        </w:rPr>
      </w:pPr>
      <w:r w:rsidRPr="00830439">
        <w:rPr>
          <w:rFonts w:cs="Arial"/>
          <w:szCs w:val="20"/>
        </w:rPr>
        <w:t>Za izvedbo FI je predvideno, da bodo sredstva zagotovljena za vzhodno in zahodno kohezijsko regijo (razen pri prednostni naložbi 4.1, ki pokriva celotno Slovenijo) ter v naslednjih tranšah:</w:t>
      </w:r>
    </w:p>
    <w:p w14:paraId="2FBB4E45" w14:textId="77777777" w:rsidR="003E3ED9" w:rsidRPr="00830439" w:rsidRDefault="003E3ED9" w:rsidP="003E3ED9">
      <w:pPr>
        <w:jc w:val="both"/>
        <w:rPr>
          <w:rFonts w:cs="Arial"/>
          <w:szCs w:val="20"/>
        </w:rPr>
      </w:pPr>
    </w:p>
    <w:p w14:paraId="3FB66ABC" w14:textId="77777777" w:rsidR="003E3ED9" w:rsidRPr="00F60B42" w:rsidRDefault="003E3ED9" w:rsidP="003E3ED9">
      <w:pPr>
        <w:jc w:val="both"/>
        <w:rPr>
          <w:rFonts w:cs="Arial"/>
          <w:szCs w:val="20"/>
        </w:rPr>
      </w:pPr>
      <w:bookmarkStart w:id="33" w:name="_Toc132097861"/>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10</w:t>
      </w:r>
      <w:r w:rsidRPr="00F60B42">
        <w:rPr>
          <w:rFonts w:cs="Arial"/>
          <w:szCs w:val="20"/>
        </w:rPr>
        <w:fldChar w:fldCharType="end"/>
      </w:r>
      <w:r w:rsidRPr="00830439">
        <w:rPr>
          <w:rFonts w:cs="Arial"/>
          <w:szCs w:val="20"/>
        </w:rPr>
        <w:t xml:space="preserve">: Finančna </w:t>
      </w:r>
      <w:r w:rsidRPr="00F60B42">
        <w:rPr>
          <w:rFonts w:cs="Arial"/>
          <w:szCs w:val="20"/>
        </w:rPr>
        <w:t>sredstva za FI po letih in kohezijskih regijah</w:t>
      </w:r>
      <w:bookmarkEnd w:id="33"/>
    </w:p>
    <w:tbl>
      <w:tblPr>
        <w:tblW w:w="1016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850"/>
        <w:gridCol w:w="1430"/>
        <w:gridCol w:w="1547"/>
        <w:gridCol w:w="1430"/>
        <w:gridCol w:w="1688"/>
        <w:gridCol w:w="1660"/>
      </w:tblGrid>
      <w:tr w:rsidR="003E3ED9" w:rsidRPr="00830439" w14:paraId="37DFD859" w14:textId="77777777" w:rsidTr="00E8716B">
        <w:trPr>
          <w:trHeight w:val="300"/>
        </w:trPr>
        <w:tc>
          <w:tcPr>
            <w:tcW w:w="1560" w:type="dxa"/>
            <w:shd w:val="clear" w:color="auto" w:fill="auto"/>
            <w:noWrap/>
            <w:vAlign w:val="center"/>
            <w:hideMark/>
          </w:tcPr>
          <w:p w14:paraId="54297494" w14:textId="77777777" w:rsidR="003E3ED9" w:rsidRPr="00F60B42" w:rsidRDefault="003E3ED9" w:rsidP="00E8716B">
            <w:pPr>
              <w:suppressAutoHyphens/>
              <w:jc w:val="center"/>
              <w:rPr>
                <w:rFonts w:eastAsia="Georgia" w:cs="Arial"/>
                <w:b/>
                <w:szCs w:val="20"/>
                <w:lang w:eastAsia="sl-SI"/>
              </w:rPr>
            </w:pPr>
            <w:r w:rsidRPr="00F60B42">
              <w:rPr>
                <w:rFonts w:eastAsia="Georgia" w:cs="Arial"/>
                <w:b/>
                <w:szCs w:val="20"/>
                <w:lang w:eastAsia="sl-SI"/>
              </w:rPr>
              <w:t>PN</w:t>
            </w:r>
          </w:p>
        </w:tc>
        <w:tc>
          <w:tcPr>
            <w:tcW w:w="850" w:type="dxa"/>
            <w:shd w:val="clear" w:color="auto" w:fill="auto"/>
            <w:noWrap/>
            <w:vAlign w:val="center"/>
            <w:hideMark/>
          </w:tcPr>
          <w:p w14:paraId="556A3A24"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Regija</w:t>
            </w:r>
          </w:p>
        </w:tc>
        <w:tc>
          <w:tcPr>
            <w:tcW w:w="1430" w:type="dxa"/>
            <w:shd w:val="clear" w:color="auto" w:fill="auto"/>
            <w:noWrap/>
            <w:vAlign w:val="center"/>
            <w:hideMark/>
          </w:tcPr>
          <w:p w14:paraId="674551E4"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2017</w:t>
            </w:r>
          </w:p>
        </w:tc>
        <w:tc>
          <w:tcPr>
            <w:tcW w:w="1547" w:type="dxa"/>
            <w:shd w:val="clear" w:color="auto" w:fill="auto"/>
            <w:noWrap/>
            <w:vAlign w:val="center"/>
            <w:hideMark/>
          </w:tcPr>
          <w:p w14:paraId="6963775C"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2019</w:t>
            </w:r>
          </w:p>
        </w:tc>
        <w:tc>
          <w:tcPr>
            <w:tcW w:w="1430" w:type="dxa"/>
            <w:shd w:val="clear" w:color="auto" w:fill="auto"/>
            <w:noWrap/>
            <w:vAlign w:val="center"/>
            <w:hideMark/>
          </w:tcPr>
          <w:p w14:paraId="27E6F4F7"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2021</w:t>
            </w:r>
          </w:p>
        </w:tc>
        <w:tc>
          <w:tcPr>
            <w:tcW w:w="1688" w:type="dxa"/>
            <w:shd w:val="clear" w:color="auto" w:fill="auto"/>
            <w:noWrap/>
            <w:vAlign w:val="center"/>
            <w:hideMark/>
          </w:tcPr>
          <w:p w14:paraId="62507AD3"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2022</w:t>
            </w:r>
          </w:p>
        </w:tc>
        <w:tc>
          <w:tcPr>
            <w:tcW w:w="1660" w:type="dxa"/>
            <w:shd w:val="clear" w:color="auto" w:fill="auto"/>
            <w:noWrap/>
            <w:vAlign w:val="center"/>
            <w:hideMark/>
          </w:tcPr>
          <w:p w14:paraId="4484DB5A"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Skupaj</w:t>
            </w:r>
          </w:p>
        </w:tc>
      </w:tr>
      <w:tr w:rsidR="003E3ED9" w:rsidRPr="00830439" w14:paraId="1F48BB2B" w14:textId="77777777" w:rsidTr="00E8716B">
        <w:trPr>
          <w:trHeight w:val="300"/>
        </w:trPr>
        <w:tc>
          <w:tcPr>
            <w:tcW w:w="1560" w:type="dxa"/>
            <w:shd w:val="clear" w:color="auto" w:fill="auto"/>
            <w:noWrap/>
            <w:vAlign w:val="center"/>
            <w:hideMark/>
          </w:tcPr>
          <w:p w14:paraId="217BA134"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lastRenderedPageBreak/>
              <w:t>1.2</w:t>
            </w:r>
          </w:p>
        </w:tc>
        <w:tc>
          <w:tcPr>
            <w:tcW w:w="850" w:type="dxa"/>
            <w:shd w:val="clear" w:color="auto" w:fill="auto"/>
            <w:noWrap/>
            <w:vAlign w:val="center"/>
            <w:hideMark/>
          </w:tcPr>
          <w:p w14:paraId="1EE41DB0"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30539B97"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547" w:type="dxa"/>
            <w:shd w:val="clear" w:color="auto" w:fill="auto"/>
            <w:noWrap/>
            <w:vAlign w:val="center"/>
            <w:hideMark/>
          </w:tcPr>
          <w:p w14:paraId="1284C19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430" w:type="dxa"/>
            <w:shd w:val="clear" w:color="auto" w:fill="auto"/>
            <w:noWrap/>
            <w:vAlign w:val="center"/>
            <w:hideMark/>
          </w:tcPr>
          <w:p w14:paraId="0A04114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688" w:type="dxa"/>
            <w:shd w:val="clear" w:color="auto" w:fill="auto"/>
            <w:noWrap/>
            <w:vAlign w:val="center"/>
            <w:hideMark/>
          </w:tcPr>
          <w:p w14:paraId="5918A77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660" w:type="dxa"/>
            <w:shd w:val="clear" w:color="auto" w:fill="auto"/>
            <w:noWrap/>
            <w:vAlign w:val="center"/>
            <w:hideMark/>
          </w:tcPr>
          <w:p w14:paraId="21DC662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34.200.000,00</w:t>
            </w:r>
          </w:p>
        </w:tc>
      </w:tr>
      <w:tr w:rsidR="003E3ED9" w:rsidRPr="00830439" w14:paraId="233F3715" w14:textId="77777777" w:rsidTr="00E8716B">
        <w:trPr>
          <w:trHeight w:val="300"/>
        </w:trPr>
        <w:tc>
          <w:tcPr>
            <w:tcW w:w="1560" w:type="dxa"/>
            <w:shd w:val="clear" w:color="auto" w:fill="auto"/>
            <w:noWrap/>
            <w:vAlign w:val="center"/>
            <w:hideMark/>
          </w:tcPr>
          <w:p w14:paraId="44412CE6"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1.2</w:t>
            </w:r>
          </w:p>
        </w:tc>
        <w:tc>
          <w:tcPr>
            <w:tcW w:w="850" w:type="dxa"/>
            <w:shd w:val="clear" w:color="auto" w:fill="auto"/>
            <w:noWrap/>
            <w:vAlign w:val="center"/>
            <w:hideMark/>
          </w:tcPr>
          <w:p w14:paraId="136449F3"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Zahod</w:t>
            </w:r>
          </w:p>
        </w:tc>
        <w:tc>
          <w:tcPr>
            <w:tcW w:w="1430" w:type="dxa"/>
            <w:shd w:val="clear" w:color="auto" w:fill="auto"/>
            <w:noWrap/>
            <w:vAlign w:val="center"/>
            <w:hideMark/>
          </w:tcPr>
          <w:p w14:paraId="0975B35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547" w:type="dxa"/>
            <w:shd w:val="clear" w:color="auto" w:fill="auto"/>
            <w:noWrap/>
            <w:vAlign w:val="center"/>
            <w:hideMark/>
          </w:tcPr>
          <w:p w14:paraId="036CDB3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430" w:type="dxa"/>
            <w:shd w:val="clear" w:color="auto" w:fill="auto"/>
            <w:noWrap/>
            <w:vAlign w:val="center"/>
            <w:hideMark/>
          </w:tcPr>
          <w:p w14:paraId="02223D4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688" w:type="dxa"/>
            <w:shd w:val="clear" w:color="auto" w:fill="auto"/>
            <w:noWrap/>
            <w:vAlign w:val="center"/>
            <w:hideMark/>
          </w:tcPr>
          <w:p w14:paraId="76946E2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660" w:type="dxa"/>
            <w:shd w:val="clear" w:color="auto" w:fill="auto"/>
            <w:noWrap/>
            <w:vAlign w:val="center"/>
            <w:hideMark/>
          </w:tcPr>
          <w:p w14:paraId="3753C1D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53.800.000,00</w:t>
            </w:r>
          </w:p>
        </w:tc>
      </w:tr>
      <w:tr w:rsidR="003E3ED9" w:rsidRPr="00830439" w14:paraId="10BFEF47" w14:textId="77777777" w:rsidTr="00E8716B">
        <w:trPr>
          <w:trHeight w:val="300"/>
        </w:trPr>
        <w:tc>
          <w:tcPr>
            <w:tcW w:w="1560" w:type="dxa"/>
            <w:shd w:val="clear" w:color="auto" w:fill="auto"/>
            <w:noWrap/>
            <w:vAlign w:val="center"/>
            <w:hideMark/>
          </w:tcPr>
          <w:p w14:paraId="4B30F765"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1.2 Vsota</w:t>
            </w:r>
          </w:p>
        </w:tc>
        <w:tc>
          <w:tcPr>
            <w:tcW w:w="850" w:type="dxa"/>
            <w:shd w:val="clear" w:color="auto" w:fill="auto"/>
            <w:noWrap/>
            <w:vAlign w:val="center"/>
            <w:hideMark/>
          </w:tcPr>
          <w:p w14:paraId="308FC492"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1674D794"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547" w:type="dxa"/>
            <w:shd w:val="clear" w:color="auto" w:fill="auto"/>
            <w:noWrap/>
            <w:vAlign w:val="center"/>
            <w:hideMark/>
          </w:tcPr>
          <w:p w14:paraId="1B7F07A2"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430" w:type="dxa"/>
            <w:shd w:val="clear" w:color="auto" w:fill="auto"/>
            <w:noWrap/>
            <w:vAlign w:val="center"/>
            <w:hideMark/>
          </w:tcPr>
          <w:p w14:paraId="73549489"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688" w:type="dxa"/>
            <w:shd w:val="clear" w:color="auto" w:fill="auto"/>
            <w:noWrap/>
            <w:vAlign w:val="center"/>
            <w:hideMark/>
          </w:tcPr>
          <w:p w14:paraId="0ED33EF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660" w:type="dxa"/>
            <w:shd w:val="clear" w:color="auto" w:fill="auto"/>
            <w:noWrap/>
            <w:vAlign w:val="center"/>
            <w:hideMark/>
          </w:tcPr>
          <w:p w14:paraId="592237B5"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88.000.000,00</w:t>
            </w:r>
          </w:p>
        </w:tc>
      </w:tr>
      <w:tr w:rsidR="003E3ED9" w:rsidRPr="00830439" w14:paraId="1C381C60" w14:textId="77777777" w:rsidTr="00E8716B">
        <w:trPr>
          <w:trHeight w:val="300"/>
        </w:trPr>
        <w:tc>
          <w:tcPr>
            <w:tcW w:w="1560" w:type="dxa"/>
            <w:shd w:val="clear" w:color="auto" w:fill="auto"/>
            <w:noWrap/>
            <w:vAlign w:val="center"/>
            <w:hideMark/>
          </w:tcPr>
          <w:p w14:paraId="2E4B2613"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3.1</w:t>
            </w:r>
          </w:p>
        </w:tc>
        <w:tc>
          <w:tcPr>
            <w:tcW w:w="850" w:type="dxa"/>
            <w:shd w:val="clear" w:color="auto" w:fill="auto"/>
            <w:noWrap/>
            <w:vAlign w:val="center"/>
            <w:hideMark/>
          </w:tcPr>
          <w:p w14:paraId="140071FC"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7021842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547" w:type="dxa"/>
            <w:shd w:val="clear" w:color="auto" w:fill="auto"/>
            <w:noWrap/>
            <w:vAlign w:val="center"/>
            <w:hideMark/>
          </w:tcPr>
          <w:p w14:paraId="50D86B9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430" w:type="dxa"/>
            <w:shd w:val="clear" w:color="auto" w:fill="auto"/>
            <w:noWrap/>
            <w:vAlign w:val="center"/>
            <w:hideMark/>
          </w:tcPr>
          <w:p w14:paraId="19A4775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688" w:type="dxa"/>
            <w:shd w:val="clear" w:color="auto" w:fill="auto"/>
            <w:noWrap/>
            <w:vAlign w:val="center"/>
            <w:hideMark/>
          </w:tcPr>
          <w:p w14:paraId="5584201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660" w:type="dxa"/>
            <w:shd w:val="clear" w:color="auto" w:fill="auto"/>
            <w:noWrap/>
            <w:vAlign w:val="center"/>
            <w:hideMark/>
          </w:tcPr>
          <w:p w14:paraId="48D13056"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55.500.000,00</w:t>
            </w:r>
          </w:p>
        </w:tc>
      </w:tr>
      <w:tr w:rsidR="003E3ED9" w:rsidRPr="00830439" w14:paraId="186A813D" w14:textId="77777777" w:rsidTr="00E8716B">
        <w:trPr>
          <w:trHeight w:val="300"/>
        </w:trPr>
        <w:tc>
          <w:tcPr>
            <w:tcW w:w="1560" w:type="dxa"/>
            <w:shd w:val="clear" w:color="auto" w:fill="auto"/>
            <w:noWrap/>
            <w:vAlign w:val="center"/>
            <w:hideMark/>
          </w:tcPr>
          <w:p w14:paraId="2FA54D24"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3.1</w:t>
            </w:r>
          </w:p>
        </w:tc>
        <w:tc>
          <w:tcPr>
            <w:tcW w:w="850" w:type="dxa"/>
            <w:shd w:val="clear" w:color="auto" w:fill="auto"/>
            <w:noWrap/>
            <w:vAlign w:val="center"/>
            <w:hideMark/>
          </w:tcPr>
          <w:p w14:paraId="738D35BE"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Zahod</w:t>
            </w:r>
          </w:p>
        </w:tc>
        <w:tc>
          <w:tcPr>
            <w:tcW w:w="1430" w:type="dxa"/>
            <w:shd w:val="clear" w:color="auto" w:fill="auto"/>
            <w:noWrap/>
            <w:vAlign w:val="center"/>
            <w:hideMark/>
          </w:tcPr>
          <w:p w14:paraId="0B53A7CC"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547" w:type="dxa"/>
            <w:shd w:val="clear" w:color="auto" w:fill="auto"/>
            <w:noWrap/>
            <w:vAlign w:val="center"/>
            <w:hideMark/>
          </w:tcPr>
          <w:p w14:paraId="2358F4A2"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430" w:type="dxa"/>
            <w:shd w:val="clear" w:color="auto" w:fill="auto"/>
            <w:noWrap/>
            <w:vAlign w:val="center"/>
            <w:hideMark/>
          </w:tcPr>
          <w:p w14:paraId="26ADB52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688" w:type="dxa"/>
            <w:shd w:val="clear" w:color="auto" w:fill="auto"/>
            <w:noWrap/>
            <w:vAlign w:val="center"/>
            <w:hideMark/>
          </w:tcPr>
          <w:p w14:paraId="710C86B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660" w:type="dxa"/>
            <w:shd w:val="clear" w:color="auto" w:fill="auto"/>
            <w:noWrap/>
            <w:vAlign w:val="center"/>
            <w:hideMark/>
          </w:tcPr>
          <w:p w14:paraId="089A097C"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79.500.000,00</w:t>
            </w:r>
          </w:p>
        </w:tc>
      </w:tr>
      <w:tr w:rsidR="003E3ED9" w:rsidRPr="00830439" w14:paraId="02899EDC" w14:textId="77777777" w:rsidTr="00E8716B">
        <w:trPr>
          <w:trHeight w:val="300"/>
        </w:trPr>
        <w:tc>
          <w:tcPr>
            <w:tcW w:w="1560" w:type="dxa"/>
            <w:shd w:val="clear" w:color="auto" w:fill="auto"/>
            <w:noWrap/>
            <w:vAlign w:val="center"/>
            <w:hideMark/>
          </w:tcPr>
          <w:p w14:paraId="48ECB490"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3.1 Vsota</w:t>
            </w:r>
          </w:p>
        </w:tc>
        <w:tc>
          <w:tcPr>
            <w:tcW w:w="850" w:type="dxa"/>
            <w:shd w:val="clear" w:color="auto" w:fill="auto"/>
            <w:noWrap/>
            <w:vAlign w:val="center"/>
            <w:hideMark/>
          </w:tcPr>
          <w:p w14:paraId="3BD7C304"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5F614DF6"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547" w:type="dxa"/>
            <w:shd w:val="clear" w:color="auto" w:fill="auto"/>
            <w:noWrap/>
            <w:vAlign w:val="center"/>
            <w:hideMark/>
          </w:tcPr>
          <w:p w14:paraId="32F8CA95"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430" w:type="dxa"/>
            <w:shd w:val="clear" w:color="auto" w:fill="auto"/>
            <w:noWrap/>
            <w:vAlign w:val="center"/>
            <w:hideMark/>
          </w:tcPr>
          <w:p w14:paraId="0D808568"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688" w:type="dxa"/>
            <w:shd w:val="clear" w:color="auto" w:fill="auto"/>
            <w:noWrap/>
            <w:vAlign w:val="center"/>
            <w:hideMark/>
          </w:tcPr>
          <w:p w14:paraId="168AA101"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660" w:type="dxa"/>
            <w:shd w:val="clear" w:color="auto" w:fill="auto"/>
            <w:noWrap/>
            <w:vAlign w:val="center"/>
            <w:hideMark/>
          </w:tcPr>
          <w:p w14:paraId="5F4F5C02"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135.000.000,00</w:t>
            </w:r>
          </w:p>
        </w:tc>
      </w:tr>
      <w:tr w:rsidR="003E3ED9" w:rsidRPr="00830439" w14:paraId="0F3B350A" w14:textId="77777777" w:rsidTr="00E8716B">
        <w:trPr>
          <w:trHeight w:val="300"/>
        </w:trPr>
        <w:tc>
          <w:tcPr>
            <w:tcW w:w="1560" w:type="dxa"/>
            <w:shd w:val="clear" w:color="auto" w:fill="auto"/>
            <w:noWrap/>
            <w:vAlign w:val="center"/>
            <w:hideMark/>
          </w:tcPr>
          <w:p w14:paraId="74A00123"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4.1</w:t>
            </w:r>
          </w:p>
        </w:tc>
        <w:tc>
          <w:tcPr>
            <w:tcW w:w="850" w:type="dxa"/>
            <w:shd w:val="clear" w:color="auto" w:fill="auto"/>
            <w:noWrap/>
            <w:vAlign w:val="center"/>
            <w:hideMark/>
          </w:tcPr>
          <w:p w14:paraId="395883CB"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SI</w:t>
            </w:r>
          </w:p>
        </w:tc>
        <w:tc>
          <w:tcPr>
            <w:tcW w:w="1430" w:type="dxa"/>
            <w:shd w:val="clear" w:color="auto" w:fill="auto"/>
            <w:noWrap/>
            <w:vAlign w:val="center"/>
            <w:hideMark/>
          </w:tcPr>
          <w:p w14:paraId="13C4D8B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547" w:type="dxa"/>
            <w:shd w:val="clear" w:color="auto" w:fill="auto"/>
            <w:noWrap/>
            <w:vAlign w:val="center"/>
            <w:hideMark/>
          </w:tcPr>
          <w:p w14:paraId="01B9BEE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430" w:type="dxa"/>
            <w:shd w:val="clear" w:color="auto" w:fill="auto"/>
            <w:noWrap/>
            <w:vAlign w:val="center"/>
            <w:hideMark/>
          </w:tcPr>
          <w:p w14:paraId="4DDCFA5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688" w:type="dxa"/>
            <w:shd w:val="clear" w:color="auto" w:fill="auto"/>
            <w:noWrap/>
            <w:vAlign w:val="center"/>
            <w:hideMark/>
          </w:tcPr>
          <w:p w14:paraId="317C6FFD"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660" w:type="dxa"/>
            <w:shd w:val="clear" w:color="auto" w:fill="auto"/>
            <w:noWrap/>
            <w:vAlign w:val="center"/>
            <w:hideMark/>
          </w:tcPr>
          <w:p w14:paraId="0DE116FA"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25.000.000,00</w:t>
            </w:r>
          </w:p>
        </w:tc>
      </w:tr>
      <w:tr w:rsidR="003E3ED9" w:rsidRPr="00830439" w14:paraId="18C218D6" w14:textId="77777777" w:rsidTr="00E8716B">
        <w:trPr>
          <w:trHeight w:val="300"/>
        </w:trPr>
        <w:tc>
          <w:tcPr>
            <w:tcW w:w="1560" w:type="dxa"/>
            <w:shd w:val="clear" w:color="auto" w:fill="auto"/>
            <w:noWrap/>
            <w:vAlign w:val="center"/>
            <w:hideMark/>
          </w:tcPr>
          <w:p w14:paraId="6D6E674B"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4.1 Vsota</w:t>
            </w:r>
          </w:p>
        </w:tc>
        <w:tc>
          <w:tcPr>
            <w:tcW w:w="850" w:type="dxa"/>
            <w:shd w:val="clear" w:color="auto" w:fill="auto"/>
            <w:noWrap/>
            <w:vAlign w:val="center"/>
            <w:hideMark/>
          </w:tcPr>
          <w:p w14:paraId="3F7D9DF5"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5121A7A1"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547" w:type="dxa"/>
            <w:shd w:val="clear" w:color="auto" w:fill="auto"/>
            <w:noWrap/>
            <w:vAlign w:val="center"/>
            <w:hideMark/>
          </w:tcPr>
          <w:p w14:paraId="1328AD59"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430" w:type="dxa"/>
            <w:shd w:val="clear" w:color="auto" w:fill="auto"/>
            <w:noWrap/>
            <w:vAlign w:val="center"/>
            <w:hideMark/>
          </w:tcPr>
          <w:p w14:paraId="1A8EEB5A"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688" w:type="dxa"/>
            <w:shd w:val="clear" w:color="auto" w:fill="auto"/>
            <w:noWrap/>
            <w:vAlign w:val="center"/>
            <w:hideMark/>
          </w:tcPr>
          <w:p w14:paraId="77E7A22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660" w:type="dxa"/>
            <w:shd w:val="clear" w:color="auto" w:fill="auto"/>
            <w:noWrap/>
            <w:vAlign w:val="center"/>
            <w:hideMark/>
          </w:tcPr>
          <w:p w14:paraId="0C439BF1"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25.000.000,00</w:t>
            </w:r>
          </w:p>
        </w:tc>
      </w:tr>
      <w:tr w:rsidR="003E3ED9" w:rsidRPr="00830439" w14:paraId="270BF471" w14:textId="77777777" w:rsidTr="00E8716B">
        <w:trPr>
          <w:trHeight w:val="300"/>
        </w:trPr>
        <w:tc>
          <w:tcPr>
            <w:tcW w:w="1560" w:type="dxa"/>
            <w:shd w:val="clear" w:color="auto" w:fill="auto"/>
            <w:noWrap/>
            <w:vAlign w:val="center"/>
            <w:hideMark/>
          </w:tcPr>
          <w:p w14:paraId="693F8AA1"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6.3</w:t>
            </w:r>
          </w:p>
        </w:tc>
        <w:tc>
          <w:tcPr>
            <w:tcW w:w="850" w:type="dxa"/>
            <w:shd w:val="clear" w:color="auto" w:fill="auto"/>
            <w:noWrap/>
            <w:vAlign w:val="center"/>
            <w:hideMark/>
          </w:tcPr>
          <w:p w14:paraId="45B627DE"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7824404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547" w:type="dxa"/>
            <w:shd w:val="clear" w:color="auto" w:fill="auto"/>
            <w:noWrap/>
            <w:vAlign w:val="center"/>
            <w:hideMark/>
          </w:tcPr>
          <w:p w14:paraId="21C281F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430" w:type="dxa"/>
            <w:shd w:val="clear" w:color="auto" w:fill="auto"/>
            <w:noWrap/>
            <w:vAlign w:val="center"/>
            <w:hideMark/>
          </w:tcPr>
          <w:p w14:paraId="3E01A88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688" w:type="dxa"/>
            <w:shd w:val="clear" w:color="auto" w:fill="auto"/>
            <w:noWrap/>
            <w:vAlign w:val="center"/>
            <w:hideMark/>
          </w:tcPr>
          <w:p w14:paraId="60ABA9F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660" w:type="dxa"/>
            <w:shd w:val="clear" w:color="auto" w:fill="auto"/>
            <w:noWrap/>
            <w:vAlign w:val="center"/>
            <w:hideMark/>
          </w:tcPr>
          <w:p w14:paraId="34A4884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3.200.000,00</w:t>
            </w:r>
          </w:p>
        </w:tc>
      </w:tr>
      <w:tr w:rsidR="003E3ED9" w:rsidRPr="00830439" w14:paraId="7A1C5818" w14:textId="77777777" w:rsidTr="00E8716B">
        <w:trPr>
          <w:trHeight w:val="300"/>
        </w:trPr>
        <w:tc>
          <w:tcPr>
            <w:tcW w:w="1560" w:type="dxa"/>
            <w:shd w:val="clear" w:color="auto" w:fill="auto"/>
            <w:noWrap/>
            <w:vAlign w:val="center"/>
            <w:hideMark/>
          </w:tcPr>
          <w:p w14:paraId="10AD49D4"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6.3</w:t>
            </w:r>
          </w:p>
        </w:tc>
        <w:tc>
          <w:tcPr>
            <w:tcW w:w="850" w:type="dxa"/>
            <w:shd w:val="clear" w:color="auto" w:fill="auto"/>
            <w:noWrap/>
            <w:vAlign w:val="center"/>
            <w:hideMark/>
          </w:tcPr>
          <w:p w14:paraId="62F5F506" w14:textId="77777777" w:rsidR="003E3ED9" w:rsidRPr="004005A5" w:rsidRDefault="003E3ED9" w:rsidP="00E8716B">
            <w:pPr>
              <w:suppressAutoHyphens/>
              <w:rPr>
                <w:rFonts w:eastAsia="Georgia" w:cs="Arial"/>
                <w:szCs w:val="20"/>
                <w:lang w:eastAsia="sl-SI"/>
              </w:rPr>
            </w:pPr>
            <w:r w:rsidRPr="00F60B42">
              <w:rPr>
                <w:rFonts w:eastAsia="Georgia" w:cs="Arial"/>
                <w:szCs w:val="20"/>
                <w:lang w:eastAsia="sl-SI"/>
              </w:rPr>
              <w:t>Zaho</w:t>
            </w:r>
            <w:r w:rsidRPr="004005A5">
              <w:rPr>
                <w:rFonts w:eastAsia="Georgia" w:cs="Arial"/>
                <w:szCs w:val="20"/>
                <w:lang w:eastAsia="sl-SI"/>
              </w:rPr>
              <w:t>d</w:t>
            </w:r>
          </w:p>
        </w:tc>
        <w:tc>
          <w:tcPr>
            <w:tcW w:w="1430" w:type="dxa"/>
            <w:shd w:val="clear" w:color="auto" w:fill="auto"/>
            <w:noWrap/>
            <w:vAlign w:val="center"/>
            <w:hideMark/>
          </w:tcPr>
          <w:p w14:paraId="10C5CB1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547" w:type="dxa"/>
            <w:shd w:val="clear" w:color="auto" w:fill="auto"/>
            <w:noWrap/>
            <w:vAlign w:val="center"/>
            <w:hideMark/>
          </w:tcPr>
          <w:p w14:paraId="0F0BDD29"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430" w:type="dxa"/>
            <w:shd w:val="clear" w:color="auto" w:fill="auto"/>
            <w:noWrap/>
            <w:vAlign w:val="center"/>
            <w:hideMark/>
          </w:tcPr>
          <w:p w14:paraId="55303826"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688" w:type="dxa"/>
            <w:shd w:val="clear" w:color="auto" w:fill="auto"/>
            <w:noWrap/>
            <w:vAlign w:val="center"/>
            <w:hideMark/>
          </w:tcPr>
          <w:p w14:paraId="35E6E3D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660" w:type="dxa"/>
            <w:shd w:val="clear" w:color="auto" w:fill="auto"/>
            <w:noWrap/>
            <w:vAlign w:val="center"/>
            <w:hideMark/>
          </w:tcPr>
          <w:p w14:paraId="75C0A239"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1.800.000,00</w:t>
            </w:r>
          </w:p>
        </w:tc>
      </w:tr>
      <w:tr w:rsidR="003E3ED9" w:rsidRPr="00830439" w14:paraId="301313B0" w14:textId="77777777" w:rsidTr="00E8716B">
        <w:trPr>
          <w:trHeight w:val="300"/>
        </w:trPr>
        <w:tc>
          <w:tcPr>
            <w:tcW w:w="1560" w:type="dxa"/>
            <w:shd w:val="clear" w:color="auto" w:fill="auto"/>
            <w:noWrap/>
            <w:vAlign w:val="center"/>
            <w:hideMark/>
          </w:tcPr>
          <w:p w14:paraId="2C6C866F"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6.3 Vsota</w:t>
            </w:r>
          </w:p>
        </w:tc>
        <w:tc>
          <w:tcPr>
            <w:tcW w:w="850" w:type="dxa"/>
            <w:shd w:val="clear" w:color="auto" w:fill="auto"/>
            <w:noWrap/>
            <w:vAlign w:val="center"/>
            <w:hideMark/>
          </w:tcPr>
          <w:p w14:paraId="5A6E1196"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4BA58959"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547" w:type="dxa"/>
            <w:shd w:val="clear" w:color="auto" w:fill="auto"/>
            <w:noWrap/>
            <w:vAlign w:val="center"/>
            <w:hideMark/>
          </w:tcPr>
          <w:p w14:paraId="2892FDB7"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430" w:type="dxa"/>
            <w:shd w:val="clear" w:color="auto" w:fill="auto"/>
            <w:noWrap/>
            <w:vAlign w:val="center"/>
            <w:hideMark/>
          </w:tcPr>
          <w:p w14:paraId="2A1C1BEA"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688" w:type="dxa"/>
            <w:shd w:val="clear" w:color="auto" w:fill="auto"/>
            <w:noWrap/>
            <w:vAlign w:val="center"/>
            <w:hideMark/>
          </w:tcPr>
          <w:p w14:paraId="1367AFF6"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660" w:type="dxa"/>
            <w:shd w:val="clear" w:color="auto" w:fill="auto"/>
            <w:noWrap/>
            <w:vAlign w:val="center"/>
            <w:hideMark/>
          </w:tcPr>
          <w:p w14:paraId="0BD61C94"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5.000.000,00</w:t>
            </w:r>
          </w:p>
        </w:tc>
      </w:tr>
      <w:tr w:rsidR="003E3ED9" w:rsidRPr="00830439" w14:paraId="08F87AFB" w14:textId="77777777" w:rsidTr="00E8716B">
        <w:trPr>
          <w:trHeight w:val="300"/>
        </w:trPr>
        <w:tc>
          <w:tcPr>
            <w:tcW w:w="1560" w:type="dxa"/>
            <w:shd w:val="clear" w:color="auto" w:fill="auto"/>
            <w:noWrap/>
            <w:vAlign w:val="center"/>
            <w:hideMark/>
          </w:tcPr>
          <w:p w14:paraId="66E70A12"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Skupaj</w:t>
            </w:r>
          </w:p>
        </w:tc>
        <w:tc>
          <w:tcPr>
            <w:tcW w:w="850" w:type="dxa"/>
            <w:shd w:val="clear" w:color="auto" w:fill="auto"/>
            <w:noWrap/>
            <w:vAlign w:val="center"/>
            <w:hideMark/>
          </w:tcPr>
          <w:p w14:paraId="487A4B26"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16A1DF4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547" w:type="dxa"/>
            <w:shd w:val="clear" w:color="auto" w:fill="auto"/>
            <w:noWrap/>
            <w:vAlign w:val="center"/>
            <w:hideMark/>
          </w:tcPr>
          <w:p w14:paraId="5AFE6A0C"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430" w:type="dxa"/>
            <w:shd w:val="clear" w:color="auto" w:fill="auto"/>
            <w:noWrap/>
            <w:vAlign w:val="center"/>
            <w:hideMark/>
          </w:tcPr>
          <w:p w14:paraId="6D37395B"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688" w:type="dxa"/>
            <w:shd w:val="clear" w:color="auto" w:fill="auto"/>
            <w:noWrap/>
            <w:vAlign w:val="center"/>
            <w:hideMark/>
          </w:tcPr>
          <w:p w14:paraId="7AA04095"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660" w:type="dxa"/>
            <w:shd w:val="clear" w:color="auto" w:fill="auto"/>
            <w:noWrap/>
            <w:vAlign w:val="center"/>
            <w:hideMark/>
          </w:tcPr>
          <w:p w14:paraId="70DA7CF3"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253.000.000,00</w:t>
            </w:r>
          </w:p>
        </w:tc>
      </w:tr>
    </w:tbl>
    <w:p w14:paraId="3F9296AC" w14:textId="77777777" w:rsidR="003E3ED9" w:rsidRPr="002A1F16" w:rsidRDefault="003E3ED9" w:rsidP="003E3ED9">
      <w:pPr>
        <w:suppressAutoHyphens/>
        <w:spacing w:line="240" w:lineRule="auto"/>
        <w:rPr>
          <w:rFonts w:cs="Arial"/>
          <w:szCs w:val="20"/>
          <w:lang w:eastAsia="ar-SA"/>
        </w:rPr>
      </w:pPr>
    </w:p>
    <w:p w14:paraId="75AB13C1" w14:textId="77777777" w:rsidR="003E3ED9" w:rsidRPr="00F60B42" w:rsidRDefault="003E3ED9" w:rsidP="003E3ED9">
      <w:pPr>
        <w:jc w:val="both"/>
        <w:rPr>
          <w:rFonts w:cs="Arial"/>
          <w:szCs w:val="20"/>
        </w:rPr>
      </w:pPr>
      <w:r w:rsidRPr="00830439">
        <w:rPr>
          <w:rFonts w:cs="Arial"/>
          <w:szCs w:val="20"/>
        </w:rPr>
        <w:t>Po izvedenem znižanju končnega zneska podpore EU za izvajanje FI na TC4 v letu 2022 je na voljo 6,73 mio EUR, kot je predstavljeno v tabeli 11.</w:t>
      </w:r>
    </w:p>
    <w:p w14:paraId="3F21DA0F" w14:textId="77777777" w:rsidR="003E3ED9" w:rsidRPr="00F60B42" w:rsidRDefault="003E3ED9" w:rsidP="003E3ED9">
      <w:pPr>
        <w:jc w:val="both"/>
        <w:rPr>
          <w:rFonts w:cs="Arial"/>
          <w:szCs w:val="20"/>
        </w:rPr>
      </w:pPr>
    </w:p>
    <w:p w14:paraId="10B75089" w14:textId="77777777" w:rsidR="003E3ED9" w:rsidRPr="00F60B42" w:rsidRDefault="003E3ED9" w:rsidP="003E3ED9">
      <w:pPr>
        <w:spacing w:line="240" w:lineRule="auto"/>
        <w:rPr>
          <w:rFonts w:cs="Arial"/>
          <w:szCs w:val="20"/>
        </w:rPr>
      </w:pPr>
      <w:r w:rsidRPr="00F60B42">
        <w:rPr>
          <w:rFonts w:cs="Arial"/>
          <w:szCs w:val="20"/>
        </w:rPr>
        <w:br w:type="page"/>
      </w:r>
    </w:p>
    <w:p w14:paraId="63995E80" w14:textId="77777777" w:rsidR="003E3ED9" w:rsidRPr="00F60B42" w:rsidRDefault="003E3ED9" w:rsidP="003E3ED9">
      <w:pPr>
        <w:jc w:val="both"/>
        <w:rPr>
          <w:rFonts w:cs="Arial"/>
          <w:szCs w:val="20"/>
        </w:rPr>
      </w:pPr>
      <w:bookmarkStart w:id="34" w:name="_Toc132097862"/>
      <w:r w:rsidRPr="00F60B42">
        <w:rPr>
          <w:rFonts w:cs="Arial"/>
          <w:szCs w:val="20"/>
        </w:rPr>
        <w:lastRenderedPageBreak/>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11</w:t>
      </w:r>
      <w:r w:rsidRPr="00F60B42">
        <w:rPr>
          <w:rFonts w:cs="Arial"/>
          <w:szCs w:val="20"/>
        </w:rPr>
        <w:fldChar w:fldCharType="end"/>
      </w:r>
      <w:r w:rsidRPr="00830439">
        <w:rPr>
          <w:rFonts w:cs="Arial"/>
          <w:szCs w:val="20"/>
        </w:rPr>
        <w:t xml:space="preserve">: Finančna sredstva za FI po letih in kohezijskih regijah </w:t>
      </w:r>
      <w:r w:rsidRPr="00F60B42">
        <w:rPr>
          <w:rFonts w:cs="Arial"/>
          <w:szCs w:val="20"/>
        </w:rPr>
        <w:t>z upoštevanim znižanjem končne podpore EU za PN 4.1</w:t>
      </w:r>
      <w:bookmarkEnd w:id="34"/>
    </w:p>
    <w:tbl>
      <w:tblPr>
        <w:tblW w:w="1016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850"/>
        <w:gridCol w:w="1430"/>
        <w:gridCol w:w="1547"/>
        <w:gridCol w:w="1430"/>
        <w:gridCol w:w="1688"/>
        <w:gridCol w:w="1660"/>
      </w:tblGrid>
      <w:tr w:rsidR="003E3ED9" w:rsidRPr="00830439" w14:paraId="281FB0D5" w14:textId="77777777" w:rsidTr="00E8716B">
        <w:trPr>
          <w:trHeight w:val="300"/>
        </w:trPr>
        <w:tc>
          <w:tcPr>
            <w:tcW w:w="1560" w:type="dxa"/>
            <w:shd w:val="clear" w:color="auto" w:fill="auto"/>
            <w:noWrap/>
            <w:vAlign w:val="center"/>
            <w:hideMark/>
          </w:tcPr>
          <w:p w14:paraId="0DCB4053" w14:textId="77777777" w:rsidR="003E3ED9" w:rsidRPr="00F60B42" w:rsidRDefault="003E3ED9" w:rsidP="00E8716B">
            <w:pPr>
              <w:suppressAutoHyphens/>
              <w:jc w:val="center"/>
              <w:rPr>
                <w:rFonts w:eastAsia="Georgia" w:cs="Arial"/>
                <w:b/>
                <w:szCs w:val="20"/>
                <w:lang w:eastAsia="sl-SI"/>
              </w:rPr>
            </w:pPr>
            <w:r w:rsidRPr="00F60B42">
              <w:rPr>
                <w:rFonts w:eastAsia="Georgia" w:cs="Arial"/>
                <w:b/>
                <w:szCs w:val="20"/>
                <w:lang w:eastAsia="sl-SI"/>
              </w:rPr>
              <w:t>PN</w:t>
            </w:r>
          </w:p>
        </w:tc>
        <w:tc>
          <w:tcPr>
            <w:tcW w:w="850" w:type="dxa"/>
            <w:shd w:val="clear" w:color="auto" w:fill="auto"/>
            <w:noWrap/>
            <w:vAlign w:val="center"/>
            <w:hideMark/>
          </w:tcPr>
          <w:p w14:paraId="496F723D"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Regija</w:t>
            </w:r>
          </w:p>
        </w:tc>
        <w:tc>
          <w:tcPr>
            <w:tcW w:w="1430" w:type="dxa"/>
            <w:shd w:val="clear" w:color="auto" w:fill="auto"/>
            <w:noWrap/>
            <w:vAlign w:val="center"/>
            <w:hideMark/>
          </w:tcPr>
          <w:p w14:paraId="537E6FF1"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2017</w:t>
            </w:r>
          </w:p>
        </w:tc>
        <w:tc>
          <w:tcPr>
            <w:tcW w:w="1547" w:type="dxa"/>
            <w:shd w:val="clear" w:color="auto" w:fill="auto"/>
            <w:noWrap/>
            <w:vAlign w:val="center"/>
            <w:hideMark/>
          </w:tcPr>
          <w:p w14:paraId="34994BF7"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2019</w:t>
            </w:r>
          </w:p>
        </w:tc>
        <w:tc>
          <w:tcPr>
            <w:tcW w:w="1430" w:type="dxa"/>
            <w:shd w:val="clear" w:color="auto" w:fill="auto"/>
            <w:noWrap/>
            <w:vAlign w:val="center"/>
            <w:hideMark/>
          </w:tcPr>
          <w:p w14:paraId="78040D48"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2021</w:t>
            </w:r>
          </w:p>
        </w:tc>
        <w:tc>
          <w:tcPr>
            <w:tcW w:w="1688" w:type="dxa"/>
            <w:shd w:val="clear" w:color="auto" w:fill="auto"/>
            <w:noWrap/>
            <w:vAlign w:val="center"/>
            <w:hideMark/>
          </w:tcPr>
          <w:p w14:paraId="4E7E7918"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2022</w:t>
            </w:r>
          </w:p>
        </w:tc>
        <w:tc>
          <w:tcPr>
            <w:tcW w:w="1660" w:type="dxa"/>
            <w:shd w:val="clear" w:color="auto" w:fill="auto"/>
            <w:noWrap/>
            <w:vAlign w:val="center"/>
            <w:hideMark/>
          </w:tcPr>
          <w:p w14:paraId="64F863F6" w14:textId="77777777" w:rsidR="003E3ED9" w:rsidRPr="00830439" w:rsidRDefault="003E3ED9" w:rsidP="00E8716B">
            <w:pPr>
              <w:suppressAutoHyphens/>
              <w:jc w:val="center"/>
              <w:rPr>
                <w:rFonts w:eastAsia="Georgia" w:cs="Arial"/>
                <w:b/>
                <w:szCs w:val="20"/>
                <w:lang w:eastAsia="sl-SI"/>
              </w:rPr>
            </w:pPr>
            <w:r w:rsidRPr="00830439">
              <w:rPr>
                <w:rFonts w:eastAsia="Georgia" w:cs="Arial"/>
                <w:b/>
                <w:szCs w:val="20"/>
                <w:lang w:eastAsia="sl-SI"/>
              </w:rPr>
              <w:t>Skupaj</w:t>
            </w:r>
          </w:p>
        </w:tc>
      </w:tr>
      <w:tr w:rsidR="003E3ED9" w:rsidRPr="00830439" w14:paraId="351476AE" w14:textId="77777777" w:rsidTr="00E8716B">
        <w:trPr>
          <w:trHeight w:val="300"/>
        </w:trPr>
        <w:tc>
          <w:tcPr>
            <w:tcW w:w="1560" w:type="dxa"/>
            <w:shd w:val="clear" w:color="auto" w:fill="auto"/>
            <w:noWrap/>
            <w:vAlign w:val="center"/>
            <w:hideMark/>
          </w:tcPr>
          <w:p w14:paraId="62CF9466"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1.2</w:t>
            </w:r>
          </w:p>
        </w:tc>
        <w:tc>
          <w:tcPr>
            <w:tcW w:w="850" w:type="dxa"/>
            <w:shd w:val="clear" w:color="auto" w:fill="auto"/>
            <w:noWrap/>
            <w:vAlign w:val="center"/>
            <w:hideMark/>
          </w:tcPr>
          <w:p w14:paraId="507CEFA9"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640301B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547" w:type="dxa"/>
            <w:shd w:val="clear" w:color="auto" w:fill="auto"/>
            <w:noWrap/>
            <w:vAlign w:val="center"/>
            <w:hideMark/>
          </w:tcPr>
          <w:p w14:paraId="62664CE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430" w:type="dxa"/>
            <w:shd w:val="clear" w:color="auto" w:fill="auto"/>
            <w:noWrap/>
            <w:vAlign w:val="center"/>
            <w:hideMark/>
          </w:tcPr>
          <w:p w14:paraId="09A04DCD"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688" w:type="dxa"/>
            <w:shd w:val="clear" w:color="auto" w:fill="auto"/>
            <w:noWrap/>
            <w:vAlign w:val="center"/>
            <w:hideMark/>
          </w:tcPr>
          <w:p w14:paraId="65D560D3"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8.550.000,00</w:t>
            </w:r>
          </w:p>
        </w:tc>
        <w:tc>
          <w:tcPr>
            <w:tcW w:w="1660" w:type="dxa"/>
            <w:shd w:val="clear" w:color="auto" w:fill="auto"/>
            <w:noWrap/>
            <w:vAlign w:val="center"/>
            <w:hideMark/>
          </w:tcPr>
          <w:p w14:paraId="45F0771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34.200.000,00</w:t>
            </w:r>
          </w:p>
        </w:tc>
      </w:tr>
      <w:tr w:rsidR="003E3ED9" w:rsidRPr="00830439" w14:paraId="693C3C2A" w14:textId="77777777" w:rsidTr="00E8716B">
        <w:trPr>
          <w:trHeight w:val="300"/>
        </w:trPr>
        <w:tc>
          <w:tcPr>
            <w:tcW w:w="1560" w:type="dxa"/>
            <w:shd w:val="clear" w:color="auto" w:fill="auto"/>
            <w:noWrap/>
            <w:vAlign w:val="center"/>
            <w:hideMark/>
          </w:tcPr>
          <w:p w14:paraId="6D19D131"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1.2</w:t>
            </w:r>
          </w:p>
        </w:tc>
        <w:tc>
          <w:tcPr>
            <w:tcW w:w="850" w:type="dxa"/>
            <w:shd w:val="clear" w:color="auto" w:fill="auto"/>
            <w:noWrap/>
            <w:vAlign w:val="center"/>
            <w:hideMark/>
          </w:tcPr>
          <w:p w14:paraId="127B38CB"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Zahod</w:t>
            </w:r>
          </w:p>
        </w:tc>
        <w:tc>
          <w:tcPr>
            <w:tcW w:w="1430" w:type="dxa"/>
            <w:shd w:val="clear" w:color="auto" w:fill="auto"/>
            <w:noWrap/>
            <w:vAlign w:val="center"/>
            <w:hideMark/>
          </w:tcPr>
          <w:p w14:paraId="1C3E7E1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547" w:type="dxa"/>
            <w:shd w:val="clear" w:color="auto" w:fill="auto"/>
            <w:noWrap/>
            <w:vAlign w:val="center"/>
            <w:hideMark/>
          </w:tcPr>
          <w:p w14:paraId="24790B7C"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430" w:type="dxa"/>
            <w:shd w:val="clear" w:color="auto" w:fill="auto"/>
            <w:noWrap/>
            <w:vAlign w:val="center"/>
            <w:hideMark/>
          </w:tcPr>
          <w:p w14:paraId="52BA4B9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688" w:type="dxa"/>
            <w:shd w:val="clear" w:color="auto" w:fill="auto"/>
            <w:noWrap/>
            <w:vAlign w:val="center"/>
            <w:hideMark/>
          </w:tcPr>
          <w:p w14:paraId="4FF1EA5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13.450.000,00</w:t>
            </w:r>
          </w:p>
        </w:tc>
        <w:tc>
          <w:tcPr>
            <w:tcW w:w="1660" w:type="dxa"/>
            <w:shd w:val="clear" w:color="auto" w:fill="auto"/>
            <w:noWrap/>
            <w:vAlign w:val="center"/>
            <w:hideMark/>
          </w:tcPr>
          <w:p w14:paraId="0EB8F92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53.800.000,00</w:t>
            </w:r>
          </w:p>
        </w:tc>
      </w:tr>
      <w:tr w:rsidR="003E3ED9" w:rsidRPr="00830439" w14:paraId="785D7121" w14:textId="77777777" w:rsidTr="00E8716B">
        <w:trPr>
          <w:trHeight w:val="300"/>
        </w:trPr>
        <w:tc>
          <w:tcPr>
            <w:tcW w:w="1560" w:type="dxa"/>
            <w:shd w:val="clear" w:color="auto" w:fill="auto"/>
            <w:noWrap/>
            <w:vAlign w:val="center"/>
            <w:hideMark/>
          </w:tcPr>
          <w:p w14:paraId="46DD0B06"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 xml:space="preserve">1.2 </w:t>
            </w:r>
            <w:r w:rsidRPr="00F60B42">
              <w:rPr>
                <w:rFonts w:eastAsia="Georgia" w:cs="Arial"/>
                <w:b/>
                <w:szCs w:val="20"/>
                <w:lang w:eastAsia="sl-SI"/>
              </w:rPr>
              <w:t>Vsota</w:t>
            </w:r>
          </w:p>
        </w:tc>
        <w:tc>
          <w:tcPr>
            <w:tcW w:w="850" w:type="dxa"/>
            <w:shd w:val="clear" w:color="auto" w:fill="auto"/>
            <w:noWrap/>
            <w:vAlign w:val="center"/>
            <w:hideMark/>
          </w:tcPr>
          <w:p w14:paraId="28FCB102"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011F6CAD"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547" w:type="dxa"/>
            <w:shd w:val="clear" w:color="auto" w:fill="auto"/>
            <w:noWrap/>
            <w:vAlign w:val="center"/>
            <w:hideMark/>
          </w:tcPr>
          <w:p w14:paraId="2D98DF3F"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430" w:type="dxa"/>
            <w:shd w:val="clear" w:color="auto" w:fill="auto"/>
            <w:noWrap/>
            <w:vAlign w:val="center"/>
            <w:hideMark/>
          </w:tcPr>
          <w:p w14:paraId="5CB948C8"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688" w:type="dxa"/>
            <w:shd w:val="clear" w:color="auto" w:fill="auto"/>
            <w:noWrap/>
            <w:vAlign w:val="center"/>
            <w:hideMark/>
          </w:tcPr>
          <w:p w14:paraId="4B29FE47"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22.000.000,00</w:t>
            </w:r>
          </w:p>
        </w:tc>
        <w:tc>
          <w:tcPr>
            <w:tcW w:w="1660" w:type="dxa"/>
            <w:shd w:val="clear" w:color="auto" w:fill="auto"/>
            <w:noWrap/>
            <w:vAlign w:val="center"/>
            <w:hideMark/>
          </w:tcPr>
          <w:p w14:paraId="250CD53E"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88.000.000,00</w:t>
            </w:r>
          </w:p>
        </w:tc>
      </w:tr>
      <w:tr w:rsidR="003E3ED9" w:rsidRPr="00830439" w14:paraId="77BCBEA5" w14:textId="77777777" w:rsidTr="00E8716B">
        <w:trPr>
          <w:trHeight w:val="300"/>
        </w:trPr>
        <w:tc>
          <w:tcPr>
            <w:tcW w:w="1560" w:type="dxa"/>
            <w:shd w:val="clear" w:color="auto" w:fill="auto"/>
            <w:noWrap/>
            <w:vAlign w:val="center"/>
            <w:hideMark/>
          </w:tcPr>
          <w:p w14:paraId="33C9F560"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3.1</w:t>
            </w:r>
          </w:p>
        </w:tc>
        <w:tc>
          <w:tcPr>
            <w:tcW w:w="850" w:type="dxa"/>
            <w:shd w:val="clear" w:color="auto" w:fill="auto"/>
            <w:noWrap/>
            <w:vAlign w:val="center"/>
            <w:hideMark/>
          </w:tcPr>
          <w:p w14:paraId="65D73D6A"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0D5BE7AC"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547" w:type="dxa"/>
            <w:shd w:val="clear" w:color="auto" w:fill="auto"/>
            <w:noWrap/>
            <w:vAlign w:val="center"/>
            <w:hideMark/>
          </w:tcPr>
          <w:p w14:paraId="19D374F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430" w:type="dxa"/>
            <w:shd w:val="clear" w:color="auto" w:fill="auto"/>
            <w:noWrap/>
            <w:vAlign w:val="center"/>
            <w:hideMark/>
          </w:tcPr>
          <w:p w14:paraId="603C275D"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688" w:type="dxa"/>
            <w:shd w:val="clear" w:color="auto" w:fill="auto"/>
            <w:noWrap/>
            <w:vAlign w:val="center"/>
            <w:hideMark/>
          </w:tcPr>
          <w:p w14:paraId="7EBEF49F"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13.875.000,00</w:t>
            </w:r>
          </w:p>
        </w:tc>
        <w:tc>
          <w:tcPr>
            <w:tcW w:w="1660" w:type="dxa"/>
            <w:shd w:val="clear" w:color="auto" w:fill="auto"/>
            <w:noWrap/>
            <w:vAlign w:val="center"/>
            <w:hideMark/>
          </w:tcPr>
          <w:p w14:paraId="7EBB6FC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55.500.000,00</w:t>
            </w:r>
          </w:p>
        </w:tc>
      </w:tr>
      <w:tr w:rsidR="003E3ED9" w:rsidRPr="00830439" w14:paraId="3107B949" w14:textId="77777777" w:rsidTr="00E8716B">
        <w:trPr>
          <w:trHeight w:val="300"/>
        </w:trPr>
        <w:tc>
          <w:tcPr>
            <w:tcW w:w="1560" w:type="dxa"/>
            <w:shd w:val="clear" w:color="auto" w:fill="auto"/>
            <w:noWrap/>
            <w:vAlign w:val="center"/>
            <w:hideMark/>
          </w:tcPr>
          <w:p w14:paraId="1EEAC28B"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3.1</w:t>
            </w:r>
          </w:p>
        </w:tc>
        <w:tc>
          <w:tcPr>
            <w:tcW w:w="850" w:type="dxa"/>
            <w:shd w:val="clear" w:color="auto" w:fill="auto"/>
            <w:noWrap/>
            <w:vAlign w:val="center"/>
            <w:hideMark/>
          </w:tcPr>
          <w:p w14:paraId="2F36190D"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Zahod</w:t>
            </w:r>
          </w:p>
        </w:tc>
        <w:tc>
          <w:tcPr>
            <w:tcW w:w="1430" w:type="dxa"/>
            <w:shd w:val="clear" w:color="auto" w:fill="auto"/>
            <w:noWrap/>
            <w:vAlign w:val="center"/>
            <w:hideMark/>
          </w:tcPr>
          <w:p w14:paraId="496BD74C"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547" w:type="dxa"/>
            <w:shd w:val="clear" w:color="auto" w:fill="auto"/>
            <w:noWrap/>
            <w:vAlign w:val="center"/>
            <w:hideMark/>
          </w:tcPr>
          <w:p w14:paraId="492F54B4"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430" w:type="dxa"/>
            <w:shd w:val="clear" w:color="auto" w:fill="auto"/>
            <w:noWrap/>
            <w:vAlign w:val="center"/>
            <w:hideMark/>
          </w:tcPr>
          <w:p w14:paraId="37D14BE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688" w:type="dxa"/>
            <w:shd w:val="clear" w:color="auto" w:fill="auto"/>
            <w:noWrap/>
            <w:vAlign w:val="center"/>
            <w:hideMark/>
          </w:tcPr>
          <w:p w14:paraId="735A37A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19.875.000,00</w:t>
            </w:r>
          </w:p>
        </w:tc>
        <w:tc>
          <w:tcPr>
            <w:tcW w:w="1660" w:type="dxa"/>
            <w:shd w:val="clear" w:color="auto" w:fill="auto"/>
            <w:noWrap/>
            <w:vAlign w:val="center"/>
            <w:hideMark/>
          </w:tcPr>
          <w:p w14:paraId="671523B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79.500.000,00</w:t>
            </w:r>
          </w:p>
        </w:tc>
      </w:tr>
      <w:tr w:rsidR="003E3ED9" w:rsidRPr="00830439" w14:paraId="1B1D84C6" w14:textId="77777777" w:rsidTr="00E8716B">
        <w:trPr>
          <w:trHeight w:val="300"/>
        </w:trPr>
        <w:tc>
          <w:tcPr>
            <w:tcW w:w="1560" w:type="dxa"/>
            <w:shd w:val="clear" w:color="auto" w:fill="auto"/>
            <w:noWrap/>
            <w:vAlign w:val="center"/>
            <w:hideMark/>
          </w:tcPr>
          <w:p w14:paraId="105BF9E4"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3.1 Vsota</w:t>
            </w:r>
          </w:p>
        </w:tc>
        <w:tc>
          <w:tcPr>
            <w:tcW w:w="850" w:type="dxa"/>
            <w:shd w:val="clear" w:color="auto" w:fill="auto"/>
            <w:noWrap/>
            <w:vAlign w:val="center"/>
            <w:hideMark/>
          </w:tcPr>
          <w:p w14:paraId="338E6789"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7926C616"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547" w:type="dxa"/>
            <w:shd w:val="clear" w:color="auto" w:fill="auto"/>
            <w:noWrap/>
            <w:vAlign w:val="center"/>
            <w:hideMark/>
          </w:tcPr>
          <w:p w14:paraId="5F8A3998"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430" w:type="dxa"/>
            <w:shd w:val="clear" w:color="auto" w:fill="auto"/>
            <w:noWrap/>
            <w:vAlign w:val="center"/>
            <w:hideMark/>
          </w:tcPr>
          <w:p w14:paraId="54D062F2"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688" w:type="dxa"/>
            <w:shd w:val="clear" w:color="auto" w:fill="auto"/>
            <w:noWrap/>
            <w:vAlign w:val="center"/>
            <w:hideMark/>
          </w:tcPr>
          <w:p w14:paraId="5970B8E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33.750.000,00</w:t>
            </w:r>
          </w:p>
        </w:tc>
        <w:tc>
          <w:tcPr>
            <w:tcW w:w="1660" w:type="dxa"/>
            <w:shd w:val="clear" w:color="auto" w:fill="auto"/>
            <w:noWrap/>
            <w:vAlign w:val="center"/>
            <w:hideMark/>
          </w:tcPr>
          <w:p w14:paraId="547156D8"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135.000.000,00</w:t>
            </w:r>
          </w:p>
        </w:tc>
      </w:tr>
      <w:tr w:rsidR="003E3ED9" w:rsidRPr="00830439" w14:paraId="562B7D21" w14:textId="77777777" w:rsidTr="00E8716B">
        <w:trPr>
          <w:trHeight w:val="300"/>
        </w:trPr>
        <w:tc>
          <w:tcPr>
            <w:tcW w:w="1560" w:type="dxa"/>
            <w:shd w:val="clear" w:color="auto" w:fill="auto"/>
            <w:noWrap/>
            <w:vAlign w:val="center"/>
            <w:hideMark/>
          </w:tcPr>
          <w:p w14:paraId="567B4D69"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4.1</w:t>
            </w:r>
          </w:p>
        </w:tc>
        <w:tc>
          <w:tcPr>
            <w:tcW w:w="850" w:type="dxa"/>
            <w:shd w:val="clear" w:color="auto" w:fill="auto"/>
            <w:noWrap/>
            <w:vAlign w:val="center"/>
            <w:hideMark/>
          </w:tcPr>
          <w:p w14:paraId="535598CC"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SI</w:t>
            </w:r>
          </w:p>
        </w:tc>
        <w:tc>
          <w:tcPr>
            <w:tcW w:w="1430" w:type="dxa"/>
            <w:shd w:val="clear" w:color="auto" w:fill="auto"/>
            <w:noWrap/>
            <w:vAlign w:val="center"/>
            <w:hideMark/>
          </w:tcPr>
          <w:p w14:paraId="15D3BA4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547" w:type="dxa"/>
            <w:shd w:val="clear" w:color="auto" w:fill="auto"/>
            <w:noWrap/>
            <w:vAlign w:val="center"/>
            <w:hideMark/>
          </w:tcPr>
          <w:p w14:paraId="769E0C6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430" w:type="dxa"/>
            <w:shd w:val="clear" w:color="auto" w:fill="auto"/>
            <w:noWrap/>
            <w:vAlign w:val="center"/>
            <w:hideMark/>
          </w:tcPr>
          <w:p w14:paraId="284EF116"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6.250.000,00</w:t>
            </w:r>
          </w:p>
        </w:tc>
        <w:tc>
          <w:tcPr>
            <w:tcW w:w="1688" w:type="dxa"/>
            <w:shd w:val="clear" w:color="auto" w:fill="auto"/>
            <w:noWrap/>
            <w:vAlign w:val="center"/>
            <w:hideMark/>
          </w:tcPr>
          <w:p w14:paraId="7783A3D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-12.020.000,00</w:t>
            </w:r>
          </w:p>
        </w:tc>
        <w:tc>
          <w:tcPr>
            <w:tcW w:w="1660" w:type="dxa"/>
            <w:shd w:val="clear" w:color="auto" w:fill="auto"/>
            <w:noWrap/>
            <w:vAlign w:val="center"/>
            <w:hideMark/>
          </w:tcPr>
          <w:p w14:paraId="103180EB"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6.730.000</w:t>
            </w:r>
          </w:p>
        </w:tc>
      </w:tr>
      <w:tr w:rsidR="003E3ED9" w:rsidRPr="00830439" w14:paraId="667C1591" w14:textId="77777777" w:rsidTr="00E8716B">
        <w:trPr>
          <w:trHeight w:val="300"/>
        </w:trPr>
        <w:tc>
          <w:tcPr>
            <w:tcW w:w="1560" w:type="dxa"/>
            <w:shd w:val="clear" w:color="auto" w:fill="auto"/>
            <w:noWrap/>
            <w:vAlign w:val="center"/>
            <w:hideMark/>
          </w:tcPr>
          <w:p w14:paraId="5D6C38F2"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4.1 Vsota</w:t>
            </w:r>
          </w:p>
        </w:tc>
        <w:tc>
          <w:tcPr>
            <w:tcW w:w="850" w:type="dxa"/>
            <w:shd w:val="clear" w:color="auto" w:fill="auto"/>
            <w:noWrap/>
            <w:vAlign w:val="center"/>
            <w:hideMark/>
          </w:tcPr>
          <w:p w14:paraId="1BD19394"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52174B5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547" w:type="dxa"/>
            <w:shd w:val="clear" w:color="auto" w:fill="auto"/>
            <w:noWrap/>
            <w:vAlign w:val="center"/>
            <w:hideMark/>
          </w:tcPr>
          <w:p w14:paraId="62B11EE4"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430" w:type="dxa"/>
            <w:shd w:val="clear" w:color="auto" w:fill="auto"/>
            <w:noWrap/>
            <w:vAlign w:val="center"/>
            <w:hideMark/>
          </w:tcPr>
          <w:p w14:paraId="3FFB0112"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6.250.000,00</w:t>
            </w:r>
          </w:p>
        </w:tc>
        <w:tc>
          <w:tcPr>
            <w:tcW w:w="1688" w:type="dxa"/>
            <w:shd w:val="clear" w:color="auto" w:fill="auto"/>
            <w:noWrap/>
            <w:vAlign w:val="center"/>
            <w:hideMark/>
          </w:tcPr>
          <w:p w14:paraId="1B64ED21"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-12.020.000,00*</w:t>
            </w:r>
          </w:p>
        </w:tc>
        <w:tc>
          <w:tcPr>
            <w:tcW w:w="1660" w:type="dxa"/>
            <w:shd w:val="clear" w:color="auto" w:fill="auto"/>
            <w:noWrap/>
            <w:vAlign w:val="center"/>
            <w:hideMark/>
          </w:tcPr>
          <w:p w14:paraId="09E9B973"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6.730.000</w:t>
            </w:r>
          </w:p>
        </w:tc>
      </w:tr>
      <w:tr w:rsidR="003E3ED9" w:rsidRPr="00830439" w14:paraId="4FBA4CDC" w14:textId="77777777" w:rsidTr="00E8716B">
        <w:trPr>
          <w:trHeight w:val="300"/>
        </w:trPr>
        <w:tc>
          <w:tcPr>
            <w:tcW w:w="1560" w:type="dxa"/>
            <w:shd w:val="clear" w:color="auto" w:fill="auto"/>
            <w:noWrap/>
            <w:vAlign w:val="center"/>
            <w:hideMark/>
          </w:tcPr>
          <w:p w14:paraId="41543CA2"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6.3</w:t>
            </w:r>
          </w:p>
        </w:tc>
        <w:tc>
          <w:tcPr>
            <w:tcW w:w="850" w:type="dxa"/>
            <w:shd w:val="clear" w:color="auto" w:fill="auto"/>
            <w:noWrap/>
            <w:vAlign w:val="center"/>
            <w:hideMark/>
          </w:tcPr>
          <w:p w14:paraId="57A6EE56"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Vzhod</w:t>
            </w:r>
          </w:p>
        </w:tc>
        <w:tc>
          <w:tcPr>
            <w:tcW w:w="1430" w:type="dxa"/>
            <w:shd w:val="clear" w:color="auto" w:fill="auto"/>
            <w:noWrap/>
            <w:vAlign w:val="center"/>
            <w:hideMark/>
          </w:tcPr>
          <w:p w14:paraId="3A125121"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547" w:type="dxa"/>
            <w:shd w:val="clear" w:color="auto" w:fill="auto"/>
            <w:noWrap/>
            <w:vAlign w:val="center"/>
            <w:hideMark/>
          </w:tcPr>
          <w:p w14:paraId="6BBF2A7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430" w:type="dxa"/>
            <w:shd w:val="clear" w:color="auto" w:fill="auto"/>
            <w:noWrap/>
            <w:vAlign w:val="center"/>
            <w:hideMark/>
          </w:tcPr>
          <w:p w14:paraId="1FCC078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688" w:type="dxa"/>
            <w:shd w:val="clear" w:color="auto" w:fill="auto"/>
            <w:noWrap/>
            <w:vAlign w:val="center"/>
            <w:hideMark/>
          </w:tcPr>
          <w:p w14:paraId="71494478"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800.000,00</w:t>
            </w:r>
          </w:p>
        </w:tc>
        <w:tc>
          <w:tcPr>
            <w:tcW w:w="1660" w:type="dxa"/>
            <w:shd w:val="clear" w:color="auto" w:fill="auto"/>
            <w:noWrap/>
            <w:vAlign w:val="center"/>
            <w:hideMark/>
          </w:tcPr>
          <w:p w14:paraId="22D4908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3.200.000,00</w:t>
            </w:r>
          </w:p>
        </w:tc>
      </w:tr>
      <w:tr w:rsidR="003E3ED9" w:rsidRPr="00830439" w14:paraId="12CF04A3" w14:textId="77777777" w:rsidTr="00E8716B">
        <w:trPr>
          <w:trHeight w:val="300"/>
        </w:trPr>
        <w:tc>
          <w:tcPr>
            <w:tcW w:w="1560" w:type="dxa"/>
            <w:shd w:val="clear" w:color="auto" w:fill="auto"/>
            <w:noWrap/>
            <w:vAlign w:val="center"/>
            <w:hideMark/>
          </w:tcPr>
          <w:p w14:paraId="39237362" w14:textId="77777777" w:rsidR="003E3ED9" w:rsidRPr="00F60B42" w:rsidRDefault="003E3ED9" w:rsidP="00E8716B">
            <w:pPr>
              <w:suppressAutoHyphens/>
              <w:rPr>
                <w:rFonts w:eastAsia="Georgia" w:cs="Arial"/>
                <w:szCs w:val="20"/>
                <w:lang w:eastAsia="sl-SI"/>
              </w:rPr>
            </w:pPr>
            <w:r w:rsidRPr="00830439">
              <w:rPr>
                <w:rFonts w:eastAsia="Georgia" w:cs="Arial"/>
                <w:szCs w:val="20"/>
                <w:lang w:eastAsia="sl-SI"/>
              </w:rPr>
              <w:t>6.3</w:t>
            </w:r>
          </w:p>
        </w:tc>
        <w:tc>
          <w:tcPr>
            <w:tcW w:w="850" w:type="dxa"/>
            <w:shd w:val="clear" w:color="auto" w:fill="auto"/>
            <w:noWrap/>
            <w:vAlign w:val="center"/>
            <w:hideMark/>
          </w:tcPr>
          <w:p w14:paraId="200E39D1" w14:textId="77777777" w:rsidR="003E3ED9" w:rsidRPr="00F60B42" w:rsidRDefault="003E3ED9" w:rsidP="00E8716B">
            <w:pPr>
              <w:suppressAutoHyphens/>
              <w:rPr>
                <w:rFonts w:eastAsia="Georgia" w:cs="Arial"/>
                <w:szCs w:val="20"/>
                <w:lang w:eastAsia="sl-SI"/>
              </w:rPr>
            </w:pPr>
            <w:r w:rsidRPr="00F60B42">
              <w:rPr>
                <w:rFonts w:eastAsia="Georgia" w:cs="Arial"/>
                <w:szCs w:val="20"/>
                <w:lang w:eastAsia="sl-SI"/>
              </w:rPr>
              <w:t>Zahod</w:t>
            </w:r>
          </w:p>
        </w:tc>
        <w:tc>
          <w:tcPr>
            <w:tcW w:w="1430" w:type="dxa"/>
            <w:shd w:val="clear" w:color="auto" w:fill="auto"/>
            <w:noWrap/>
            <w:vAlign w:val="center"/>
            <w:hideMark/>
          </w:tcPr>
          <w:p w14:paraId="5CCCB7C7"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547" w:type="dxa"/>
            <w:shd w:val="clear" w:color="auto" w:fill="auto"/>
            <w:noWrap/>
            <w:vAlign w:val="center"/>
            <w:hideMark/>
          </w:tcPr>
          <w:p w14:paraId="34B3379E"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430" w:type="dxa"/>
            <w:shd w:val="clear" w:color="auto" w:fill="auto"/>
            <w:noWrap/>
            <w:vAlign w:val="center"/>
            <w:hideMark/>
          </w:tcPr>
          <w:p w14:paraId="5A697892"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688" w:type="dxa"/>
            <w:shd w:val="clear" w:color="auto" w:fill="auto"/>
            <w:noWrap/>
            <w:vAlign w:val="center"/>
            <w:hideMark/>
          </w:tcPr>
          <w:p w14:paraId="1B436085"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450.000,00</w:t>
            </w:r>
          </w:p>
        </w:tc>
        <w:tc>
          <w:tcPr>
            <w:tcW w:w="1660" w:type="dxa"/>
            <w:shd w:val="clear" w:color="auto" w:fill="auto"/>
            <w:noWrap/>
            <w:vAlign w:val="center"/>
            <w:hideMark/>
          </w:tcPr>
          <w:p w14:paraId="02DA7BE0" w14:textId="77777777" w:rsidR="003E3ED9" w:rsidRPr="00830439" w:rsidRDefault="003E3ED9" w:rsidP="00E8716B">
            <w:pPr>
              <w:suppressAutoHyphens/>
              <w:jc w:val="right"/>
              <w:rPr>
                <w:rFonts w:eastAsia="Georgia" w:cs="Arial"/>
                <w:szCs w:val="20"/>
                <w:lang w:eastAsia="sl-SI"/>
              </w:rPr>
            </w:pPr>
            <w:r w:rsidRPr="00830439">
              <w:rPr>
                <w:rFonts w:eastAsia="Georgia" w:cs="Arial"/>
                <w:szCs w:val="20"/>
                <w:lang w:eastAsia="sl-SI"/>
              </w:rPr>
              <w:t>1.800.000,00</w:t>
            </w:r>
          </w:p>
        </w:tc>
      </w:tr>
      <w:tr w:rsidR="003E3ED9" w:rsidRPr="00830439" w14:paraId="7E80330F" w14:textId="77777777" w:rsidTr="00E8716B">
        <w:trPr>
          <w:trHeight w:val="300"/>
        </w:trPr>
        <w:tc>
          <w:tcPr>
            <w:tcW w:w="1560" w:type="dxa"/>
            <w:shd w:val="clear" w:color="auto" w:fill="auto"/>
            <w:noWrap/>
            <w:vAlign w:val="center"/>
            <w:hideMark/>
          </w:tcPr>
          <w:p w14:paraId="2AF1A6E7"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6.3 Vsota</w:t>
            </w:r>
          </w:p>
        </w:tc>
        <w:tc>
          <w:tcPr>
            <w:tcW w:w="850" w:type="dxa"/>
            <w:shd w:val="clear" w:color="auto" w:fill="auto"/>
            <w:noWrap/>
            <w:vAlign w:val="center"/>
            <w:hideMark/>
          </w:tcPr>
          <w:p w14:paraId="139CB38D"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7DA0F492"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547" w:type="dxa"/>
            <w:shd w:val="clear" w:color="auto" w:fill="auto"/>
            <w:noWrap/>
            <w:vAlign w:val="center"/>
            <w:hideMark/>
          </w:tcPr>
          <w:p w14:paraId="22D388C4"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430" w:type="dxa"/>
            <w:shd w:val="clear" w:color="auto" w:fill="auto"/>
            <w:noWrap/>
            <w:vAlign w:val="center"/>
            <w:hideMark/>
          </w:tcPr>
          <w:p w14:paraId="28328745"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688" w:type="dxa"/>
            <w:shd w:val="clear" w:color="auto" w:fill="auto"/>
            <w:noWrap/>
            <w:vAlign w:val="center"/>
            <w:hideMark/>
          </w:tcPr>
          <w:p w14:paraId="357C2128"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1.250.000,00</w:t>
            </w:r>
          </w:p>
        </w:tc>
        <w:tc>
          <w:tcPr>
            <w:tcW w:w="1660" w:type="dxa"/>
            <w:shd w:val="clear" w:color="auto" w:fill="auto"/>
            <w:noWrap/>
            <w:vAlign w:val="center"/>
            <w:hideMark/>
          </w:tcPr>
          <w:p w14:paraId="7610D31F"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5.000.000,00</w:t>
            </w:r>
          </w:p>
        </w:tc>
      </w:tr>
      <w:tr w:rsidR="003E3ED9" w:rsidRPr="00830439" w14:paraId="73AEB5F4" w14:textId="77777777" w:rsidTr="00E8716B">
        <w:trPr>
          <w:trHeight w:val="300"/>
        </w:trPr>
        <w:tc>
          <w:tcPr>
            <w:tcW w:w="1560" w:type="dxa"/>
            <w:shd w:val="clear" w:color="auto" w:fill="auto"/>
            <w:noWrap/>
            <w:vAlign w:val="center"/>
            <w:hideMark/>
          </w:tcPr>
          <w:p w14:paraId="1733CEBF" w14:textId="77777777" w:rsidR="003E3ED9" w:rsidRPr="00F60B42" w:rsidRDefault="003E3ED9" w:rsidP="00E8716B">
            <w:pPr>
              <w:suppressAutoHyphens/>
              <w:rPr>
                <w:rFonts w:eastAsia="Georgia" w:cs="Arial"/>
                <w:b/>
                <w:szCs w:val="20"/>
                <w:lang w:eastAsia="sl-SI"/>
              </w:rPr>
            </w:pPr>
            <w:r w:rsidRPr="00830439">
              <w:rPr>
                <w:rFonts w:eastAsia="Georgia" w:cs="Arial"/>
                <w:b/>
                <w:szCs w:val="20"/>
                <w:lang w:eastAsia="sl-SI"/>
              </w:rPr>
              <w:t>Skupaj</w:t>
            </w:r>
          </w:p>
        </w:tc>
        <w:tc>
          <w:tcPr>
            <w:tcW w:w="850" w:type="dxa"/>
            <w:shd w:val="clear" w:color="auto" w:fill="auto"/>
            <w:noWrap/>
            <w:vAlign w:val="center"/>
            <w:hideMark/>
          </w:tcPr>
          <w:p w14:paraId="398F3873" w14:textId="77777777" w:rsidR="003E3ED9" w:rsidRPr="00F60B42" w:rsidRDefault="003E3ED9" w:rsidP="00E8716B">
            <w:pPr>
              <w:suppressAutoHyphens/>
              <w:rPr>
                <w:rFonts w:eastAsia="Georgia" w:cs="Arial"/>
                <w:b/>
                <w:szCs w:val="20"/>
                <w:lang w:eastAsia="sl-SI"/>
              </w:rPr>
            </w:pPr>
          </w:p>
        </w:tc>
        <w:tc>
          <w:tcPr>
            <w:tcW w:w="1430" w:type="dxa"/>
            <w:shd w:val="clear" w:color="auto" w:fill="auto"/>
            <w:noWrap/>
            <w:vAlign w:val="center"/>
            <w:hideMark/>
          </w:tcPr>
          <w:p w14:paraId="46755D0F"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547" w:type="dxa"/>
            <w:shd w:val="clear" w:color="auto" w:fill="auto"/>
            <w:noWrap/>
            <w:vAlign w:val="center"/>
            <w:hideMark/>
          </w:tcPr>
          <w:p w14:paraId="1F7FD4A7"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430" w:type="dxa"/>
            <w:shd w:val="clear" w:color="auto" w:fill="auto"/>
            <w:noWrap/>
            <w:vAlign w:val="center"/>
            <w:hideMark/>
          </w:tcPr>
          <w:p w14:paraId="060DDA19"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63.250.000,00</w:t>
            </w:r>
          </w:p>
        </w:tc>
        <w:tc>
          <w:tcPr>
            <w:tcW w:w="1688" w:type="dxa"/>
            <w:shd w:val="clear" w:color="auto" w:fill="auto"/>
            <w:noWrap/>
            <w:vAlign w:val="center"/>
            <w:hideMark/>
          </w:tcPr>
          <w:p w14:paraId="5C7492E0"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57.000.000,00</w:t>
            </w:r>
          </w:p>
        </w:tc>
        <w:tc>
          <w:tcPr>
            <w:tcW w:w="1660" w:type="dxa"/>
            <w:shd w:val="clear" w:color="auto" w:fill="auto"/>
            <w:noWrap/>
            <w:vAlign w:val="center"/>
            <w:hideMark/>
          </w:tcPr>
          <w:p w14:paraId="7F337223" w14:textId="77777777" w:rsidR="003E3ED9" w:rsidRPr="00830439" w:rsidRDefault="003E3ED9" w:rsidP="00E8716B">
            <w:pPr>
              <w:suppressAutoHyphens/>
              <w:jc w:val="right"/>
              <w:rPr>
                <w:rFonts w:eastAsia="Georgia" w:cs="Arial"/>
                <w:b/>
                <w:szCs w:val="20"/>
                <w:lang w:eastAsia="sl-SI"/>
              </w:rPr>
            </w:pPr>
            <w:r w:rsidRPr="00830439">
              <w:rPr>
                <w:rFonts w:eastAsia="Georgia" w:cs="Arial"/>
                <w:b/>
                <w:szCs w:val="20"/>
                <w:lang w:eastAsia="sl-SI"/>
              </w:rPr>
              <w:t>234.730.000,00</w:t>
            </w:r>
          </w:p>
        </w:tc>
      </w:tr>
    </w:tbl>
    <w:p w14:paraId="10873A9E" w14:textId="77777777" w:rsidR="003E3ED9" w:rsidRPr="00830439" w:rsidRDefault="003E3ED9" w:rsidP="003E3ED9">
      <w:pPr>
        <w:jc w:val="both"/>
        <w:rPr>
          <w:rFonts w:cs="Arial"/>
          <w:szCs w:val="20"/>
        </w:rPr>
      </w:pPr>
    </w:p>
    <w:p w14:paraId="2EE0854F" w14:textId="77777777" w:rsidR="003E3ED9" w:rsidRPr="00F60B42" w:rsidRDefault="003E3ED9" w:rsidP="003E3ED9">
      <w:pPr>
        <w:jc w:val="both"/>
        <w:rPr>
          <w:rFonts w:cs="Arial"/>
          <w:szCs w:val="20"/>
        </w:rPr>
      </w:pPr>
      <w:r w:rsidRPr="00F60B42">
        <w:rPr>
          <w:rFonts w:cs="Arial"/>
          <w:szCs w:val="20"/>
        </w:rPr>
        <w:t>V tabeli 11 so prikazane načrtovane vrednosti tranš, ki so bile dejansko izplačane v letih 2017, 2019, 2021 in 2022.</w:t>
      </w:r>
    </w:p>
    <w:p w14:paraId="7666ED3B" w14:textId="77777777" w:rsidR="003E3ED9" w:rsidRPr="00F60B42" w:rsidRDefault="003E3ED9" w:rsidP="003E3ED9">
      <w:pPr>
        <w:jc w:val="both"/>
        <w:rPr>
          <w:rFonts w:cs="Arial"/>
          <w:szCs w:val="20"/>
        </w:rPr>
      </w:pPr>
    </w:p>
    <w:p w14:paraId="65A7DFDA" w14:textId="77777777" w:rsidR="003E3ED9" w:rsidRPr="00830439" w:rsidRDefault="003E3ED9" w:rsidP="003E3ED9">
      <w:pPr>
        <w:jc w:val="both"/>
        <w:rPr>
          <w:rFonts w:cs="Arial"/>
          <w:szCs w:val="20"/>
        </w:rPr>
      </w:pPr>
      <w:r w:rsidRPr="00830439">
        <w:rPr>
          <w:rFonts w:cs="Arial"/>
          <w:szCs w:val="20"/>
        </w:rPr>
        <w:t>Ob upoštevanju izvedenega znižanja sredstev na PN 4.1 EE v skupnem znesku 18,27 mio EUR, od tega 6,25 mio EUR iz naslova prvotno načrtovanega zneska tranše za PN 4.1 EE za 2022, znaša skupna vrednost zadnje tranše 57,00 mio EUR namesto prvotno načrtovanih 63,25 mio EUR.</w:t>
      </w:r>
    </w:p>
    <w:p w14:paraId="74438BEE" w14:textId="77777777" w:rsidR="003E3ED9" w:rsidRPr="00830439" w:rsidRDefault="003E3ED9" w:rsidP="003E3ED9">
      <w:pPr>
        <w:jc w:val="both"/>
        <w:rPr>
          <w:rFonts w:cs="Arial"/>
          <w:szCs w:val="20"/>
        </w:rPr>
      </w:pPr>
    </w:p>
    <w:p w14:paraId="5E5C0C37" w14:textId="77777777" w:rsidR="003E3ED9" w:rsidRPr="00830439" w:rsidRDefault="003E3ED9" w:rsidP="003E3ED9">
      <w:pPr>
        <w:jc w:val="both"/>
        <w:rPr>
          <w:rFonts w:cs="Arial"/>
          <w:szCs w:val="20"/>
        </w:rPr>
      </w:pPr>
      <w:r w:rsidRPr="00830439">
        <w:rPr>
          <w:rFonts w:cs="Arial"/>
          <w:szCs w:val="20"/>
        </w:rPr>
        <w:t>* Znižanje sredstev za PN 4.1 EE v skupni višini 18,27 mio EUR (iz 25,00 mio EUR na 6,73 mio EUR) vključuje načrtovana tako že vplačana kot tudi še ne vplačana sredstva v FI za EE, in sicer:</w:t>
      </w:r>
    </w:p>
    <w:p w14:paraId="0C4D8368" w14:textId="77777777" w:rsidR="003E3ED9" w:rsidRPr="00830439" w:rsidRDefault="003E3ED9" w:rsidP="003E3ED9">
      <w:pPr>
        <w:numPr>
          <w:ilvl w:val="0"/>
          <w:numId w:val="41"/>
        </w:numPr>
        <w:spacing w:line="240" w:lineRule="atLeast"/>
        <w:contextualSpacing/>
        <w:jc w:val="both"/>
        <w:rPr>
          <w:rFonts w:eastAsia="Calibri" w:cs="Arial"/>
          <w:szCs w:val="20"/>
        </w:rPr>
      </w:pPr>
      <w:r w:rsidRPr="00830439">
        <w:rPr>
          <w:rFonts w:eastAsia="Calibri" w:cs="Arial"/>
          <w:szCs w:val="20"/>
        </w:rPr>
        <w:t>v letu 2022 se načrtovani znesek 4. tranše v višini 6,25 mio EUR ne izvede, torej ni načrtovanih izplačil v FI za PN 4.1 EE, ter</w:t>
      </w:r>
    </w:p>
    <w:p w14:paraId="14B6F610" w14:textId="77777777" w:rsidR="003E3ED9" w:rsidRPr="00830439" w:rsidRDefault="003E3ED9" w:rsidP="003E3ED9">
      <w:pPr>
        <w:numPr>
          <w:ilvl w:val="0"/>
          <w:numId w:val="41"/>
        </w:numPr>
        <w:spacing w:line="240" w:lineRule="atLeast"/>
        <w:contextualSpacing/>
        <w:jc w:val="both"/>
        <w:rPr>
          <w:rFonts w:eastAsia="Calibri" w:cs="Arial"/>
          <w:szCs w:val="20"/>
        </w:rPr>
      </w:pPr>
      <w:r w:rsidRPr="00830439">
        <w:rPr>
          <w:rFonts w:eastAsia="Calibri" w:cs="Arial"/>
          <w:szCs w:val="20"/>
        </w:rPr>
        <w:t>že vplačana sredstva EU v FI za PN 4.1 EE z drugo (v letu 2019) in tretjo tranšo (v letu 2021) bo upravičenec po spremembi odločitve o podpori in podpisu aneksa k SOF v letu 2022 vrnil v skupnem znesku 12,02 mio EUR.</w:t>
      </w:r>
    </w:p>
    <w:p w14:paraId="4A0A9004" w14:textId="77777777" w:rsidR="003E3ED9" w:rsidRPr="00830439" w:rsidRDefault="003E3ED9" w:rsidP="003E3ED9">
      <w:pPr>
        <w:jc w:val="both"/>
        <w:rPr>
          <w:rFonts w:cs="Arial"/>
          <w:szCs w:val="20"/>
        </w:rPr>
      </w:pPr>
      <w:r w:rsidRPr="00830439">
        <w:rPr>
          <w:rFonts w:cs="Arial"/>
          <w:szCs w:val="20"/>
        </w:rPr>
        <w:t>V tabeli 11 navedena vrednost za PN 4.1 EE za leto 2022 ne predstavlja zneska dejanske izvedbe nižanja operacije FI v delu podpore za PN 4.1.</w:t>
      </w:r>
    </w:p>
    <w:p w14:paraId="1243B8E1" w14:textId="77777777" w:rsidR="003E3ED9" w:rsidRPr="00830439" w:rsidRDefault="003E3ED9" w:rsidP="003E3ED9">
      <w:pPr>
        <w:jc w:val="both"/>
        <w:rPr>
          <w:rFonts w:cs="Arial"/>
          <w:szCs w:val="20"/>
        </w:rPr>
      </w:pPr>
    </w:p>
    <w:p w14:paraId="4B1857E5" w14:textId="77777777" w:rsidR="003E3ED9" w:rsidRPr="00830439" w:rsidRDefault="003E3ED9" w:rsidP="003E3ED9">
      <w:pPr>
        <w:jc w:val="both"/>
        <w:rPr>
          <w:rFonts w:cs="Arial"/>
          <w:szCs w:val="20"/>
        </w:rPr>
      </w:pPr>
      <w:r w:rsidRPr="00830439">
        <w:rPr>
          <w:rFonts w:cs="Arial"/>
          <w:szCs w:val="20"/>
        </w:rPr>
        <w:t>Upravljavec sklada skladov se v sporazumu o financiranju med drugim zaveže k rednemu plasiranju sredstev (preko finančnih posrednikov ali neposredno) do končnih prejemnikov.</w:t>
      </w:r>
    </w:p>
    <w:p w14:paraId="7FF0C2F4" w14:textId="77777777" w:rsidR="003E3ED9" w:rsidRPr="00830439" w:rsidRDefault="003E3ED9" w:rsidP="003E3ED9">
      <w:pPr>
        <w:jc w:val="both"/>
        <w:rPr>
          <w:rFonts w:cs="Arial"/>
          <w:szCs w:val="20"/>
        </w:rPr>
      </w:pPr>
    </w:p>
    <w:p w14:paraId="527417E1" w14:textId="77777777" w:rsidR="003E3ED9" w:rsidRPr="00830439" w:rsidRDefault="003E3ED9" w:rsidP="003E3ED9">
      <w:pPr>
        <w:jc w:val="both"/>
        <w:rPr>
          <w:rFonts w:cs="Arial"/>
          <w:szCs w:val="20"/>
        </w:rPr>
      </w:pPr>
      <w:r w:rsidRPr="00830439">
        <w:rPr>
          <w:rFonts w:cs="Arial"/>
          <w:szCs w:val="20"/>
        </w:rPr>
        <w:t>V nadaljevanju so predstavljeni finančni instrumenti po področjih in sicer:</w:t>
      </w:r>
    </w:p>
    <w:p w14:paraId="4AC4FBB6" w14:textId="77777777" w:rsidR="003E3ED9" w:rsidRPr="00830439" w:rsidRDefault="003E3ED9" w:rsidP="003E3ED9">
      <w:pPr>
        <w:numPr>
          <w:ilvl w:val="0"/>
          <w:numId w:val="42"/>
        </w:numPr>
        <w:spacing w:line="240" w:lineRule="atLeast"/>
        <w:contextualSpacing/>
        <w:jc w:val="both"/>
        <w:rPr>
          <w:rFonts w:eastAsia="Calibri" w:cs="Arial"/>
          <w:szCs w:val="20"/>
        </w:rPr>
      </w:pPr>
      <w:r w:rsidRPr="00830439">
        <w:rPr>
          <w:rFonts w:eastAsia="Calibri" w:cs="Arial"/>
          <w:szCs w:val="20"/>
        </w:rPr>
        <w:t>finančni instrumenti za RRI za MSP in velika podjetja (financirani iz TC 1),</w:t>
      </w:r>
    </w:p>
    <w:p w14:paraId="01F96151" w14:textId="77777777" w:rsidR="003E3ED9" w:rsidRPr="00830439" w:rsidRDefault="003E3ED9" w:rsidP="003E3ED9">
      <w:pPr>
        <w:numPr>
          <w:ilvl w:val="0"/>
          <w:numId w:val="42"/>
        </w:numPr>
        <w:spacing w:line="240" w:lineRule="atLeast"/>
        <w:contextualSpacing/>
        <w:jc w:val="both"/>
        <w:rPr>
          <w:rFonts w:eastAsia="Calibri" w:cs="Arial"/>
          <w:szCs w:val="20"/>
        </w:rPr>
      </w:pPr>
      <w:r w:rsidRPr="00830439">
        <w:rPr>
          <w:rFonts w:eastAsia="Calibri" w:cs="Arial"/>
          <w:szCs w:val="20"/>
        </w:rPr>
        <w:t>finančni instrumenti za MSP (financirani iz TC 3),</w:t>
      </w:r>
    </w:p>
    <w:p w14:paraId="57171EFD" w14:textId="77777777" w:rsidR="003E3ED9" w:rsidRPr="00830439" w:rsidRDefault="003E3ED9" w:rsidP="003E3ED9">
      <w:pPr>
        <w:numPr>
          <w:ilvl w:val="0"/>
          <w:numId w:val="42"/>
        </w:numPr>
        <w:spacing w:line="240" w:lineRule="atLeast"/>
        <w:contextualSpacing/>
        <w:jc w:val="both"/>
        <w:rPr>
          <w:rFonts w:eastAsia="Calibri" w:cs="Arial"/>
          <w:szCs w:val="20"/>
        </w:rPr>
      </w:pPr>
      <w:r w:rsidRPr="00830439">
        <w:rPr>
          <w:rFonts w:eastAsia="Calibri" w:cs="Arial"/>
          <w:szCs w:val="20"/>
        </w:rPr>
        <w:t>finančni instrumenti za energetsko učinkovitost (financirani iz TC 4) in</w:t>
      </w:r>
    </w:p>
    <w:p w14:paraId="2D0CC374" w14:textId="77777777" w:rsidR="003E3ED9" w:rsidRPr="00830439" w:rsidRDefault="003E3ED9" w:rsidP="003E3ED9">
      <w:pPr>
        <w:numPr>
          <w:ilvl w:val="0"/>
          <w:numId w:val="42"/>
        </w:numPr>
        <w:spacing w:line="240" w:lineRule="atLeast"/>
        <w:contextualSpacing/>
        <w:jc w:val="both"/>
        <w:rPr>
          <w:rFonts w:eastAsia="Calibri" w:cs="Arial"/>
          <w:szCs w:val="20"/>
        </w:rPr>
      </w:pPr>
      <w:r w:rsidRPr="00830439">
        <w:rPr>
          <w:rFonts w:eastAsia="Calibri" w:cs="Arial"/>
          <w:szCs w:val="20"/>
        </w:rPr>
        <w:t>finančni instrumenti za urbani razvoj (financirani iz TC 6).</w:t>
      </w:r>
    </w:p>
    <w:p w14:paraId="5DB30711" w14:textId="77777777" w:rsidR="003E3ED9" w:rsidRPr="002A1F16" w:rsidRDefault="003E3ED9" w:rsidP="003E3ED9">
      <w:pPr>
        <w:spacing w:before="240" w:after="120"/>
        <w:ind w:left="2"/>
        <w:outlineLvl w:val="0"/>
        <w:rPr>
          <w:rFonts w:cs="Arial"/>
          <w:b/>
          <w:color w:val="AACDDB"/>
          <w:szCs w:val="20"/>
        </w:rPr>
      </w:pPr>
      <w:bookmarkStart w:id="35" w:name="_Toc132097826"/>
      <w:r w:rsidRPr="002A1F16">
        <w:rPr>
          <w:rFonts w:cs="Arial"/>
          <w:b/>
          <w:color w:val="AACDDB"/>
          <w:szCs w:val="20"/>
        </w:rPr>
        <w:t>3.2.1 Finančni instrument za RRI</w:t>
      </w:r>
      <w:bookmarkEnd w:id="35"/>
    </w:p>
    <w:p w14:paraId="3822ED6B" w14:textId="77777777" w:rsidR="003E3ED9" w:rsidRPr="00830439" w:rsidRDefault="003E3ED9" w:rsidP="003E3ED9">
      <w:pPr>
        <w:jc w:val="both"/>
        <w:rPr>
          <w:rFonts w:cs="Arial"/>
          <w:szCs w:val="20"/>
        </w:rPr>
      </w:pPr>
      <w:r w:rsidRPr="00830439">
        <w:rPr>
          <w:rFonts w:cs="Arial"/>
          <w:szCs w:val="20"/>
        </w:rPr>
        <w:t>Predlagani FI za RRI se osredotočajo na zagotavljanje posojil za projekte na področju RRI za start-up podjetja, MSP ter velika podjetja. Pridobljene izkušnje drugih držav članic so opozorile na dejstvo, da sta za pozitivne rezultate pri takšnem FI potrebna dobro razvit sistem inovacij ter jasna struktura projektov.</w:t>
      </w:r>
    </w:p>
    <w:p w14:paraId="2EFAFE55" w14:textId="77777777" w:rsidR="003E3ED9" w:rsidRPr="00830439" w:rsidRDefault="003E3ED9" w:rsidP="003E3ED9">
      <w:pPr>
        <w:jc w:val="both"/>
        <w:rPr>
          <w:rFonts w:cs="Arial"/>
          <w:szCs w:val="20"/>
        </w:rPr>
      </w:pPr>
    </w:p>
    <w:p w14:paraId="6DFBE243" w14:textId="77777777" w:rsidR="003E3ED9" w:rsidRPr="00830439" w:rsidRDefault="003E3ED9" w:rsidP="003E3ED9">
      <w:pPr>
        <w:jc w:val="both"/>
        <w:rPr>
          <w:rFonts w:cs="Arial"/>
          <w:szCs w:val="20"/>
        </w:rPr>
      </w:pPr>
      <w:r w:rsidRPr="00830439">
        <w:rPr>
          <w:rFonts w:cs="Arial"/>
          <w:szCs w:val="20"/>
        </w:rPr>
        <w:t>Posojila za RRI za MSP in velika podjetja</w:t>
      </w:r>
    </w:p>
    <w:p w14:paraId="732406F1" w14:textId="77777777" w:rsidR="003E3ED9" w:rsidRPr="00830439" w:rsidRDefault="003E3ED9" w:rsidP="003E3ED9">
      <w:pPr>
        <w:jc w:val="both"/>
        <w:rPr>
          <w:rFonts w:cs="Arial"/>
          <w:szCs w:val="20"/>
        </w:rPr>
      </w:pPr>
      <w:r w:rsidRPr="00830439">
        <w:rPr>
          <w:rFonts w:cs="Arial"/>
          <w:szCs w:val="20"/>
        </w:rPr>
        <w:lastRenderedPageBreak/>
        <w:t>Za spodbujanje RRI se bodo izvajala ugodna posojila (dolge ročnosti, nizka obrestna mera, slabša zavarovanja) za inovativna start-up podjetja in MSP ter za velika podjetja.</w:t>
      </w:r>
    </w:p>
    <w:p w14:paraId="482B4D40" w14:textId="77777777" w:rsidR="003E3ED9" w:rsidRPr="00830439" w:rsidRDefault="003E3ED9" w:rsidP="003E3ED9">
      <w:pPr>
        <w:jc w:val="both"/>
        <w:rPr>
          <w:rFonts w:cs="Arial"/>
          <w:szCs w:val="20"/>
        </w:rPr>
      </w:pPr>
    </w:p>
    <w:p w14:paraId="403F7A46" w14:textId="77777777" w:rsidR="003E3ED9" w:rsidRPr="00830439" w:rsidRDefault="003E3ED9" w:rsidP="003E3ED9">
      <w:pPr>
        <w:jc w:val="both"/>
        <w:rPr>
          <w:rFonts w:cs="Arial"/>
          <w:szCs w:val="20"/>
        </w:rPr>
      </w:pPr>
      <w:r w:rsidRPr="00830439">
        <w:rPr>
          <w:rFonts w:cs="Arial"/>
          <w:szCs w:val="20"/>
        </w:rPr>
        <w:t>Za posojila je namenjenih 72,6 mio EUR, ki izhajajo iz TC 1:</w:t>
      </w:r>
    </w:p>
    <w:p w14:paraId="5E42AA17" w14:textId="77777777" w:rsidR="003E3ED9" w:rsidRPr="00830439" w:rsidRDefault="003E3ED9" w:rsidP="003E3ED9">
      <w:pPr>
        <w:numPr>
          <w:ilvl w:val="0"/>
          <w:numId w:val="43"/>
        </w:numPr>
        <w:spacing w:line="240" w:lineRule="atLeast"/>
        <w:contextualSpacing/>
        <w:jc w:val="both"/>
        <w:rPr>
          <w:rFonts w:eastAsia="Calibri" w:cs="Arial"/>
          <w:szCs w:val="20"/>
        </w:rPr>
      </w:pPr>
      <w:r w:rsidRPr="00830439">
        <w:rPr>
          <w:rFonts w:eastAsia="Calibri" w:cs="Arial"/>
          <w:szCs w:val="20"/>
        </w:rPr>
        <w:t>23 mio EUR za velika podjetja;</w:t>
      </w:r>
    </w:p>
    <w:p w14:paraId="3E842C51" w14:textId="77777777" w:rsidR="003E3ED9" w:rsidRPr="00830439" w:rsidRDefault="003E3ED9" w:rsidP="003E3ED9">
      <w:pPr>
        <w:numPr>
          <w:ilvl w:val="0"/>
          <w:numId w:val="43"/>
        </w:numPr>
        <w:spacing w:line="240" w:lineRule="atLeast"/>
        <w:contextualSpacing/>
        <w:jc w:val="both"/>
        <w:rPr>
          <w:rFonts w:eastAsia="Calibri" w:cs="Arial"/>
          <w:szCs w:val="20"/>
        </w:rPr>
      </w:pPr>
      <w:r w:rsidRPr="00830439">
        <w:rPr>
          <w:rFonts w:eastAsia="Calibri" w:cs="Arial"/>
          <w:szCs w:val="20"/>
        </w:rPr>
        <w:t>49,6 mio EUR za MSP.</w:t>
      </w:r>
    </w:p>
    <w:p w14:paraId="6FA4F1D8" w14:textId="77777777" w:rsidR="003E3ED9" w:rsidRPr="00830439" w:rsidRDefault="003E3ED9" w:rsidP="003E3ED9">
      <w:pPr>
        <w:jc w:val="both"/>
        <w:rPr>
          <w:rFonts w:cs="Arial"/>
          <w:szCs w:val="20"/>
        </w:rPr>
      </w:pPr>
      <w:r w:rsidRPr="00830439">
        <w:rPr>
          <w:rFonts w:cs="Arial"/>
          <w:szCs w:val="20"/>
        </w:rPr>
        <w:t>Pričakovani učinek finančnega vzvoda je 1,5 do 2,5.</w:t>
      </w:r>
    </w:p>
    <w:p w14:paraId="25DEE42E" w14:textId="77777777" w:rsidR="003E3ED9" w:rsidRPr="00830439" w:rsidRDefault="003E3ED9" w:rsidP="003E3ED9">
      <w:pPr>
        <w:jc w:val="both"/>
        <w:rPr>
          <w:rFonts w:cs="Arial"/>
          <w:szCs w:val="20"/>
        </w:rPr>
      </w:pPr>
    </w:p>
    <w:p w14:paraId="72E48429" w14:textId="77777777" w:rsidR="003E3ED9" w:rsidRPr="00830439" w:rsidRDefault="003E3ED9" w:rsidP="003E3ED9">
      <w:pPr>
        <w:jc w:val="both"/>
        <w:rPr>
          <w:rFonts w:cs="Arial"/>
          <w:szCs w:val="20"/>
        </w:rPr>
      </w:pPr>
      <w:r w:rsidRPr="00830439">
        <w:rPr>
          <w:rFonts w:cs="Arial"/>
          <w:szCs w:val="20"/>
        </w:rPr>
        <w:t>Posojila lahko pokrivajo investicije (opredmetene in neopredmetene).</w:t>
      </w:r>
    </w:p>
    <w:p w14:paraId="43AF15BA" w14:textId="77777777" w:rsidR="003E3ED9" w:rsidRPr="00830439" w:rsidRDefault="003E3ED9" w:rsidP="003E3ED9">
      <w:pPr>
        <w:jc w:val="both"/>
        <w:rPr>
          <w:rFonts w:cs="Arial"/>
          <w:szCs w:val="20"/>
        </w:rPr>
      </w:pPr>
    </w:p>
    <w:p w14:paraId="2EE14BBA" w14:textId="77777777" w:rsidR="003E3ED9" w:rsidRPr="00830439" w:rsidRDefault="003E3ED9" w:rsidP="003E3ED9">
      <w:pPr>
        <w:jc w:val="both"/>
        <w:rPr>
          <w:rFonts w:cs="Arial"/>
          <w:szCs w:val="20"/>
        </w:rPr>
      </w:pPr>
      <w:r w:rsidRPr="00830439">
        <w:rPr>
          <w:rFonts w:cs="Arial"/>
          <w:szCs w:val="20"/>
        </w:rPr>
        <w:t xml:space="preserve">Državne pomoči: krediti se presojajo skladno z relevantno shemo državne pomoči ali pomoči de </w:t>
      </w:r>
      <w:proofErr w:type="spellStart"/>
      <w:r w:rsidRPr="00830439">
        <w:rPr>
          <w:rFonts w:cs="Arial"/>
          <w:szCs w:val="20"/>
        </w:rPr>
        <w:t>minimis</w:t>
      </w:r>
      <w:proofErr w:type="spellEnd"/>
      <w:r w:rsidRPr="00830439">
        <w:rPr>
          <w:rFonts w:cs="Arial"/>
          <w:szCs w:val="20"/>
        </w:rPr>
        <w:t>.</w:t>
      </w:r>
    </w:p>
    <w:p w14:paraId="1422D92B" w14:textId="77777777" w:rsidR="003E3ED9" w:rsidRPr="00830439" w:rsidRDefault="003E3ED9" w:rsidP="003E3ED9">
      <w:pPr>
        <w:jc w:val="both"/>
        <w:rPr>
          <w:rFonts w:cs="Arial"/>
          <w:szCs w:val="20"/>
        </w:rPr>
      </w:pPr>
    </w:p>
    <w:p w14:paraId="17F1FBBF" w14:textId="77777777" w:rsidR="003E3ED9" w:rsidRPr="00830439" w:rsidRDefault="003E3ED9" w:rsidP="003E3ED9">
      <w:pPr>
        <w:jc w:val="both"/>
        <w:rPr>
          <w:rFonts w:cs="Arial"/>
          <w:szCs w:val="20"/>
        </w:rPr>
      </w:pPr>
      <w:r w:rsidRPr="00830439">
        <w:rPr>
          <w:rFonts w:cs="Arial"/>
          <w:szCs w:val="20"/>
        </w:rPr>
        <w:t>Ciljne skupine so: inovativna start-up podjetja, MSP in velika podjetja.</w:t>
      </w:r>
    </w:p>
    <w:p w14:paraId="39539FE9" w14:textId="77777777" w:rsidR="003E3ED9" w:rsidRPr="00830439" w:rsidRDefault="003E3ED9" w:rsidP="003E3ED9">
      <w:pPr>
        <w:jc w:val="both"/>
        <w:rPr>
          <w:rFonts w:cs="Arial"/>
          <w:szCs w:val="20"/>
        </w:rPr>
      </w:pPr>
    </w:p>
    <w:p w14:paraId="582A7919" w14:textId="77777777" w:rsidR="003E3ED9" w:rsidRPr="00830439" w:rsidRDefault="003E3ED9" w:rsidP="003E3ED9">
      <w:pPr>
        <w:jc w:val="both"/>
        <w:rPr>
          <w:rFonts w:cs="Arial"/>
          <w:szCs w:val="20"/>
        </w:rPr>
      </w:pPr>
      <w:r w:rsidRPr="00830439">
        <w:rPr>
          <w:rFonts w:cs="Arial"/>
          <w:szCs w:val="20"/>
        </w:rPr>
        <w:t>Cilji:</w:t>
      </w:r>
    </w:p>
    <w:p w14:paraId="70748A8C"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podpora za start-up podjetja, MSP ter velika podjetja z inovativnim projektom, naj bo podjetje v semenski fazi, fazi oblikovanja in/ ali fazi razvoja (mogoče je tudi financiranje razvoja, čeprav je poudarek na semenski fazi in fazi oblikovanja);</w:t>
      </w:r>
    </w:p>
    <w:p w14:paraId="41F40E3A"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financiranje inovativnih start-up podjetij, MSP in velikih podjetij, ki si upajo tvegati;</w:t>
      </w:r>
    </w:p>
    <w:p w14:paraId="4AD29A2A"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financiranje opredmetenih in neopredmetenih investicij (saj je financiranje neopredmetenih investicij za MSP lahko težavno);</w:t>
      </w:r>
    </w:p>
    <w:p w14:paraId="0C7127F6"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zagotavljanje delitve tveganja s finančnim posrednikom (kar omogoča približno 2x vzvod);</w:t>
      </w:r>
    </w:p>
    <w:p w14:paraId="6C16AEA7"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dopolnitev obstoječega financiranja, ki je namenjeno inovacijam;</w:t>
      </w:r>
    </w:p>
    <w:p w14:paraId="3D3735E7" w14:textId="77777777" w:rsidR="003E3ED9" w:rsidRPr="00830439" w:rsidRDefault="003E3ED9" w:rsidP="003E3ED9">
      <w:pPr>
        <w:numPr>
          <w:ilvl w:val="0"/>
          <w:numId w:val="44"/>
        </w:numPr>
        <w:spacing w:line="240" w:lineRule="atLeast"/>
        <w:contextualSpacing/>
        <w:jc w:val="both"/>
        <w:rPr>
          <w:rFonts w:eastAsia="Calibri" w:cs="Arial"/>
          <w:szCs w:val="20"/>
        </w:rPr>
      </w:pPr>
      <w:r w:rsidRPr="00830439">
        <w:rPr>
          <w:rFonts w:eastAsia="Calibri" w:cs="Arial"/>
          <w:szCs w:val="20"/>
        </w:rPr>
        <w:t>zmanjšanje specifičnih težav ciljnih skupin in končnih prejemnikov pri dostopanju do financiranja, saj se finančni instituciji njihov projekt zdi preveč tvegan/bančno neprimeren.</w:t>
      </w:r>
    </w:p>
    <w:p w14:paraId="0A1BB4DD" w14:textId="77777777" w:rsidR="003E3ED9" w:rsidRPr="00830439" w:rsidRDefault="003E3ED9" w:rsidP="003E3ED9">
      <w:pPr>
        <w:jc w:val="both"/>
        <w:rPr>
          <w:rFonts w:cs="Arial"/>
          <w:szCs w:val="20"/>
        </w:rPr>
      </w:pPr>
      <w:r w:rsidRPr="00830439">
        <w:rPr>
          <w:rFonts w:cs="Arial"/>
          <w:szCs w:val="20"/>
        </w:rPr>
        <w:t>Kazalniki:</w:t>
      </w:r>
    </w:p>
    <w:p w14:paraId="63F642DF" w14:textId="77777777" w:rsidR="003E3ED9" w:rsidRPr="00830439" w:rsidRDefault="003E3ED9" w:rsidP="003E3ED9">
      <w:pPr>
        <w:numPr>
          <w:ilvl w:val="0"/>
          <w:numId w:val="45"/>
        </w:numPr>
        <w:spacing w:line="240" w:lineRule="atLeast"/>
        <w:contextualSpacing/>
        <w:jc w:val="both"/>
        <w:rPr>
          <w:rFonts w:eastAsia="Calibri" w:cs="Arial"/>
          <w:szCs w:val="20"/>
        </w:rPr>
      </w:pPr>
      <w:r w:rsidRPr="00830439">
        <w:rPr>
          <w:rFonts w:eastAsia="Calibri" w:cs="Arial"/>
          <w:szCs w:val="20"/>
        </w:rPr>
        <w:t>število podprtih podjetij (z razdelitvijo na MSP in velika podjetja) in podjetnikov,</w:t>
      </w:r>
    </w:p>
    <w:p w14:paraId="797054E0" w14:textId="77777777" w:rsidR="003E3ED9" w:rsidRPr="00830439" w:rsidRDefault="003E3ED9" w:rsidP="003E3ED9">
      <w:pPr>
        <w:numPr>
          <w:ilvl w:val="0"/>
          <w:numId w:val="45"/>
        </w:numPr>
        <w:spacing w:line="240" w:lineRule="atLeast"/>
        <w:contextualSpacing/>
        <w:jc w:val="both"/>
        <w:rPr>
          <w:rFonts w:eastAsia="Calibri" w:cs="Arial"/>
          <w:szCs w:val="20"/>
        </w:rPr>
      </w:pPr>
      <w:r w:rsidRPr="00830439">
        <w:rPr>
          <w:rFonts w:eastAsia="Calibri" w:cs="Arial"/>
          <w:szCs w:val="20"/>
        </w:rPr>
        <w:t>skupni znesek, ki je dodeljen MSP in velikim podjetjem,</w:t>
      </w:r>
    </w:p>
    <w:p w14:paraId="65751CD8" w14:textId="77777777" w:rsidR="003E3ED9" w:rsidRPr="00830439" w:rsidRDefault="003E3ED9" w:rsidP="003E3ED9">
      <w:pPr>
        <w:numPr>
          <w:ilvl w:val="0"/>
          <w:numId w:val="45"/>
        </w:numPr>
        <w:spacing w:line="240" w:lineRule="atLeast"/>
        <w:contextualSpacing/>
        <w:jc w:val="both"/>
        <w:rPr>
          <w:rFonts w:eastAsia="Calibri" w:cs="Arial"/>
          <w:szCs w:val="20"/>
        </w:rPr>
      </w:pPr>
      <w:r w:rsidRPr="00830439">
        <w:rPr>
          <w:rFonts w:eastAsia="Calibri" w:cs="Arial"/>
          <w:szCs w:val="20"/>
        </w:rPr>
        <w:t>učinek finančnega vzvoda.</w:t>
      </w:r>
    </w:p>
    <w:p w14:paraId="58E073E4" w14:textId="77777777" w:rsidR="003E3ED9" w:rsidRPr="00830439" w:rsidRDefault="003E3ED9" w:rsidP="003E3ED9">
      <w:pPr>
        <w:jc w:val="both"/>
        <w:rPr>
          <w:rFonts w:cs="Arial"/>
          <w:szCs w:val="20"/>
        </w:rPr>
      </w:pPr>
      <w:proofErr w:type="spellStart"/>
      <w:r w:rsidRPr="00830439">
        <w:rPr>
          <w:rFonts w:cs="Arial"/>
          <w:szCs w:val="20"/>
        </w:rPr>
        <w:t>Portfeljske</w:t>
      </w:r>
      <w:proofErr w:type="spellEnd"/>
      <w:r w:rsidRPr="00830439">
        <w:rPr>
          <w:rFonts w:cs="Arial"/>
          <w:szCs w:val="20"/>
        </w:rPr>
        <w:t xml:space="preserve"> garancije za podporo RRI v MSP</w:t>
      </w:r>
    </w:p>
    <w:p w14:paraId="35CAE179" w14:textId="77777777" w:rsidR="003E3ED9" w:rsidRPr="00830439" w:rsidRDefault="003E3ED9" w:rsidP="003E3ED9">
      <w:pPr>
        <w:jc w:val="both"/>
        <w:rPr>
          <w:rFonts w:cs="Arial"/>
          <w:szCs w:val="20"/>
        </w:rPr>
      </w:pPr>
      <w:r w:rsidRPr="00830439">
        <w:rPr>
          <w:rFonts w:cs="Arial"/>
          <w:szCs w:val="20"/>
        </w:rPr>
        <w:t xml:space="preserve">Namen </w:t>
      </w:r>
      <w:proofErr w:type="spellStart"/>
      <w:r w:rsidRPr="00830439">
        <w:rPr>
          <w:rFonts w:cs="Arial"/>
          <w:szCs w:val="20"/>
        </w:rPr>
        <w:t>portfeljskih</w:t>
      </w:r>
      <w:proofErr w:type="spellEnd"/>
      <w:r w:rsidRPr="00830439">
        <w:rPr>
          <w:rFonts w:cs="Arial"/>
          <w:szCs w:val="20"/>
        </w:rPr>
        <w:t xml:space="preserve"> garancij je zagotovitev koristi za končnega prejemnika (podjetja) v obliki (i) manjše maksimalne ravni zavarovanja, ki jo od podjetij zahteva komercialna banka, (ii) nižje obrestne mere, ki je zahtevana pri posojilu, (iii) manjšega stroška garancije od tržnih stroškov in (iv) možnosti daljšega odloga vračanja posojila, od tistega, ki ga običajno določi trg.</w:t>
      </w:r>
    </w:p>
    <w:p w14:paraId="4338AB29" w14:textId="77777777" w:rsidR="003E3ED9" w:rsidRPr="00830439" w:rsidRDefault="003E3ED9" w:rsidP="003E3ED9">
      <w:pPr>
        <w:jc w:val="both"/>
        <w:rPr>
          <w:rFonts w:cs="Arial"/>
          <w:szCs w:val="20"/>
        </w:rPr>
      </w:pPr>
    </w:p>
    <w:p w14:paraId="700B1351" w14:textId="77777777" w:rsidR="003E3ED9" w:rsidRPr="00830439" w:rsidRDefault="003E3ED9" w:rsidP="003E3ED9">
      <w:pPr>
        <w:jc w:val="both"/>
        <w:rPr>
          <w:rFonts w:cs="Arial"/>
          <w:szCs w:val="20"/>
        </w:rPr>
      </w:pPr>
      <w:r w:rsidRPr="00830439">
        <w:rPr>
          <w:rFonts w:cs="Arial"/>
          <w:szCs w:val="20"/>
        </w:rPr>
        <w:t xml:space="preserve">Ta produkt bo zagotovljen v okviru instrumenta za porazdelitev tveganj, kjer del tveganja prevzema tudi kreditodajalec. </w:t>
      </w:r>
      <w:proofErr w:type="spellStart"/>
      <w:r w:rsidRPr="00830439">
        <w:rPr>
          <w:rFonts w:cs="Arial"/>
          <w:szCs w:val="20"/>
        </w:rPr>
        <w:t>Portfeljska</w:t>
      </w:r>
      <w:proofErr w:type="spellEnd"/>
      <w:r w:rsidRPr="00830439">
        <w:rPr>
          <w:rFonts w:cs="Arial"/>
          <w:szCs w:val="20"/>
        </w:rPr>
        <w:t xml:space="preserve"> garancija bo zagotovljena vnaprej kreditodajalcu. Garancija bo lahko krila morebitne izgube kreditodajalca (izgube, ki so povezane z neplačevanjem glavnice in/ ali obresti posojila).</w:t>
      </w:r>
    </w:p>
    <w:p w14:paraId="73F0F8F1" w14:textId="77777777" w:rsidR="003E3ED9" w:rsidRPr="00830439" w:rsidRDefault="003E3ED9" w:rsidP="003E3ED9">
      <w:pPr>
        <w:jc w:val="both"/>
        <w:rPr>
          <w:rFonts w:cs="Arial"/>
          <w:szCs w:val="20"/>
        </w:rPr>
      </w:pPr>
    </w:p>
    <w:p w14:paraId="7E8B32C1" w14:textId="77777777" w:rsidR="003E3ED9" w:rsidRPr="00830439" w:rsidRDefault="003E3ED9" w:rsidP="003E3ED9">
      <w:pPr>
        <w:jc w:val="both"/>
        <w:rPr>
          <w:rFonts w:cs="Arial"/>
          <w:szCs w:val="20"/>
        </w:rPr>
      </w:pPr>
      <w:proofErr w:type="spellStart"/>
      <w:r w:rsidRPr="00830439">
        <w:rPr>
          <w:rFonts w:cs="Arial"/>
          <w:szCs w:val="20"/>
        </w:rPr>
        <w:t>Portfeljske</w:t>
      </w:r>
      <w:proofErr w:type="spellEnd"/>
      <w:r w:rsidRPr="00830439">
        <w:rPr>
          <w:rFonts w:cs="Arial"/>
          <w:szCs w:val="20"/>
        </w:rPr>
        <w:t xml:space="preserve"> garancije bodo pokrile izgube portfelja podjetij, ki ga je ustvaril izbrani kreditodajalec. Te ugodnosti, dodeljene kreditodajalcu (tj. komercialni banki), se bodo na ciljne skupine prenesle kot nižje zahteve po zavarovanju, nižje obrestne mere, daljše obdobje odplačevanja in daljše obdobje odloga plačevanja. To bo obravnavano v teku pogajanj s kreditodajalcem.</w:t>
      </w:r>
    </w:p>
    <w:p w14:paraId="3D270409" w14:textId="77777777" w:rsidR="003E3ED9" w:rsidRPr="00830439" w:rsidRDefault="003E3ED9" w:rsidP="003E3ED9">
      <w:pPr>
        <w:jc w:val="both"/>
        <w:rPr>
          <w:rFonts w:cs="Arial"/>
          <w:szCs w:val="20"/>
        </w:rPr>
      </w:pPr>
    </w:p>
    <w:p w14:paraId="1CD292BB" w14:textId="77777777" w:rsidR="003E3ED9" w:rsidRPr="00830439" w:rsidRDefault="003E3ED9" w:rsidP="003E3ED9">
      <w:pPr>
        <w:jc w:val="both"/>
        <w:rPr>
          <w:rFonts w:cs="Arial"/>
          <w:szCs w:val="20"/>
        </w:rPr>
      </w:pPr>
      <w:proofErr w:type="spellStart"/>
      <w:r w:rsidRPr="00830439">
        <w:rPr>
          <w:rFonts w:cs="Arial"/>
          <w:szCs w:val="20"/>
        </w:rPr>
        <w:t>Portfeljske</w:t>
      </w:r>
      <w:proofErr w:type="spellEnd"/>
      <w:r w:rsidRPr="00830439">
        <w:rPr>
          <w:rFonts w:cs="Arial"/>
          <w:szCs w:val="20"/>
        </w:rPr>
        <w:t xml:space="preserve"> garancije pokrivajo (i) naložbeno financiranje (osnovna sredstva) in (ii) financiranje obratnega kapitala (podpora za obratni kapital mogoča le v povezavi z investicijami).</w:t>
      </w:r>
    </w:p>
    <w:p w14:paraId="5553D205" w14:textId="77777777" w:rsidR="003E3ED9" w:rsidRPr="00830439" w:rsidRDefault="003E3ED9" w:rsidP="003E3ED9">
      <w:pPr>
        <w:jc w:val="both"/>
        <w:rPr>
          <w:rFonts w:cs="Arial"/>
          <w:szCs w:val="20"/>
        </w:rPr>
      </w:pPr>
    </w:p>
    <w:p w14:paraId="0BACEB9A" w14:textId="77777777" w:rsidR="003E3ED9" w:rsidRPr="00830439" w:rsidRDefault="003E3ED9" w:rsidP="003E3ED9">
      <w:pPr>
        <w:jc w:val="both"/>
        <w:rPr>
          <w:rFonts w:cs="Arial"/>
          <w:szCs w:val="20"/>
        </w:rPr>
      </w:pPr>
      <w:r w:rsidRPr="00830439">
        <w:rPr>
          <w:rFonts w:cs="Arial"/>
          <w:szCs w:val="20"/>
        </w:rPr>
        <w:t xml:space="preserve">Predvidena je izdaja </w:t>
      </w:r>
      <w:proofErr w:type="spellStart"/>
      <w:r w:rsidRPr="00830439">
        <w:rPr>
          <w:rFonts w:cs="Arial"/>
          <w:szCs w:val="20"/>
        </w:rPr>
        <w:t>portfeljskih</w:t>
      </w:r>
      <w:proofErr w:type="spellEnd"/>
      <w:r w:rsidRPr="00830439">
        <w:rPr>
          <w:rFonts w:cs="Arial"/>
          <w:szCs w:val="20"/>
        </w:rPr>
        <w:t xml:space="preserve"> garancij v višini 15,4 mio EUR iz TC 1:</w:t>
      </w:r>
    </w:p>
    <w:p w14:paraId="03D72800" w14:textId="77777777" w:rsidR="003E3ED9" w:rsidRPr="00830439" w:rsidRDefault="003E3ED9" w:rsidP="003E3ED9">
      <w:pPr>
        <w:numPr>
          <w:ilvl w:val="0"/>
          <w:numId w:val="46"/>
        </w:numPr>
        <w:spacing w:line="240" w:lineRule="atLeast"/>
        <w:contextualSpacing/>
        <w:jc w:val="both"/>
        <w:rPr>
          <w:rFonts w:eastAsia="Calibri" w:cs="Arial"/>
          <w:szCs w:val="20"/>
        </w:rPr>
      </w:pPr>
      <w:r w:rsidRPr="00830439">
        <w:rPr>
          <w:rFonts w:eastAsia="Calibri" w:cs="Arial"/>
          <w:szCs w:val="20"/>
        </w:rPr>
        <w:t>15,4 mio EUR pod TC 1 za MSP.</w:t>
      </w:r>
    </w:p>
    <w:p w14:paraId="70262C30" w14:textId="77777777" w:rsidR="003E3ED9" w:rsidRPr="00830439" w:rsidRDefault="003E3ED9" w:rsidP="003E3ED9">
      <w:pPr>
        <w:jc w:val="both"/>
        <w:rPr>
          <w:rFonts w:cs="Arial"/>
          <w:szCs w:val="20"/>
        </w:rPr>
      </w:pPr>
      <w:r w:rsidRPr="00830439">
        <w:rPr>
          <w:rFonts w:cs="Arial"/>
          <w:szCs w:val="20"/>
        </w:rPr>
        <w:t>Pričakovani učinek finančnega vzvoda je 1,5 do 5.</w:t>
      </w:r>
    </w:p>
    <w:p w14:paraId="037A2361" w14:textId="77777777" w:rsidR="003E3ED9" w:rsidRPr="00830439" w:rsidRDefault="003E3ED9" w:rsidP="003E3ED9">
      <w:pPr>
        <w:jc w:val="both"/>
        <w:rPr>
          <w:rFonts w:cs="Arial"/>
          <w:szCs w:val="20"/>
        </w:rPr>
      </w:pPr>
    </w:p>
    <w:p w14:paraId="7FABF01D" w14:textId="77777777" w:rsidR="003E3ED9" w:rsidRPr="00830439" w:rsidRDefault="003E3ED9" w:rsidP="003E3ED9">
      <w:pPr>
        <w:jc w:val="both"/>
        <w:rPr>
          <w:rFonts w:cs="Arial"/>
          <w:szCs w:val="20"/>
        </w:rPr>
      </w:pPr>
      <w:r w:rsidRPr="00830439">
        <w:rPr>
          <w:rFonts w:cs="Arial"/>
          <w:szCs w:val="20"/>
        </w:rPr>
        <w:lastRenderedPageBreak/>
        <w:t xml:space="preserve">Državne pomoči: krediti se presojajo skladno z relevantno shemo državne pomoči ali pomoči de </w:t>
      </w:r>
      <w:proofErr w:type="spellStart"/>
      <w:r w:rsidRPr="00830439">
        <w:rPr>
          <w:rFonts w:cs="Arial"/>
          <w:szCs w:val="20"/>
        </w:rPr>
        <w:t>minimis</w:t>
      </w:r>
      <w:proofErr w:type="spellEnd"/>
      <w:r w:rsidRPr="00830439">
        <w:rPr>
          <w:rFonts w:cs="Arial"/>
          <w:szCs w:val="20"/>
        </w:rPr>
        <w:t>.</w:t>
      </w:r>
    </w:p>
    <w:p w14:paraId="02278B5D" w14:textId="77777777" w:rsidR="003E3ED9" w:rsidRPr="00830439" w:rsidRDefault="003E3ED9" w:rsidP="003E3ED9">
      <w:pPr>
        <w:jc w:val="both"/>
        <w:rPr>
          <w:rFonts w:cs="Arial"/>
          <w:szCs w:val="20"/>
        </w:rPr>
      </w:pPr>
    </w:p>
    <w:p w14:paraId="421A27F5" w14:textId="77777777" w:rsidR="003E3ED9" w:rsidRPr="00830439" w:rsidRDefault="003E3ED9" w:rsidP="003E3ED9">
      <w:pPr>
        <w:jc w:val="both"/>
        <w:rPr>
          <w:rFonts w:cs="Arial"/>
          <w:szCs w:val="20"/>
        </w:rPr>
      </w:pPr>
      <w:r w:rsidRPr="00830439">
        <w:rPr>
          <w:rFonts w:cs="Arial"/>
          <w:szCs w:val="20"/>
        </w:rPr>
        <w:t xml:space="preserve">Možna je kombinacija </w:t>
      </w:r>
      <w:proofErr w:type="spellStart"/>
      <w:r w:rsidRPr="00830439">
        <w:rPr>
          <w:rFonts w:cs="Arial"/>
          <w:szCs w:val="20"/>
        </w:rPr>
        <w:t>portfeljskih</w:t>
      </w:r>
      <w:proofErr w:type="spellEnd"/>
      <w:r w:rsidRPr="00830439">
        <w:rPr>
          <w:rFonts w:cs="Arial"/>
          <w:szCs w:val="20"/>
        </w:rPr>
        <w:t xml:space="preserve"> garancij z nepovratnimi viri.</w:t>
      </w:r>
    </w:p>
    <w:p w14:paraId="007BAC31" w14:textId="77777777" w:rsidR="003E3ED9" w:rsidRPr="00830439" w:rsidRDefault="003E3ED9" w:rsidP="003E3ED9">
      <w:pPr>
        <w:jc w:val="both"/>
        <w:rPr>
          <w:rFonts w:cs="Arial"/>
          <w:szCs w:val="20"/>
        </w:rPr>
      </w:pPr>
    </w:p>
    <w:p w14:paraId="2389712D" w14:textId="77777777" w:rsidR="003E3ED9" w:rsidRPr="00830439" w:rsidRDefault="003E3ED9" w:rsidP="003E3ED9">
      <w:pPr>
        <w:jc w:val="both"/>
        <w:rPr>
          <w:rFonts w:cs="Arial"/>
          <w:szCs w:val="20"/>
        </w:rPr>
      </w:pPr>
      <w:r w:rsidRPr="00830439">
        <w:rPr>
          <w:rFonts w:cs="Arial"/>
          <w:szCs w:val="20"/>
        </w:rPr>
        <w:t>Ciljna skupina so: MSP.</w:t>
      </w:r>
    </w:p>
    <w:p w14:paraId="6AC7869D" w14:textId="77777777" w:rsidR="003E3ED9" w:rsidRPr="00830439" w:rsidRDefault="003E3ED9" w:rsidP="003E3ED9">
      <w:pPr>
        <w:jc w:val="both"/>
        <w:rPr>
          <w:rFonts w:cs="Arial"/>
          <w:szCs w:val="20"/>
        </w:rPr>
      </w:pPr>
      <w:r w:rsidRPr="00830439">
        <w:rPr>
          <w:rFonts w:cs="Arial"/>
          <w:szCs w:val="20"/>
        </w:rPr>
        <w:t xml:space="preserve">Cilji, ki jih zasledujemo z izvajanjem </w:t>
      </w:r>
      <w:proofErr w:type="spellStart"/>
      <w:r w:rsidRPr="00830439">
        <w:rPr>
          <w:rFonts w:cs="Arial"/>
          <w:szCs w:val="20"/>
        </w:rPr>
        <w:t>portfeljskih</w:t>
      </w:r>
      <w:proofErr w:type="spellEnd"/>
      <w:r w:rsidRPr="00830439">
        <w:rPr>
          <w:rFonts w:cs="Arial"/>
          <w:szCs w:val="20"/>
        </w:rPr>
        <w:t xml:space="preserve"> garancij:</w:t>
      </w:r>
    </w:p>
    <w:p w14:paraId="03843461" w14:textId="77777777" w:rsidR="003E3ED9" w:rsidRPr="00830439" w:rsidRDefault="003E3ED9" w:rsidP="003E3ED9">
      <w:pPr>
        <w:numPr>
          <w:ilvl w:val="0"/>
          <w:numId w:val="46"/>
        </w:numPr>
        <w:spacing w:line="240" w:lineRule="atLeast"/>
        <w:contextualSpacing/>
        <w:jc w:val="both"/>
        <w:rPr>
          <w:rFonts w:eastAsia="Calibri" w:cs="Arial"/>
          <w:szCs w:val="20"/>
        </w:rPr>
      </w:pPr>
      <w:r w:rsidRPr="00830439">
        <w:rPr>
          <w:rFonts w:eastAsia="Calibri" w:cs="Arial"/>
          <w:szCs w:val="20"/>
        </w:rPr>
        <w:t xml:space="preserve">dopolnjevanje obstoječih garancijskih instrumentov (garancije za posamične projekte, ki niso </w:t>
      </w:r>
      <w:proofErr w:type="spellStart"/>
      <w:r w:rsidRPr="00830439">
        <w:rPr>
          <w:rFonts w:eastAsia="Calibri" w:cs="Arial"/>
          <w:szCs w:val="20"/>
        </w:rPr>
        <w:t>portfeljske</w:t>
      </w:r>
      <w:proofErr w:type="spellEnd"/>
      <w:r w:rsidRPr="00830439">
        <w:rPr>
          <w:rFonts w:eastAsia="Calibri" w:cs="Arial"/>
          <w:szCs w:val="20"/>
        </w:rPr>
        <w:t xml:space="preserve"> garancije); </w:t>
      </w:r>
    </w:p>
    <w:p w14:paraId="01DA285C" w14:textId="77777777" w:rsidR="003E3ED9" w:rsidRPr="00830439" w:rsidRDefault="003E3ED9" w:rsidP="003E3ED9">
      <w:pPr>
        <w:numPr>
          <w:ilvl w:val="0"/>
          <w:numId w:val="46"/>
        </w:numPr>
        <w:spacing w:line="240" w:lineRule="atLeast"/>
        <w:contextualSpacing/>
        <w:jc w:val="both"/>
        <w:rPr>
          <w:rFonts w:eastAsia="Calibri" w:cs="Arial"/>
          <w:szCs w:val="20"/>
        </w:rPr>
      </w:pPr>
      <w:r w:rsidRPr="00830439">
        <w:rPr>
          <w:rFonts w:eastAsia="Calibri" w:cs="Arial"/>
          <w:szCs w:val="20"/>
        </w:rPr>
        <w:t>podpora financiranju obratnega kapitala in investicijam.</w:t>
      </w:r>
    </w:p>
    <w:p w14:paraId="294B10F6" w14:textId="77777777" w:rsidR="003E3ED9" w:rsidRPr="00830439" w:rsidRDefault="003E3ED9" w:rsidP="003E3ED9">
      <w:pPr>
        <w:jc w:val="both"/>
        <w:rPr>
          <w:rFonts w:cs="Arial"/>
          <w:szCs w:val="20"/>
        </w:rPr>
      </w:pPr>
      <w:r w:rsidRPr="00830439">
        <w:rPr>
          <w:rFonts w:cs="Arial"/>
          <w:szCs w:val="20"/>
        </w:rPr>
        <w:t>Kazalniki:</w:t>
      </w:r>
    </w:p>
    <w:p w14:paraId="3FD68868" w14:textId="77777777" w:rsidR="003E3ED9" w:rsidRPr="00830439" w:rsidRDefault="003E3ED9" w:rsidP="003E3ED9">
      <w:pPr>
        <w:numPr>
          <w:ilvl w:val="0"/>
          <w:numId w:val="46"/>
        </w:numPr>
        <w:spacing w:line="240" w:lineRule="atLeast"/>
        <w:contextualSpacing/>
        <w:jc w:val="both"/>
        <w:rPr>
          <w:rFonts w:eastAsia="Calibri" w:cs="Arial"/>
          <w:szCs w:val="20"/>
        </w:rPr>
      </w:pPr>
      <w:r w:rsidRPr="00830439">
        <w:rPr>
          <w:rFonts w:eastAsia="Calibri" w:cs="Arial"/>
          <w:szCs w:val="20"/>
        </w:rPr>
        <w:t xml:space="preserve">število podprtih MSP (z razdelitvijo na </w:t>
      </w:r>
      <w:proofErr w:type="spellStart"/>
      <w:r w:rsidRPr="00830439">
        <w:rPr>
          <w:rFonts w:eastAsia="Calibri" w:cs="Arial"/>
          <w:szCs w:val="20"/>
        </w:rPr>
        <w:t>mikro</w:t>
      </w:r>
      <w:proofErr w:type="spellEnd"/>
      <w:r w:rsidRPr="00830439">
        <w:rPr>
          <w:rFonts w:eastAsia="Calibri" w:cs="Arial"/>
          <w:szCs w:val="20"/>
        </w:rPr>
        <w:t>, mala in srednje velika podjetja) in podjetnikov;</w:t>
      </w:r>
    </w:p>
    <w:p w14:paraId="243BE2DD" w14:textId="77777777" w:rsidR="003E3ED9" w:rsidRPr="00830439" w:rsidRDefault="003E3ED9" w:rsidP="003E3ED9">
      <w:pPr>
        <w:numPr>
          <w:ilvl w:val="0"/>
          <w:numId w:val="46"/>
        </w:numPr>
        <w:spacing w:line="240" w:lineRule="atLeast"/>
        <w:contextualSpacing/>
        <w:jc w:val="both"/>
        <w:rPr>
          <w:rFonts w:eastAsia="Calibri" w:cs="Arial"/>
          <w:szCs w:val="20"/>
        </w:rPr>
      </w:pPr>
      <w:r w:rsidRPr="00830439">
        <w:rPr>
          <w:rFonts w:eastAsia="Calibri" w:cs="Arial"/>
          <w:szCs w:val="20"/>
        </w:rPr>
        <w:t>število zaposlenih v posameznem podjetju ob vključitvi v portfelj.</w:t>
      </w:r>
    </w:p>
    <w:p w14:paraId="287AED09" w14:textId="77777777" w:rsidR="003E3ED9" w:rsidRPr="002A1F16" w:rsidRDefault="003E3ED9" w:rsidP="003E3ED9">
      <w:pPr>
        <w:spacing w:before="240" w:after="120"/>
        <w:ind w:left="2"/>
        <w:outlineLvl w:val="0"/>
        <w:rPr>
          <w:rFonts w:cs="Arial"/>
          <w:b/>
          <w:color w:val="AACDDB"/>
          <w:szCs w:val="20"/>
        </w:rPr>
      </w:pPr>
      <w:bookmarkStart w:id="36" w:name="_Toc132097827"/>
      <w:r w:rsidRPr="002A1F16">
        <w:rPr>
          <w:rFonts w:cs="Arial"/>
          <w:b/>
          <w:color w:val="AACDDB"/>
          <w:szCs w:val="20"/>
        </w:rPr>
        <w:t>3.2.2 Finančni instrumenti za MSP</w:t>
      </w:r>
      <w:bookmarkEnd w:id="36"/>
    </w:p>
    <w:p w14:paraId="0EE44751" w14:textId="77777777" w:rsidR="003E3ED9" w:rsidRPr="00830439" w:rsidRDefault="003E3ED9" w:rsidP="003E3ED9">
      <w:pPr>
        <w:jc w:val="both"/>
        <w:rPr>
          <w:rFonts w:cs="Arial"/>
          <w:szCs w:val="20"/>
        </w:rPr>
      </w:pPr>
      <w:r w:rsidRPr="00830439">
        <w:rPr>
          <w:rFonts w:cs="Arial"/>
          <w:szCs w:val="20"/>
        </w:rPr>
        <w:t>Upravljavec sklada skladov bo za MSP razvil in izvajal tri vrste finančnih produktov:</w:t>
      </w:r>
    </w:p>
    <w:p w14:paraId="6690A81E" w14:textId="77777777" w:rsidR="003E3ED9" w:rsidRPr="00830439" w:rsidRDefault="003E3ED9" w:rsidP="003E3ED9">
      <w:pPr>
        <w:numPr>
          <w:ilvl w:val="0"/>
          <w:numId w:val="47"/>
        </w:numPr>
        <w:spacing w:line="240" w:lineRule="atLeast"/>
        <w:contextualSpacing/>
        <w:jc w:val="both"/>
        <w:rPr>
          <w:rFonts w:eastAsia="Calibri" w:cs="Arial"/>
          <w:szCs w:val="20"/>
        </w:rPr>
      </w:pPr>
      <w:proofErr w:type="spellStart"/>
      <w:r w:rsidRPr="00830439">
        <w:rPr>
          <w:rFonts w:eastAsia="Calibri" w:cs="Arial"/>
          <w:szCs w:val="20"/>
        </w:rPr>
        <w:t>portfeljske</w:t>
      </w:r>
      <w:proofErr w:type="spellEnd"/>
      <w:r w:rsidRPr="00830439">
        <w:rPr>
          <w:rFonts w:eastAsia="Calibri" w:cs="Arial"/>
          <w:szCs w:val="20"/>
        </w:rPr>
        <w:t xml:space="preserve"> garancije, vključno z </w:t>
      </w:r>
      <w:proofErr w:type="spellStart"/>
      <w:r w:rsidRPr="00830439">
        <w:rPr>
          <w:rFonts w:eastAsia="Calibri" w:cs="Arial"/>
          <w:szCs w:val="20"/>
        </w:rPr>
        <w:t>mikrogarancijami</w:t>
      </w:r>
      <w:proofErr w:type="spellEnd"/>
      <w:r w:rsidRPr="00830439">
        <w:rPr>
          <w:rFonts w:eastAsia="Calibri" w:cs="Arial"/>
          <w:szCs w:val="20"/>
        </w:rPr>
        <w:t xml:space="preserve"> za MSP,</w:t>
      </w:r>
    </w:p>
    <w:p w14:paraId="568E81DB" w14:textId="77777777" w:rsidR="003E3ED9" w:rsidRPr="00830439" w:rsidRDefault="003E3ED9" w:rsidP="003E3ED9">
      <w:pPr>
        <w:numPr>
          <w:ilvl w:val="0"/>
          <w:numId w:val="47"/>
        </w:numPr>
        <w:spacing w:line="240" w:lineRule="atLeast"/>
        <w:contextualSpacing/>
        <w:jc w:val="both"/>
        <w:rPr>
          <w:rFonts w:eastAsia="Calibri" w:cs="Arial"/>
          <w:szCs w:val="20"/>
        </w:rPr>
      </w:pPr>
      <w:r w:rsidRPr="00830439">
        <w:rPr>
          <w:rFonts w:eastAsia="Calibri" w:cs="Arial"/>
          <w:szCs w:val="20"/>
        </w:rPr>
        <w:t xml:space="preserve">prednostno posojilo za zagotavljanje </w:t>
      </w:r>
      <w:proofErr w:type="spellStart"/>
      <w:r w:rsidRPr="00830439">
        <w:rPr>
          <w:rFonts w:eastAsia="Calibri" w:cs="Arial"/>
          <w:szCs w:val="20"/>
        </w:rPr>
        <w:t>mikroposojil</w:t>
      </w:r>
      <w:proofErr w:type="spellEnd"/>
      <w:r w:rsidRPr="00830439">
        <w:rPr>
          <w:rFonts w:eastAsia="Calibri" w:cs="Arial"/>
          <w:szCs w:val="20"/>
        </w:rPr>
        <w:t xml:space="preserve"> </w:t>
      </w:r>
      <w:proofErr w:type="spellStart"/>
      <w:r w:rsidRPr="00830439">
        <w:rPr>
          <w:rFonts w:eastAsia="Calibri" w:cs="Arial"/>
          <w:szCs w:val="20"/>
        </w:rPr>
        <w:t>mikropodjetjem</w:t>
      </w:r>
      <w:proofErr w:type="spellEnd"/>
      <w:r w:rsidRPr="00830439">
        <w:rPr>
          <w:rFonts w:eastAsia="Calibri" w:cs="Arial"/>
          <w:szCs w:val="20"/>
        </w:rPr>
        <w:t xml:space="preserve"> in podjetnikom;</w:t>
      </w:r>
    </w:p>
    <w:p w14:paraId="34188B2C" w14:textId="77777777" w:rsidR="003E3ED9" w:rsidRPr="00830439" w:rsidRDefault="003E3ED9" w:rsidP="003E3ED9">
      <w:pPr>
        <w:numPr>
          <w:ilvl w:val="0"/>
          <w:numId w:val="47"/>
        </w:numPr>
        <w:spacing w:line="240" w:lineRule="atLeast"/>
        <w:contextualSpacing/>
        <w:jc w:val="both"/>
        <w:rPr>
          <w:rFonts w:eastAsia="Calibri" w:cs="Arial"/>
          <w:szCs w:val="20"/>
        </w:rPr>
      </w:pPr>
      <w:r w:rsidRPr="00830439">
        <w:rPr>
          <w:rFonts w:eastAsia="Calibri" w:cs="Arial"/>
          <w:szCs w:val="20"/>
        </w:rPr>
        <w:t xml:space="preserve">lastniško financiranje za zagotavljanje lastniškega in </w:t>
      </w:r>
      <w:proofErr w:type="spellStart"/>
      <w:r w:rsidRPr="00830439">
        <w:rPr>
          <w:rFonts w:eastAsia="Calibri" w:cs="Arial"/>
          <w:szCs w:val="20"/>
        </w:rPr>
        <w:t>kvazi</w:t>
      </w:r>
      <w:proofErr w:type="spellEnd"/>
      <w:r w:rsidRPr="00830439">
        <w:rPr>
          <w:rFonts w:eastAsia="Calibri" w:cs="Arial"/>
          <w:szCs w:val="20"/>
        </w:rPr>
        <w:t>-lastniškega financiranja za MSP.</w:t>
      </w:r>
    </w:p>
    <w:p w14:paraId="2C9FDDF1" w14:textId="77777777" w:rsidR="003E3ED9" w:rsidRPr="00830439" w:rsidRDefault="003E3ED9" w:rsidP="003E3ED9">
      <w:pPr>
        <w:jc w:val="both"/>
        <w:rPr>
          <w:rFonts w:cs="Arial"/>
          <w:szCs w:val="20"/>
        </w:rPr>
      </w:pPr>
      <w:r w:rsidRPr="00830439">
        <w:rPr>
          <w:rFonts w:cs="Arial"/>
          <w:szCs w:val="20"/>
        </w:rPr>
        <w:t>Pri vseh navedenih finančnih produktih je možna kombinacija z nepovratnimi viri.</w:t>
      </w:r>
    </w:p>
    <w:p w14:paraId="0C1240EB" w14:textId="77777777" w:rsidR="003E3ED9" w:rsidRPr="00830439" w:rsidRDefault="003E3ED9" w:rsidP="003E3ED9">
      <w:pPr>
        <w:jc w:val="both"/>
        <w:rPr>
          <w:rFonts w:cs="Arial"/>
          <w:szCs w:val="20"/>
        </w:rPr>
      </w:pPr>
    </w:p>
    <w:p w14:paraId="33512D19" w14:textId="77777777" w:rsidR="003E3ED9" w:rsidRPr="00830439" w:rsidRDefault="003E3ED9" w:rsidP="003E3ED9">
      <w:pPr>
        <w:jc w:val="both"/>
        <w:rPr>
          <w:rFonts w:cs="Arial"/>
          <w:szCs w:val="20"/>
        </w:rPr>
      </w:pPr>
      <w:proofErr w:type="spellStart"/>
      <w:r w:rsidRPr="00830439">
        <w:rPr>
          <w:rFonts w:cs="Arial"/>
          <w:szCs w:val="20"/>
        </w:rPr>
        <w:t>Portfeljske</w:t>
      </w:r>
      <w:proofErr w:type="spellEnd"/>
      <w:r w:rsidRPr="00830439">
        <w:rPr>
          <w:rFonts w:cs="Arial"/>
          <w:szCs w:val="20"/>
        </w:rPr>
        <w:t xml:space="preserve"> garancije za podporo MSP</w:t>
      </w:r>
    </w:p>
    <w:p w14:paraId="4C3BD4A0" w14:textId="77777777" w:rsidR="003E3ED9" w:rsidRPr="00830439" w:rsidRDefault="003E3ED9" w:rsidP="003E3ED9">
      <w:pPr>
        <w:jc w:val="both"/>
        <w:rPr>
          <w:rFonts w:cs="Arial"/>
          <w:szCs w:val="20"/>
        </w:rPr>
      </w:pPr>
      <w:r w:rsidRPr="00830439">
        <w:rPr>
          <w:rFonts w:cs="Arial"/>
          <w:szCs w:val="20"/>
        </w:rPr>
        <w:t xml:space="preserve">Namen </w:t>
      </w:r>
      <w:proofErr w:type="spellStart"/>
      <w:r w:rsidRPr="00830439">
        <w:rPr>
          <w:rFonts w:cs="Arial"/>
          <w:szCs w:val="20"/>
        </w:rPr>
        <w:t>portfeljskih</w:t>
      </w:r>
      <w:proofErr w:type="spellEnd"/>
      <w:r w:rsidRPr="00830439">
        <w:rPr>
          <w:rFonts w:cs="Arial"/>
          <w:szCs w:val="20"/>
        </w:rPr>
        <w:t xml:space="preserve"> garancij je zagotovitev koristi za končnega prejemnika (MSP) v obliki (i) maksimalno znižanega deleža zavarovanja, ki ga od podjetja zahteva komercialna banka, (ii) nižje obrestne mere, ki je zahtevana pri posojilu, (iii) manjših stroškov garancije od tržnih stroškov in (iv) možnosti daljšega odloga</w:t>
      </w:r>
      <w:r w:rsidRPr="00830439" w:rsidDel="00B66DAD">
        <w:rPr>
          <w:rFonts w:cs="Arial"/>
          <w:szCs w:val="20"/>
        </w:rPr>
        <w:t xml:space="preserve"> </w:t>
      </w:r>
      <w:r w:rsidRPr="00830439">
        <w:rPr>
          <w:rFonts w:cs="Arial"/>
          <w:szCs w:val="20"/>
        </w:rPr>
        <w:t>vračanja posojila, od tistega, ki ga običajno določi trg.</w:t>
      </w:r>
    </w:p>
    <w:p w14:paraId="2E58CEF9" w14:textId="77777777" w:rsidR="003E3ED9" w:rsidRPr="00830439" w:rsidRDefault="003E3ED9" w:rsidP="003E3ED9">
      <w:pPr>
        <w:jc w:val="both"/>
        <w:rPr>
          <w:rFonts w:cs="Arial"/>
          <w:szCs w:val="20"/>
        </w:rPr>
      </w:pPr>
    </w:p>
    <w:p w14:paraId="2008FFEC" w14:textId="77777777" w:rsidR="003E3ED9" w:rsidRPr="00F60B42" w:rsidRDefault="003E3ED9" w:rsidP="003E3ED9">
      <w:pPr>
        <w:jc w:val="both"/>
        <w:rPr>
          <w:rFonts w:cs="Arial"/>
          <w:szCs w:val="20"/>
        </w:rPr>
      </w:pPr>
      <w:r w:rsidRPr="00830439">
        <w:rPr>
          <w:rFonts w:cs="Arial"/>
          <w:szCs w:val="20"/>
        </w:rPr>
        <w:t>Ta produkt bo zagotovljen v okviru instrumenta za porazdelitev tveganj, kjer del tveganja prevzema tudi kreditodajalec</w:t>
      </w:r>
      <w:r w:rsidRPr="00830439">
        <w:rPr>
          <w:rFonts w:cs="Arial"/>
          <w:szCs w:val="20"/>
          <w:vertAlign w:val="superscript"/>
        </w:rPr>
        <w:footnoteReference w:id="15"/>
      </w:r>
      <w:r w:rsidRPr="00830439">
        <w:rPr>
          <w:rFonts w:cs="Arial"/>
          <w:szCs w:val="20"/>
        </w:rPr>
        <w:t xml:space="preserve">. </w:t>
      </w:r>
      <w:proofErr w:type="spellStart"/>
      <w:r w:rsidRPr="00830439">
        <w:rPr>
          <w:rFonts w:cs="Arial"/>
          <w:szCs w:val="20"/>
        </w:rPr>
        <w:t>Portfeljska</w:t>
      </w:r>
      <w:proofErr w:type="spellEnd"/>
      <w:r w:rsidRPr="00830439">
        <w:rPr>
          <w:rFonts w:cs="Arial"/>
          <w:szCs w:val="20"/>
        </w:rPr>
        <w:t xml:space="preserve"> garancija bo zagotovljena vnaprej kredi</w:t>
      </w:r>
      <w:r w:rsidRPr="00F60B42">
        <w:rPr>
          <w:rFonts w:cs="Arial"/>
          <w:szCs w:val="20"/>
        </w:rPr>
        <w:t>todajalcu. Garancija bo lahko krila morebitne izgube kreditodajalca (izgube, ki so povezane z neplačevanjem glavnice in obresti posojila).</w:t>
      </w:r>
    </w:p>
    <w:p w14:paraId="144ED5EE" w14:textId="77777777" w:rsidR="003E3ED9" w:rsidRPr="00F60B42" w:rsidRDefault="003E3ED9" w:rsidP="003E3ED9">
      <w:pPr>
        <w:jc w:val="both"/>
        <w:rPr>
          <w:rFonts w:cs="Arial"/>
          <w:szCs w:val="20"/>
        </w:rPr>
      </w:pPr>
    </w:p>
    <w:p w14:paraId="2F71D318" w14:textId="77777777" w:rsidR="003E3ED9" w:rsidRPr="00830439" w:rsidRDefault="003E3ED9" w:rsidP="003E3ED9">
      <w:pPr>
        <w:jc w:val="both"/>
        <w:rPr>
          <w:rFonts w:cs="Arial"/>
          <w:szCs w:val="20"/>
        </w:rPr>
      </w:pPr>
      <w:proofErr w:type="spellStart"/>
      <w:r w:rsidRPr="00830439">
        <w:rPr>
          <w:rFonts w:cs="Arial"/>
          <w:szCs w:val="20"/>
        </w:rPr>
        <w:t>Portfeljske</w:t>
      </w:r>
      <w:proofErr w:type="spellEnd"/>
      <w:r w:rsidRPr="00830439">
        <w:rPr>
          <w:rFonts w:cs="Arial"/>
          <w:szCs w:val="20"/>
        </w:rPr>
        <w:t xml:space="preserve"> garancije bodo pomenile predvsem – ne pa samo – nižje zahteve po zavarovanju, ki jih bodo kreditodajalci zahtevali od končnih prejemnikov in nižjo pogodbeno obrestno mero, pokrile pa bodo tudi morebitne izgube kreditodajalcev, iz naslova plasiranih sredstev končnim prejemnikom. Te ugodnosti, dodeljene kreditodajalcu, se bodo na ciljne skupine (tj. MSP, start</w:t>
      </w:r>
      <w:r w:rsidRPr="00830439">
        <w:rPr>
          <w:rFonts w:cs="Arial"/>
          <w:szCs w:val="20"/>
        </w:rPr>
        <w:noBreakHyphen/>
        <w:t>up podjetja, socialna podjetja) prenesle lahko tudi kot nižje zahteve po zavarovanju, nižje obrestne mere, daljše obdobje odplačevanja in daljše obdobje odloga plačevanja. To bo obravnavano v teku pogajanj s kreditodajalcem.</w:t>
      </w:r>
    </w:p>
    <w:p w14:paraId="3CBC0C12" w14:textId="77777777" w:rsidR="003E3ED9" w:rsidRPr="00830439" w:rsidRDefault="003E3ED9" w:rsidP="003E3ED9">
      <w:pPr>
        <w:jc w:val="both"/>
        <w:rPr>
          <w:rFonts w:cs="Arial"/>
          <w:szCs w:val="20"/>
        </w:rPr>
      </w:pPr>
    </w:p>
    <w:p w14:paraId="1527EBE7" w14:textId="77777777" w:rsidR="003E3ED9" w:rsidRPr="00830439" w:rsidRDefault="003E3ED9" w:rsidP="003E3ED9">
      <w:pPr>
        <w:jc w:val="both"/>
        <w:rPr>
          <w:rFonts w:cs="Arial"/>
          <w:szCs w:val="20"/>
        </w:rPr>
      </w:pPr>
      <w:r w:rsidRPr="00830439">
        <w:rPr>
          <w:rFonts w:cs="Arial"/>
          <w:szCs w:val="20"/>
        </w:rPr>
        <w:t>Končni prejemnik lahko sredstva kredita, kritega z garancijo, nameni za (i) naložbeno financiranje (osnovna sredstva) in (ii) financiranje obratnega kapitala.</w:t>
      </w:r>
    </w:p>
    <w:p w14:paraId="3791BCD5" w14:textId="77777777" w:rsidR="003E3ED9" w:rsidRPr="00830439" w:rsidRDefault="003E3ED9" w:rsidP="003E3ED9">
      <w:pPr>
        <w:jc w:val="both"/>
        <w:rPr>
          <w:rFonts w:cs="Arial"/>
          <w:szCs w:val="20"/>
        </w:rPr>
      </w:pPr>
    </w:p>
    <w:p w14:paraId="6D060EE5" w14:textId="77777777" w:rsidR="003E3ED9" w:rsidRPr="00830439" w:rsidRDefault="003E3ED9" w:rsidP="003E3ED9">
      <w:pPr>
        <w:jc w:val="both"/>
        <w:rPr>
          <w:rFonts w:eastAsia="Calibri" w:cs="Arial"/>
          <w:szCs w:val="20"/>
        </w:rPr>
      </w:pPr>
      <w:r w:rsidRPr="00830439">
        <w:rPr>
          <w:rFonts w:cs="Arial"/>
          <w:szCs w:val="20"/>
        </w:rPr>
        <w:t xml:space="preserve">Predvidena je izdaja </w:t>
      </w:r>
      <w:proofErr w:type="spellStart"/>
      <w:r w:rsidRPr="00830439">
        <w:rPr>
          <w:rFonts w:cs="Arial"/>
          <w:szCs w:val="20"/>
        </w:rPr>
        <w:t>portfeljskih</w:t>
      </w:r>
      <w:proofErr w:type="spellEnd"/>
      <w:r w:rsidRPr="00830439">
        <w:rPr>
          <w:rFonts w:cs="Arial"/>
          <w:szCs w:val="20"/>
        </w:rPr>
        <w:t xml:space="preserve"> garancij v višini 65 mio EUR iz TC 3</w:t>
      </w:r>
      <w:r w:rsidRPr="00830439">
        <w:rPr>
          <w:rFonts w:eastAsia="Calibri" w:cs="Arial"/>
          <w:szCs w:val="20"/>
        </w:rPr>
        <w:t>.</w:t>
      </w:r>
    </w:p>
    <w:p w14:paraId="1C764707" w14:textId="77777777" w:rsidR="003E3ED9" w:rsidRPr="00830439" w:rsidRDefault="003E3ED9" w:rsidP="003E3ED9">
      <w:pPr>
        <w:jc w:val="both"/>
        <w:rPr>
          <w:rFonts w:cs="Arial"/>
          <w:szCs w:val="20"/>
        </w:rPr>
      </w:pPr>
      <w:r w:rsidRPr="00830439">
        <w:rPr>
          <w:rFonts w:cs="Arial"/>
          <w:szCs w:val="20"/>
        </w:rPr>
        <w:t>Pričakovani učinek finančnega vzvoda je 1,5 do 5.</w:t>
      </w:r>
    </w:p>
    <w:p w14:paraId="008F9750" w14:textId="77777777" w:rsidR="003E3ED9" w:rsidRPr="00830439" w:rsidRDefault="003E3ED9" w:rsidP="003E3ED9">
      <w:pPr>
        <w:jc w:val="both"/>
        <w:rPr>
          <w:rFonts w:cs="Arial"/>
          <w:szCs w:val="20"/>
        </w:rPr>
      </w:pPr>
    </w:p>
    <w:p w14:paraId="1FAC7B48" w14:textId="77777777" w:rsidR="003E3ED9" w:rsidRPr="00830439" w:rsidRDefault="003E3ED9" w:rsidP="003E3ED9">
      <w:pPr>
        <w:jc w:val="both"/>
        <w:rPr>
          <w:rFonts w:cs="Arial"/>
          <w:szCs w:val="20"/>
        </w:rPr>
      </w:pPr>
      <w:r w:rsidRPr="00830439">
        <w:rPr>
          <w:rFonts w:cs="Arial"/>
          <w:szCs w:val="20"/>
        </w:rPr>
        <w:t xml:space="preserve">Državne pomoči: kredit končnemu prejemniku zaradi </w:t>
      </w:r>
      <w:proofErr w:type="spellStart"/>
      <w:r w:rsidRPr="00830439">
        <w:rPr>
          <w:rFonts w:cs="Arial"/>
          <w:szCs w:val="20"/>
        </w:rPr>
        <w:t>portfeljske</w:t>
      </w:r>
      <w:proofErr w:type="spellEnd"/>
      <w:r w:rsidRPr="00830439">
        <w:rPr>
          <w:rFonts w:cs="Arial"/>
          <w:szCs w:val="20"/>
        </w:rPr>
        <w:t xml:space="preserve"> garancije ali </w:t>
      </w:r>
      <w:proofErr w:type="spellStart"/>
      <w:r w:rsidRPr="00830439">
        <w:rPr>
          <w:rFonts w:cs="Arial"/>
          <w:szCs w:val="20"/>
        </w:rPr>
        <w:t>mikrogarancije</w:t>
      </w:r>
      <w:proofErr w:type="spellEnd"/>
      <w:r w:rsidRPr="00830439">
        <w:rPr>
          <w:rFonts w:cs="Arial"/>
          <w:szCs w:val="20"/>
        </w:rPr>
        <w:t xml:space="preserve"> se presoja skladno z relevantno shemo državne pomoči ali pomoči de </w:t>
      </w:r>
      <w:proofErr w:type="spellStart"/>
      <w:r w:rsidRPr="00830439">
        <w:rPr>
          <w:rFonts w:cs="Arial"/>
          <w:szCs w:val="20"/>
        </w:rPr>
        <w:t>minimis</w:t>
      </w:r>
      <w:proofErr w:type="spellEnd"/>
      <w:r w:rsidRPr="00830439">
        <w:rPr>
          <w:rFonts w:cs="Arial"/>
          <w:szCs w:val="20"/>
        </w:rPr>
        <w:t>.</w:t>
      </w:r>
    </w:p>
    <w:p w14:paraId="37023ADF" w14:textId="77777777" w:rsidR="003E3ED9" w:rsidRPr="00830439" w:rsidRDefault="003E3ED9" w:rsidP="003E3ED9">
      <w:pPr>
        <w:jc w:val="both"/>
        <w:rPr>
          <w:rFonts w:cs="Arial"/>
          <w:szCs w:val="20"/>
        </w:rPr>
      </w:pPr>
      <w:r w:rsidRPr="00830439">
        <w:rPr>
          <w:rFonts w:cs="Arial"/>
          <w:szCs w:val="20"/>
        </w:rPr>
        <w:lastRenderedPageBreak/>
        <w:t xml:space="preserve">Možna je kombinacija </w:t>
      </w:r>
      <w:proofErr w:type="spellStart"/>
      <w:r w:rsidRPr="00830439">
        <w:rPr>
          <w:rFonts w:cs="Arial"/>
          <w:szCs w:val="20"/>
        </w:rPr>
        <w:t>portfeljskih</w:t>
      </w:r>
      <w:proofErr w:type="spellEnd"/>
      <w:r w:rsidRPr="00830439">
        <w:rPr>
          <w:rFonts w:cs="Arial"/>
          <w:szCs w:val="20"/>
        </w:rPr>
        <w:t xml:space="preserve"> garancij z nepovratnimi sredstvi evropskih strukturnih in investicijskih skladov v okviru sklada skladov ali v okviru ločene operacije.</w:t>
      </w:r>
    </w:p>
    <w:p w14:paraId="6B994773" w14:textId="77777777" w:rsidR="003E3ED9" w:rsidRPr="00830439" w:rsidRDefault="003E3ED9" w:rsidP="003E3ED9">
      <w:pPr>
        <w:jc w:val="both"/>
        <w:rPr>
          <w:rFonts w:cs="Arial"/>
          <w:szCs w:val="20"/>
        </w:rPr>
      </w:pPr>
    </w:p>
    <w:p w14:paraId="72570567" w14:textId="77777777" w:rsidR="003E3ED9" w:rsidRPr="00830439" w:rsidRDefault="003E3ED9" w:rsidP="003E3ED9">
      <w:pPr>
        <w:jc w:val="both"/>
        <w:rPr>
          <w:rFonts w:cs="Arial"/>
          <w:szCs w:val="20"/>
        </w:rPr>
      </w:pPr>
      <w:r w:rsidRPr="00830439">
        <w:rPr>
          <w:rFonts w:cs="Arial"/>
          <w:szCs w:val="20"/>
        </w:rPr>
        <w:t>Ciljna skupina so: MSP (vključno s socialnimi podjetji, inovativnimi podjetji itd.).</w:t>
      </w:r>
    </w:p>
    <w:p w14:paraId="0F773FB9" w14:textId="77777777" w:rsidR="003E3ED9" w:rsidRPr="00830439" w:rsidRDefault="003E3ED9" w:rsidP="003E3ED9">
      <w:pPr>
        <w:jc w:val="both"/>
        <w:rPr>
          <w:rFonts w:cs="Arial"/>
          <w:szCs w:val="20"/>
        </w:rPr>
      </w:pPr>
    </w:p>
    <w:p w14:paraId="6CD4670F" w14:textId="77777777" w:rsidR="003E3ED9" w:rsidRPr="00830439" w:rsidRDefault="003E3ED9" w:rsidP="003E3ED9">
      <w:pPr>
        <w:jc w:val="both"/>
        <w:rPr>
          <w:rFonts w:cs="Arial"/>
          <w:szCs w:val="20"/>
        </w:rPr>
      </w:pPr>
      <w:r w:rsidRPr="00830439">
        <w:rPr>
          <w:rFonts w:cs="Arial"/>
          <w:szCs w:val="20"/>
        </w:rPr>
        <w:t xml:space="preserve">Cilji, ki jih zasledujemo z izvajanjem </w:t>
      </w:r>
      <w:proofErr w:type="spellStart"/>
      <w:r w:rsidRPr="00830439">
        <w:rPr>
          <w:rFonts w:cs="Arial"/>
          <w:szCs w:val="20"/>
        </w:rPr>
        <w:t>portfeljskih</w:t>
      </w:r>
      <w:proofErr w:type="spellEnd"/>
      <w:r w:rsidRPr="00830439">
        <w:rPr>
          <w:rFonts w:cs="Arial"/>
          <w:szCs w:val="20"/>
        </w:rPr>
        <w:t xml:space="preserve"> garancij, so:</w:t>
      </w:r>
    </w:p>
    <w:p w14:paraId="2B8295E6"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 xml:space="preserve">zmanjšanje težav pri dostopanju do financiranja s posojili, s katerimi se soočajo MSP in podjetniki (na primer z </w:t>
      </w:r>
      <w:proofErr w:type="spellStart"/>
      <w:r w:rsidRPr="00830439">
        <w:rPr>
          <w:rFonts w:eastAsia="Calibri" w:cs="Arial"/>
          <w:szCs w:val="20"/>
        </w:rPr>
        <w:t>mikrogarancijo</w:t>
      </w:r>
      <w:proofErr w:type="spellEnd"/>
      <w:r w:rsidRPr="00830439">
        <w:rPr>
          <w:rFonts w:eastAsia="Calibri" w:cs="Arial"/>
          <w:szCs w:val="20"/>
        </w:rPr>
        <w:t>, ki bi omogočala posojilo v vrednosti pod 25.000 EUR), saj MSP/ podjetniki pogosto nimajo potrebnega zavarovanja ali pa komercialne banke njihove ekonomsko upravičene projekte obravnavajo kot preveč tvegane;</w:t>
      </w:r>
    </w:p>
    <w:p w14:paraId="4BBD5E50"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 xml:space="preserve">podpora zagotavljanju </w:t>
      </w:r>
      <w:proofErr w:type="spellStart"/>
      <w:r w:rsidRPr="00830439">
        <w:rPr>
          <w:rFonts w:eastAsia="Calibri" w:cs="Arial"/>
          <w:szCs w:val="20"/>
        </w:rPr>
        <w:t>mikroposojil</w:t>
      </w:r>
      <w:proofErr w:type="spellEnd"/>
      <w:r w:rsidRPr="00830439">
        <w:rPr>
          <w:rFonts w:eastAsia="Calibri" w:cs="Arial"/>
          <w:szCs w:val="20"/>
        </w:rPr>
        <w:t xml:space="preserve"> in posojil MSP ter podjetnikom;</w:t>
      </w:r>
    </w:p>
    <w:p w14:paraId="3AD80106"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 xml:space="preserve">dopolnjevanje obstoječih garancijskih instrumentov (garancije za posamične projekte, ki niso </w:t>
      </w:r>
      <w:proofErr w:type="spellStart"/>
      <w:r w:rsidRPr="00830439">
        <w:rPr>
          <w:rFonts w:eastAsia="Calibri" w:cs="Arial"/>
          <w:szCs w:val="20"/>
        </w:rPr>
        <w:t>portfeljske</w:t>
      </w:r>
      <w:proofErr w:type="spellEnd"/>
      <w:r w:rsidRPr="00830439">
        <w:rPr>
          <w:rFonts w:eastAsia="Calibri" w:cs="Arial"/>
          <w:szCs w:val="20"/>
        </w:rPr>
        <w:t xml:space="preserve"> garancije);</w:t>
      </w:r>
    </w:p>
    <w:p w14:paraId="0BAC147B"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podpora financiranju obratnega kapitala in investicijam.</w:t>
      </w:r>
    </w:p>
    <w:p w14:paraId="639A693B" w14:textId="77777777" w:rsidR="003E3ED9" w:rsidRPr="00830439" w:rsidRDefault="003E3ED9" w:rsidP="003E3ED9">
      <w:pPr>
        <w:jc w:val="both"/>
        <w:rPr>
          <w:rFonts w:cs="Arial"/>
          <w:szCs w:val="20"/>
        </w:rPr>
      </w:pPr>
      <w:r w:rsidRPr="00830439">
        <w:rPr>
          <w:rFonts w:cs="Arial"/>
          <w:szCs w:val="20"/>
        </w:rPr>
        <w:t>Kazalniki:</w:t>
      </w:r>
    </w:p>
    <w:p w14:paraId="35C3DF44"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 xml:space="preserve">število podprtih MSP in podjetnikov (z razdelitvijo na </w:t>
      </w:r>
      <w:proofErr w:type="spellStart"/>
      <w:r w:rsidRPr="00830439">
        <w:rPr>
          <w:rFonts w:eastAsia="Calibri" w:cs="Arial"/>
          <w:szCs w:val="20"/>
        </w:rPr>
        <w:t>mikro</w:t>
      </w:r>
      <w:proofErr w:type="spellEnd"/>
      <w:r w:rsidRPr="00830439">
        <w:rPr>
          <w:rFonts w:eastAsia="Calibri" w:cs="Arial"/>
          <w:szCs w:val="20"/>
        </w:rPr>
        <w:t xml:space="preserve"> podjetja, mala podjetja, srednje velika podjetja),</w:t>
      </w:r>
    </w:p>
    <w:p w14:paraId="3658FD95"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število zaposlenih v posameznem MSP ob vključitvi MSP v portfelj,</w:t>
      </w:r>
    </w:p>
    <w:p w14:paraId="0F051AB8" w14:textId="77777777" w:rsidR="003E3ED9" w:rsidRPr="00830439" w:rsidRDefault="003E3ED9" w:rsidP="003E3ED9">
      <w:pPr>
        <w:numPr>
          <w:ilvl w:val="0"/>
          <w:numId w:val="48"/>
        </w:numPr>
        <w:spacing w:line="240" w:lineRule="atLeast"/>
        <w:contextualSpacing/>
        <w:jc w:val="both"/>
        <w:rPr>
          <w:rFonts w:eastAsia="Calibri" w:cs="Arial"/>
          <w:szCs w:val="20"/>
        </w:rPr>
      </w:pPr>
      <w:r w:rsidRPr="00830439">
        <w:rPr>
          <w:rFonts w:eastAsia="Calibri" w:cs="Arial"/>
          <w:szCs w:val="20"/>
        </w:rPr>
        <w:t>število novo zaposlenih.</w:t>
      </w:r>
    </w:p>
    <w:p w14:paraId="51DEB34C" w14:textId="77777777" w:rsidR="003E3ED9" w:rsidRPr="00830439" w:rsidRDefault="003E3ED9" w:rsidP="003E3ED9">
      <w:pPr>
        <w:jc w:val="both"/>
        <w:rPr>
          <w:rFonts w:cs="Arial"/>
          <w:szCs w:val="20"/>
        </w:rPr>
      </w:pPr>
    </w:p>
    <w:p w14:paraId="67915C20" w14:textId="77777777" w:rsidR="003E3ED9" w:rsidRPr="00830439" w:rsidRDefault="003E3ED9" w:rsidP="003E3ED9">
      <w:pPr>
        <w:jc w:val="both"/>
        <w:rPr>
          <w:rFonts w:cs="Arial"/>
          <w:szCs w:val="20"/>
        </w:rPr>
      </w:pPr>
      <w:proofErr w:type="spellStart"/>
      <w:r w:rsidRPr="00830439">
        <w:rPr>
          <w:rFonts w:cs="Arial"/>
          <w:szCs w:val="20"/>
        </w:rPr>
        <w:t>Mikroposojila</w:t>
      </w:r>
      <w:proofErr w:type="spellEnd"/>
      <w:r w:rsidRPr="00830439">
        <w:rPr>
          <w:rFonts w:cs="Arial"/>
          <w:szCs w:val="20"/>
        </w:rPr>
        <w:t xml:space="preserve"> za podporo </w:t>
      </w:r>
      <w:proofErr w:type="spellStart"/>
      <w:r w:rsidRPr="00830439">
        <w:rPr>
          <w:rFonts w:cs="Arial"/>
          <w:szCs w:val="20"/>
        </w:rPr>
        <w:t>mikro</w:t>
      </w:r>
      <w:proofErr w:type="spellEnd"/>
      <w:r w:rsidRPr="00830439">
        <w:rPr>
          <w:rFonts w:cs="Arial"/>
          <w:szCs w:val="20"/>
        </w:rPr>
        <w:t xml:space="preserve"> in malim podjetjem do vrednosti 25.000 EUR.</w:t>
      </w:r>
    </w:p>
    <w:p w14:paraId="4E881895" w14:textId="77777777" w:rsidR="003E3ED9" w:rsidRPr="00830439" w:rsidRDefault="003E3ED9" w:rsidP="003E3ED9">
      <w:pPr>
        <w:jc w:val="both"/>
        <w:rPr>
          <w:rFonts w:cs="Arial"/>
          <w:szCs w:val="20"/>
        </w:rPr>
      </w:pPr>
      <w:r w:rsidRPr="00830439">
        <w:rPr>
          <w:rFonts w:cs="Arial"/>
          <w:szCs w:val="20"/>
        </w:rPr>
        <w:t xml:space="preserve">Produkt </w:t>
      </w:r>
      <w:proofErr w:type="spellStart"/>
      <w:r w:rsidRPr="00830439">
        <w:rPr>
          <w:rFonts w:cs="Arial"/>
          <w:szCs w:val="20"/>
        </w:rPr>
        <w:t>mikroposojil</w:t>
      </w:r>
      <w:proofErr w:type="spellEnd"/>
      <w:r w:rsidRPr="00830439">
        <w:rPr>
          <w:rFonts w:cs="Arial"/>
          <w:szCs w:val="20"/>
        </w:rPr>
        <w:t xml:space="preserve"> je namenjen </w:t>
      </w:r>
      <w:proofErr w:type="spellStart"/>
      <w:r w:rsidRPr="00830439">
        <w:rPr>
          <w:rFonts w:cs="Arial"/>
          <w:szCs w:val="20"/>
        </w:rPr>
        <w:t>mikro</w:t>
      </w:r>
      <w:proofErr w:type="spellEnd"/>
      <w:r w:rsidRPr="00830439">
        <w:rPr>
          <w:rFonts w:cs="Arial"/>
          <w:szCs w:val="20"/>
        </w:rPr>
        <w:t xml:space="preserve"> in malim podjetjem ter samostojnim podjetnikom za naložbe v osnovna sredstva in za financiranje obratnih sredstev.</w:t>
      </w:r>
    </w:p>
    <w:p w14:paraId="5623E79E" w14:textId="77777777" w:rsidR="003E3ED9" w:rsidRPr="00830439" w:rsidRDefault="003E3ED9" w:rsidP="003E3ED9">
      <w:pPr>
        <w:jc w:val="both"/>
        <w:rPr>
          <w:rFonts w:cs="Arial"/>
          <w:szCs w:val="20"/>
        </w:rPr>
      </w:pPr>
    </w:p>
    <w:p w14:paraId="3A7969EC" w14:textId="77777777" w:rsidR="003E3ED9" w:rsidRPr="00830439" w:rsidRDefault="003E3ED9" w:rsidP="003E3ED9">
      <w:pPr>
        <w:jc w:val="both"/>
        <w:rPr>
          <w:rFonts w:cs="Arial"/>
          <w:szCs w:val="20"/>
        </w:rPr>
      </w:pPr>
      <w:r w:rsidRPr="00830439">
        <w:rPr>
          <w:rFonts w:cs="Arial"/>
          <w:szCs w:val="20"/>
        </w:rPr>
        <w:t>Okvirni pogoji financiranja se opredelijo v naložbeni strategiji.</w:t>
      </w:r>
    </w:p>
    <w:p w14:paraId="5EE14E30" w14:textId="77777777" w:rsidR="003E3ED9" w:rsidRPr="00830439" w:rsidRDefault="003E3ED9" w:rsidP="003E3ED9">
      <w:pPr>
        <w:jc w:val="both"/>
        <w:rPr>
          <w:rFonts w:cs="Arial"/>
          <w:szCs w:val="20"/>
        </w:rPr>
      </w:pPr>
    </w:p>
    <w:p w14:paraId="04815DE9" w14:textId="77777777" w:rsidR="003E3ED9" w:rsidRPr="00830439" w:rsidRDefault="003E3ED9" w:rsidP="003E3ED9">
      <w:pPr>
        <w:jc w:val="both"/>
        <w:rPr>
          <w:rFonts w:cs="Arial"/>
          <w:szCs w:val="20"/>
        </w:rPr>
      </w:pPr>
      <w:r w:rsidRPr="00830439">
        <w:rPr>
          <w:rFonts w:cs="Arial"/>
          <w:szCs w:val="20"/>
        </w:rPr>
        <w:t xml:space="preserve">Predlog vrednosti za </w:t>
      </w:r>
      <w:proofErr w:type="spellStart"/>
      <w:r w:rsidRPr="00830439">
        <w:rPr>
          <w:rFonts w:cs="Arial"/>
          <w:szCs w:val="20"/>
        </w:rPr>
        <w:t>mikro</w:t>
      </w:r>
      <w:proofErr w:type="spellEnd"/>
      <w:r w:rsidRPr="00830439">
        <w:rPr>
          <w:rFonts w:cs="Arial"/>
          <w:szCs w:val="20"/>
        </w:rPr>
        <w:t xml:space="preserve"> financiranje je 63, 6 mio EUR, ki izhajajo iz TC3.</w:t>
      </w:r>
    </w:p>
    <w:p w14:paraId="71FC5848" w14:textId="77777777" w:rsidR="003E3ED9" w:rsidRPr="00830439" w:rsidRDefault="003E3ED9" w:rsidP="003E3ED9">
      <w:pPr>
        <w:jc w:val="both"/>
        <w:rPr>
          <w:rFonts w:cs="Arial"/>
          <w:szCs w:val="20"/>
        </w:rPr>
      </w:pPr>
      <w:r w:rsidRPr="00830439">
        <w:rPr>
          <w:rFonts w:cs="Arial"/>
          <w:szCs w:val="20"/>
        </w:rPr>
        <w:br/>
        <w:t>Pričakovan učinek finančnega vzvoda je 1,5 do 2,5.</w:t>
      </w:r>
    </w:p>
    <w:p w14:paraId="78D3BB89" w14:textId="77777777" w:rsidR="003E3ED9" w:rsidRPr="00830439" w:rsidRDefault="003E3ED9" w:rsidP="003E3ED9">
      <w:pPr>
        <w:jc w:val="both"/>
        <w:rPr>
          <w:rFonts w:cs="Arial"/>
          <w:szCs w:val="20"/>
        </w:rPr>
      </w:pPr>
    </w:p>
    <w:p w14:paraId="6DCE80DC" w14:textId="77777777" w:rsidR="003E3ED9" w:rsidRPr="00830439" w:rsidRDefault="003E3ED9" w:rsidP="003E3ED9">
      <w:pPr>
        <w:jc w:val="both"/>
        <w:rPr>
          <w:rFonts w:cs="Arial"/>
          <w:szCs w:val="20"/>
        </w:rPr>
      </w:pPr>
      <w:r w:rsidRPr="00830439">
        <w:rPr>
          <w:rFonts w:cs="Arial"/>
          <w:szCs w:val="20"/>
        </w:rPr>
        <w:t xml:space="preserve">Možna je kombinacija </w:t>
      </w:r>
      <w:proofErr w:type="spellStart"/>
      <w:r w:rsidRPr="00830439">
        <w:rPr>
          <w:rFonts w:cs="Arial"/>
          <w:szCs w:val="20"/>
        </w:rPr>
        <w:t>mikroposojil</w:t>
      </w:r>
      <w:proofErr w:type="spellEnd"/>
      <w:r w:rsidRPr="00830439">
        <w:rPr>
          <w:rFonts w:cs="Arial"/>
          <w:szCs w:val="20"/>
        </w:rPr>
        <w:t xml:space="preserve"> z nepovratnimi viri.</w:t>
      </w:r>
    </w:p>
    <w:p w14:paraId="26326F22" w14:textId="77777777" w:rsidR="003E3ED9" w:rsidRPr="00830439" w:rsidRDefault="003E3ED9" w:rsidP="003E3ED9">
      <w:pPr>
        <w:jc w:val="both"/>
        <w:rPr>
          <w:rFonts w:cs="Arial"/>
          <w:szCs w:val="20"/>
        </w:rPr>
      </w:pPr>
      <w:r w:rsidRPr="00830439">
        <w:rPr>
          <w:rFonts w:cs="Arial"/>
          <w:szCs w:val="20"/>
        </w:rPr>
        <w:t xml:space="preserve"> </w:t>
      </w:r>
    </w:p>
    <w:p w14:paraId="77DE44E3" w14:textId="77777777" w:rsidR="003E3ED9" w:rsidRPr="00830439" w:rsidRDefault="003E3ED9" w:rsidP="003E3ED9">
      <w:pPr>
        <w:jc w:val="both"/>
        <w:rPr>
          <w:rFonts w:cs="Arial"/>
          <w:szCs w:val="20"/>
        </w:rPr>
      </w:pPr>
      <w:r w:rsidRPr="00830439">
        <w:rPr>
          <w:rFonts w:cs="Arial"/>
          <w:szCs w:val="20"/>
        </w:rPr>
        <w:t xml:space="preserve">Državne pomoči: mikrokrediti se presojajo skladno z relevantno shemo državne pomoči ali pomoči de </w:t>
      </w:r>
      <w:proofErr w:type="spellStart"/>
      <w:r w:rsidRPr="00830439">
        <w:rPr>
          <w:rFonts w:cs="Arial"/>
          <w:szCs w:val="20"/>
        </w:rPr>
        <w:t>minimis</w:t>
      </w:r>
      <w:proofErr w:type="spellEnd"/>
      <w:r w:rsidRPr="00830439">
        <w:rPr>
          <w:rFonts w:cs="Arial"/>
          <w:szCs w:val="20"/>
        </w:rPr>
        <w:t>.</w:t>
      </w:r>
    </w:p>
    <w:p w14:paraId="2505BAFE" w14:textId="77777777" w:rsidR="003E3ED9" w:rsidRPr="00830439" w:rsidRDefault="003E3ED9" w:rsidP="003E3ED9">
      <w:pPr>
        <w:jc w:val="both"/>
        <w:rPr>
          <w:rFonts w:cs="Arial"/>
          <w:szCs w:val="20"/>
        </w:rPr>
      </w:pPr>
    </w:p>
    <w:p w14:paraId="67E365EE" w14:textId="77777777" w:rsidR="003E3ED9" w:rsidRPr="00830439" w:rsidRDefault="003E3ED9" w:rsidP="003E3ED9">
      <w:pPr>
        <w:jc w:val="both"/>
        <w:rPr>
          <w:rFonts w:cs="Arial"/>
          <w:szCs w:val="20"/>
        </w:rPr>
      </w:pPr>
      <w:r w:rsidRPr="00830439">
        <w:rPr>
          <w:rFonts w:cs="Arial"/>
          <w:szCs w:val="20"/>
        </w:rPr>
        <w:t xml:space="preserve">Ciljne skupine so: posamezniki in </w:t>
      </w:r>
      <w:proofErr w:type="spellStart"/>
      <w:r w:rsidRPr="00830439">
        <w:rPr>
          <w:rFonts w:cs="Arial"/>
          <w:szCs w:val="20"/>
        </w:rPr>
        <w:t>mikro</w:t>
      </w:r>
      <w:proofErr w:type="spellEnd"/>
      <w:r w:rsidRPr="00830439">
        <w:rPr>
          <w:rFonts w:cs="Arial"/>
          <w:szCs w:val="20"/>
        </w:rPr>
        <w:t xml:space="preserve"> in mala podjetja ter samostojni podjetniki.</w:t>
      </w:r>
    </w:p>
    <w:p w14:paraId="19CA5C7D" w14:textId="77777777" w:rsidR="003E3ED9" w:rsidRPr="00830439" w:rsidRDefault="003E3ED9" w:rsidP="003E3ED9">
      <w:pPr>
        <w:jc w:val="both"/>
        <w:rPr>
          <w:rFonts w:cs="Arial"/>
          <w:szCs w:val="20"/>
        </w:rPr>
      </w:pPr>
    </w:p>
    <w:p w14:paraId="034AF903" w14:textId="77777777" w:rsidR="003E3ED9" w:rsidRPr="00830439" w:rsidRDefault="003E3ED9" w:rsidP="003E3ED9">
      <w:pPr>
        <w:jc w:val="both"/>
        <w:rPr>
          <w:rFonts w:cs="Arial"/>
          <w:szCs w:val="20"/>
        </w:rPr>
      </w:pPr>
      <w:r w:rsidRPr="00830439">
        <w:rPr>
          <w:rFonts w:cs="Arial"/>
          <w:szCs w:val="20"/>
        </w:rPr>
        <w:t>Cilji:</w:t>
      </w:r>
    </w:p>
    <w:p w14:paraId="6E3F9425" w14:textId="77777777" w:rsidR="003E3ED9" w:rsidRPr="00830439" w:rsidRDefault="003E3ED9" w:rsidP="003E3ED9">
      <w:pPr>
        <w:numPr>
          <w:ilvl w:val="0"/>
          <w:numId w:val="49"/>
        </w:numPr>
        <w:spacing w:line="240" w:lineRule="atLeast"/>
        <w:contextualSpacing/>
        <w:jc w:val="both"/>
        <w:rPr>
          <w:rFonts w:eastAsia="Calibri" w:cs="Arial"/>
          <w:szCs w:val="20"/>
        </w:rPr>
      </w:pPr>
      <w:r w:rsidRPr="00830439">
        <w:rPr>
          <w:rFonts w:eastAsia="Calibri" w:cs="Arial"/>
          <w:szCs w:val="20"/>
        </w:rPr>
        <w:t>zmanjšanje specifičnih težav ciljnih skupin in končnih upravičencev pri dostopanju do financiranja, saj finančne institucije njihove projekte obravnavajo kot preveč tvegane/bančno neprimerne;</w:t>
      </w:r>
    </w:p>
    <w:p w14:paraId="18234828" w14:textId="77777777" w:rsidR="003E3ED9" w:rsidRPr="00830439" w:rsidRDefault="003E3ED9" w:rsidP="003E3ED9">
      <w:pPr>
        <w:numPr>
          <w:ilvl w:val="0"/>
          <w:numId w:val="49"/>
        </w:numPr>
        <w:spacing w:line="240" w:lineRule="atLeast"/>
        <w:contextualSpacing/>
        <w:jc w:val="both"/>
        <w:rPr>
          <w:rFonts w:eastAsia="Calibri" w:cs="Arial"/>
          <w:szCs w:val="20"/>
        </w:rPr>
      </w:pPr>
      <w:r w:rsidRPr="00830439">
        <w:rPr>
          <w:rFonts w:eastAsia="Calibri" w:cs="Arial"/>
          <w:szCs w:val="20"/>
        </w:rPr>
        <w:t>vzpostavitev finančne sheme delitve tveganja s finančnimi posredniki v smislu zagotavljanja posojil v zelo majhnih zneskih za bančno neprimerne posameznike, ki financiranje potrebujejo za izboljšan dostop do trga dela.</w:t>
      </w:r>
    </w:p>
    <w:p w14:paraId="1C93E28D" w14:textId="77777777" w:rsidR="003E3ED9" w:rsidRPr="00830439" w:rsidRDefault="003E3ED9" w:rsidP="003E3ED9">
      <w:pPr>
        <w:jc w:val="both"/>
        <w:rPr>
          <w:rFonts w:cs="Arial"/>
          <w:szCs w:val="20"/>
        </w:rPr>
      </w:pPr>
      <w:r w:rsidRPr="00830439">
        <w:rPr>
          <w:rFonts w:cs="Arial"/>
          <w:szCs w:val="20"/>
        </w:rPr>
        <w:t>Kazalniki:</w:t>
      </w:r>
    </w:p>
    <w:p w14:paraId="706701A7" w14:textId="77777777" w:rsidR="003E3ED9" w:rsidRPr="00830439" w:rsidRDefault="003E3ED9" w:rsidP="003E3ED9">
      <w:pPr>
        <w:numPr>
          <w:ilvl w:val="0"/>
          <w:numId w:val="49"/>
        </w:numPr>
        <w:spacing w:line="240" w:lineRule="atLeast"/>
        <w:contextualSpacing/>
        <w:jc w:val="both"/>
        <w:rPr>
          <w:rFonts w:eastAsia="Calibri" w:cs="Arial"/>
          <w:szCs w:val="20"/>
        </w:rPr>
      </w:pPr>
      <w:r w:rsidRPr="00830439">
        <w:rPr>
          <w:rFonts w:eastAsia="Calibri" w:cs="Arial"/>
          <w:szCs w:val="20"/>
        </w:rPr>
        <w:t xml:space="preserve">število podprtih </w:t>
      </w:r>
      <w:proofErr w:type="spellStart"/>
      <w:r w:rsidRPr="00830439">
        <w:rPr>
          <w:rFonts w:eastAsia="Calibri" w:cs="Arial"/>
          <w:szCs w:val="20"/>
        </w:rPr>
        <w:t>mikro</w:t>
      </w:r>
      <w:proofErr w:type="spellEnd"/>
      <w:r w:rsidRPr="00830439">
        <w:rPr>
          <w:rFonts w:eastAsia="Calibri" w:cs="Arial"/>
          <w:szCs w:val="20"/>
        </w:rPr>
        <w:t xml:space="preserve"> in malih podjetij in podjetnikov,</w:t>
      </w:r>
    </w:p>
    <w:p w14:paraId="3AB759FB" w14:textId="77777777" w:rsidR="003E3ED9" w:rsidRPr="00830439" w:rsidRDefault="003E3ED9" w:rsidP="003E3ED9">
      <w:pPr>
        <w:numPr>
          <w:ilvl w:val="0"/>
          <w:numId w:val="49"/>
        </w:numPr>
        <w:spacing w:line="240" w:lineRule="atLeast"/>
        <w:contextualSpacing/>
        <w:jc w:val="both"/>
        <w:rPr>
          <w:rFonts w:eastAsia="Calibri" w:cs="Arial"/>
          <w:szCs w:val="20"/>
        </w:rPr>
      </w:pPr>
      <w:r w:rsidRPr="00830439">
        <w:rPr>
          <w:rFonts w:eastAsia="Calibri" w:cs="Arial"/>
          <w:szCs w:val="20"/>
        </w:rPr>
        <w:t>število novo zaposlenih,</w:t>
      </w:r>
    </w:p>
    <w:p w14:paraId="2703C4D5" w14:textId="77777777" w:rsidR="003E3ED9" w:rsidRPr="00830439" w:rsidRDefault="003E3ED9" w:rsidP="003E3ED9">
      <w:pPr>
        <w:numPr>
          <w:ilvl w:val="0"/>
          <w:numId w:val="49"/>
        </w:numPr>
        <w:spacing w:line="240" w:lineRule="atLeast"/>
        <w:contextualSpacing/>
        <w:jc w:val="both"/>
        <w:rPr>
          <w:rFonts w:eastAsia="Calibri" w:cs="Arial"/>
          <w:szCs w:val="20"/>
        </w:rPr>
      </w:pPr>
      <w:r w:rsidRPr="00830439">
        <w:rPr>
          <w:rFonts w:eastAsia="Calibri" w:cs="Arial"/>
          <w:szCs w:val="20"/>
        </w:rPr>
        <w:t>finančni vzvod.</w:t>
      </w:r>
    </w:p>
    <w:p w14:paraId="56A2E044" w14:textId="77777777" w:rsidR="003E3ED9" w:rsidRPr="00830439" w:rsidRDefault="003E3ED9" w:rsidP="003E3ED9">
      <w:pPr>
        <w:jc w:val="both"/>
        <w:rPr>
          <w:rFonts w:cs="Arial"/>
          <w:szCs w:val="20"/>
        </w:rPr>
      </w:pPr>
      <w:r w:rsidRPr="00830439">
        <w:rPr>
          <w:rFonts w:cs="Arial"/>
          <w:szCs w:val="20"/>
        </w:rPr>
        <w:t>Lastniško financiranje</w:t>
      </w:r>
    </w:p>
    <w:p w14:paraId="41827615" w14:textId="77777777" w:rsidR="003E3ED9" w:rsidRPr="00830439" w:rsidRDefault="003E3ED9" w:rsidP="003E3ED9">
      <w:pPr>
        <w:jc w:val="both"/>
        <w:rPr>
          <w:rFonts w:cs="Arial"/>
          <w:szCs w:val="20"/>
        </w:rPr>
      </w:pPr>
      <w:r w:rsidRPr="00830439">
        <w:rPr>
          <w:rFonts w:cs="Arial"/>
          <w:szCs w:val="20"/>
        </w:rPr>
        <w:t xml:space="preserve">Gre za produkt, ki zagotavlja lastniško financiranje za MSP (lastniško in </w:t>
      </w:r>
      <w:proofErr w:type="spellStart"/>
      <w:r w:rsidRPr="00830439">
        <w:rPr>
          <w:rFonts w:cs="Arial"/>
          <w:szCs w:val="20"/>
        </w:rPr>
        <w:t>kvazi</w:t>
      </w:r>
      <w:proofErr w:type="spellEnd"/>
      <w:r w:rsidRPr="00830439">
        <w:rPr>
          <w:rFonts w:cs="Arial"/>
          <w:szCs w:val="20"/>
        </w:rPr>
        <w:t>-lastniško).</w:t>
      </w:r>
    </w:p>
    <w:p w14:paraId="44F8D440" w14:textId="77777777" w:rsidR="003E3ED9" w:rsidRPr="00830439" w:rsidRDefault="003E3ED9" w:rsidP="003E3ED9">
      <w:pPr>
        <w:jc w:val="both"/>
        <w:rPr>
          <w:rFonts w:cs="Arial"/>
          <w:szCs w:val="20"/>
        </w:rPr>
      </w:pPr>
    </w:p>
    <w:p w14:paraId="18F3862D" w14:textId="77777777" w:rsidR="003E3ED9" w:rsidRPr="00830439" w:rsidRDefault="003E3ED9" w:rsidP="003E3ED9">
      <w:pPr>
        <w:jc w:val="both"/>
        <w:rPr>
          <w:rFonts w:cs="Arial"/>
          <w:szCs w:val="20"/>
        </w:rPr>
      </w:pPr>
      <w:r w:rsidRPr="00830439">
        <w:rPr>
          <w:rFonts w:cs="Arial"/>
          <w:szCs w:val="20"/>
        </w:rPr>
        <w:t>Predviden znesek v OP 2014-2020 je 40 mio EUR. Skladno s Predhodno analizo FI pa je predlog vrednosti lastniškega financiranja 30 mio EUR iz TC 3 in TC 1. Predlagana višina sredstev za izvedbo lastniškega financiranja pa je 6,4  mio EUR iz TC3 za MSP. Lastniško financiranje za velika podjetja (TC 1) trenutno ni predvideno.</w:t>
      </w:r>
    </w:p>
    <w:p w14:paraId="516F278A" w14:textId="77777777" w:rsidR="003E3ED9" w:rsidRPr="00830439" w:rsidRDefault="003E3ED9" w:rsidP="003E3ED9">
      <w:pPr>
        <w:jc w:val="both"/>
        <w:rPr>
          <w:rFonts w:cs="Arial"/>
          <w:szCs w:val="20"/>
        </w:rPr>
      </w:pPr>
    </w:p>
    <w:p w14:paraId="304CC601" w14:textId="77777777" w:rsidR="003E3ED9" w:rsidRPr="00830439" w:rsidRDefault="003E3ED9" w:rsidP="003E3ED9">
      <w:pPr>
        <w:jc w:val="both"/>
        <w:rPr>
          <w:rFonts w:cs="Arial"/>
          <w:szCs w:val="20"/>
        </w:rPr>
      </w:pPr>
      <w:r w:rsidRPr="00830439">
        <w:rPr>
          <w:rFonts w:cs="Arial"/>
          <w:szCs w:val="20"/>
        </w:rPr>
        <w:t xml:space="preserve">Državne pomoči: ukrep se presoja skladno z relevantno shemo državne pomoči ali pomoči de </w:t>
      </w:r>
      <w:proofErr w:type="spellStart"/>
      <w:r w:rsidRPr="00830439">
        <w:rPr>
          <w:rFonts w:cs="Arial"/>
          <w:szCs w:val="20"/>
        </w:rPr>
        <w:t>minimis</w:t>
      </w:r>
      <w:proofErr w:type="spellEnd"/>
      <w:r w:rsidRPr="00830439">
        <w:rPr>
          <w:rFonts w:cs="Arial"/>
          <w:szCs w:val="20"/>
        </w:rPr>
        <w:t>.</w:t>
      </w:r>
    </w:p>
    <w:p w14:paraId="0C54EB49" w14:textId="77777777" w:rsidR="003E3ED9" w:rsidRPr="00830439" w:rsidRDefault="003E3ED9" w:rsidP="003E3ED9">
      <w:pPr>
        <w:jc w:val="both"/>
        <w:rPr>
          <w:rFonts w:cs="Arial"/>
          <w:szCs w:val="20"/>
        </w:rPr>
      </w:pPr>
    </w:p>
    <w:p w14:paraId="30D2F79C" w14:textId="77777777" w:rsidR="003E3ED9" w:rsidRPr="00830439" w:rsidRDefault="003E3ED9" w:rsidP="003E3ED9">
      <w:pPr>
        <w:jc w:val="both"/>
        <w:rPr>
          <w:rFonts w:cs="Arial"/>
          <w:szCs w:val="20"/>
        </w:rPr>
      </w:pPr>
      <w:r w:rsidRPr="00830439">
        <w:rPr>
          <w:rFonts w:cs="Arial"/>
          <w:szCs w:val="20"/>
        </w:rPr>
        <w:t>Možna je kombinacija lastniškega financiranja z nepovratnimi viri.</w:t>
      </w:r>
    </w:p>
    <w:p w14:paraId="2871D5F8" w14:textId="77777777" w:rsidR="003E3ED9" w:rsidRPr="00830439" w:rsidRDefault="003E3ED9" w:rsidP="003E3ED9">
      <w:pPr>
        <w:jc w:val="both"/>
        <w:rPr>
          <w:rFonts w:cs="Arial"/>
          <w:szCs w:val="20"/>
        </w:rPr>
      </w:pPr>
    </w:p>
    <w:p w14:paraId="322A4AB6" w14:textId="77777777" w:rsidR="003E3ED9" w:rsidRPr="00830439" w:rsidRDefault="003E3ED9" w:rsidP="003E3ED9">
      <w:pPr>
        <w:jc w:val="both"/>
        <w:rPr>
          <w:rFonts w:cs="Arial"/>
          <w:szCs w:val="20"/>
        </w:rPr>
      </w:pPr>
      <w:r w:rsidRPr="00830439">
        <w:rPr>
          <w:rFonts w:cs="Arial"/>
          <w:szCs w:val="20"/>
        </w:rPr>
        <w:t>Ciljne skupine: MSP.</w:t>
      </w:r>
    </w:p>
    <w:p w14:paraId="1B80E3C3" w14:textId="77777777" w:rsidR="003E3ED9" w:rsidRPr="00830439" w:rsidRDefault="003E3ED9" w:rsidP="003E3ED9">
      <w:pPr>
        <w:jc w:val="both"/>
        <w:rPr>
          <w:rFonts w:cs="Arial"/>
          <w:szCs w:val="20"/>
        </w:rPr>
      </w:pPr>
    </w:p>
    <w:p w14:paraId="3AAE79CB" w14:textId="77777777" w:rsidR="003E3ED9" w:rsidRPr="00830439" w:rsidRDefault="003E3ED9" w:rsidP="003E3ED9">
      <w:pPr>
        <w:jc w:val="both"/>
        <w:rPr>
          <w:rFonts w:cs="Arial"/>
          <w:szCs w:val="20"/>
        </w:rPr>
      </w:pPr>
      <w:r w:rsidRPr="00830439">
        <w:rPr>
          <w:rFonts w:cs="Arial"/>
          <w:szCs w:val="20"/>
        </w:rPr>
        <w:t>Cilji so:</w:t>
      </w:r>
    </w:p>
    <w:p w14:paraId="5283454D"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 xml:space="preserve">izboljšati lastniško in </w:t>
      </w:r>
      <w:proofErr w:type="spellStart"/>
      <w:r w:rsidRPr="00830439">
        <w:rPr>
          <w:rFonts w:eastAsia="Calibri" w:cs="Arial"/>
          <w:szCs w:val="20"/>
        </w:rPr>
        <w:t>kvazi</w:t>
      </w:r>
      <w:proofErr w:type="spellEnd"/>
      <w:r w:rsidRPr="00830439">
        <w:rPr>
          <w:rFonts w:eastAsia="Calibri" w:cs="Arial"/>
          <w:szCs w:val="20"/>
        </w:rPr>
        <w:t>-lastniško financiranje za podjetja v semenski fazi, fazi oblikovanja, fazi razvoja in fazi preobrata;</w:t>
      </w:r>
    </w:p>
    <w:p w14:paraId="11066BAC"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podpora podjetjem v vseh fazah na podlagi dobrega poslovnega načrta;</w:t>
      </w:r>
    </w:p>
    <w:p w14:paraId="3E5D7103"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izboljšanje kapitalizacije MSP z visokim potencialom rasti v Sloveniji;</w:t>
      </w:r>
    </w:p>
    <w:p w14:paraId="21C55D87"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spodbujanje oblikovanja kapitalskega trga v Sloveniji, vključno s poslovnimi angeli;</w:t>
      </w:r>
    </w:p>
    <w:p w14:paraId="2BA1CAED"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dopolnitev obstoječe ponudbe lastniškega financiranja, so-vlaganje skupaj z upravljavci trga (poslovni angeli, naložbeni skladi itd.), ki so prisotni v državi, in pritegnitev zunanjih investitorjev, ki običajno niso dejavni v državi.</w:t>
      </w:r>
    </w:p>
    <w:p w14:paraId="78F2B97D" w14:textId="77777777" w:rsidR="003E3ED9" w:rsidRPr="00830439" w:rsidRDefault="003E3ED9" w:rsidP="003E3ED9">
      <w:pPr>
        <w:jc w:val="both"/>
        <w:rPr>
          <w:rFonts w:cs="Arial"/>
          <w:szCs w:val="20"/>
        </w:rPr>
      </w:pPr>
      <w:r w:rsidRPr="00830439">
        <w:rPr>
          <w:rFonts w:cs="Arial"/>
          <w:szCs w:val="20"/>
        </w:rPr>
        <w:t>Kazalniki:</w:t>
      </w:r>
    </w:p>
    <w:p w14:paraId="12C2F6FC"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število podprtih MSP (</w:t>
      </w:r>
      <w:proofErr w:type="spellStart"/>
      <w:r w:rsidRPr="00830439">
        <w:rPr>
          <w:rFonts w:eastAsia="Calibri" w:cs="Arial"/>
          <w:szCs w:val="20"/>
        </w:rPr>
        <w:t>mikro</w:t>
      </w:r>
      <w:proofErr w:type="spellEnd"/>
      <w:r w:rsidRPr="00830439">
        <w:rPr>
          <w:rFonts w:eastAsia="Calibri" w:cs="Arial"/>
          <w:szCs w:val="20"/>
        </w:rPr>
        <w:t>, mala, srednje velika podjetja) in podjetnikov,</w:t>
      </w:r>
    </w:p>
    <w:p w14:paraId="5C89DDB6"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število zaposlenih v MSP ob vključitvi v portfelj,</w:t>
      </w:r>
    </w:p>
    <w:p w14:paraId="300B89DA"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število novih zaposlitev,</w:t>
      </w:r>
    </w:p>
    <w:p w14:paraId="45B437E7"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skupen zagotovljen znesek,</w:t>
      </w:r>
    </w:p>
    <w:p w14:paraId="2DD16C3D" w14:textId="77777777" w:rsidR="003E3ED9" w:rsidRPr="00830439" w:rsidRDefault="003E3ED9" w:rsidP="003E3ED9">
      <w:pPr>
        <w:numPr>
          <w:ilvl w:val="0"/>
          <w:numId w:val="50"/>
        </w:numPr>
        <w:spacing w:line="240" w:lineRule="atLeast"/>
        <w:contextualSpacing/>
        <w:jc w:val="both"/>
        <w:rPr>
          <w:rFonts w:eastAsia="Calibri" w:cs="Arial"/>
          <w:szCs w:val="20"/>
        </w:rPr>
      </w:pPr>
      <w:r w:rsidRPr="00830439">
        <w:rPr>
          <w:rFonts w:eastAsia="Calibri" w:cs="Arial"/>
          <w:szCs w:val="20"/>
        </w:rPr>
        <w:t>finančni vzvod.</w:t>
      </w:r>
    </w:p>
    <w:p w14:paraId="56323966" w14:textId="77777777" w:rsidR="003E3ED9" w:rsidRPr="002A1F16" w:rsidRDefault="003E3ED9" w:rsidP="003E3ED9">
      <w:pPr>
        <w:spacing w:before="240" w:after="120"/>
        <w:ind w:left="2"/>
        <w:outlineLvl w:val="0"/>
        <w:rPr>
          <w:rFonts w:cs="Arial"/>
          <w:b/>
          <w:color w:val="AACDDB"/>
          <w:szCs w:val="20"/>
        </w:rPr>
      </w:pPr>
      <w:bookmarkStart w:id="37" w:name="_Toc132097828"/>
      <w:r w:rsidRPr="002A1F16">
        <w:rPr>
          <w:rFonts w:cs="Arial"/>
          <w:b/>
          <w:color w:val="AACDDB"/>
          <w:szCs w:val="20"/>
        </w:rPr>
        <w:t>3.2.3 Finančni instrument za EE</w:t>
      </w:r>
      <w:bookmarkEnd w:id="37"/>
    </w:p>
    <w:p w14:paraId="5FD0E4B4" w14:textId="77777777" w:rsidR="003E3ED9" w:rsidRPr="00F60B42" w:rsidRDefault="003E3ED9" w:rsidP="003E3ED9">
      <w:pPr>
        <w:jc w:val="both"/>
        <w:rPr>
          <w:rFonts w:cs="Arial"/>
          <w:szCs w:val="20"/>
        </w:rPr>
      </w:pPr>
      <w:bookmarkStart w:id="38" w:name="_Toc132097863"/>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12</w:t>
      </w:r>
      <w:r w:rsidRPr="00F60B42">
        <w:rPr>
          <w:rFonts w:cs="Arial"/>
          <w:szCs w:val="20"/>
        </w:rPr>
        <w:fldChar w:fldCharType="end"/>
      </w:r>
      <w:r w:rsidRPr="00830439">
        <w:rPr>
          <w:rFonts w:cs="Arial"/>
          <w:szCs w:val="20"/>
        </w:rPr>
        <w:t>: Predvideni finančni produkti za področje energetske učinkovitosti</w:t>
      </w:r>
      <w:bookmarkEnd w:id="38"/>
    </w:p>
    <w:tbl>
      <w:tblPr>
        <w:tblStyle w:val="Tabelamrea"/>
        <w:tblW w:w="5000" w:type="pct"/>
        <w:tblLook w:val="04A0" w:firstRow="1" w:lastRow="0" w:firstColumn="1" w:lastColumn="0" w:noHBand="0" w:noVBand="1"/>
      </w:tblPr>
      <w:tblGrid>
        <w:gridCol w:w="2205"/>
        <w:gridCol w:w="1344"/>
        <w:gridCol w:w="1635"/>
        <w:gridCol w:w="1810"/>
        <w:gridCol w:w="1494"/>
      </w:tblGrid>
      <w:tr w:rsidR="003E3ED9" w:rsidRPr="00830439" w14:paraId="7CD71A3E" w14:textId="77777777" w:rsidTr="00E8716B">
        <w:tc>
          <w:tcPr>
            <w:tcW w:w="1299" w:type="pct"/>
            <w:vAlign w:val="center"/>
          </w:tcPr>
          <w:p w14:paraId="6BE2C7BF" w14:textId="77777777" w:rsidR="003E3ED9" w:rsidRPr="00F60B42" w:rsidRDefault="003E3ED9" w:rsidP="00E8716B">
            <w:pPr>
              <w:keepNext/>
              <w:keepLines/>
              <w:widowControl w:val="0"/>
              <w:autoSpaceDE w:val="0"/>
              <w:autoSpaceDN w:val="0"/>
              <w:adjustRightInd w:val="0"/>
              <w:jc w:val="center"/>
              <w:rPr>
                <w:rFonts w:eastAsia="Calibri" w:cs="Arial"/>
                <w:color w:val="000000"/>
              </w:rPr>
            </w:pPr>
            <w:r w:rsidRPr="00F60B42">
              <w:rPr>
                <w:rFonts w:eastAsia="Calibri" w:cs="Arial"/>
                <w:color w:val="000000"/>
              </w:rPr>
              <w:t>Področje z zaznano finančno vrzeljo</w:t>
            </w:r>
          </w:p>
        </w:tc>
        <w:tc>
          <w:tcPr>
            <w:tcW w:w="792" w:type="pct"/>
            <w:vAlign w:val="center"/>
          </w:tcPr>
          <w:p w14:paraId="7615DBFA"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Finančni produkt glede na vrzel financiranja</w:t>
            </w:r>
          </w:p>
        </w:tc>
        <w:tc>
          <w:tcPr>
            <w:tcW w:w="963" w:type="pct"/>
            <w:vAlign w:val="center"/>
          </w:tcPr>
          <w:p w14:paraId="3FA4EDBF"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Ugotovljena vrzel financiranja</w:t>
            </w:r>
          </w:p>
          <w:p w14:paraId="35418FD4"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(v mio EUR)</w:t>
            </w:r>
          </w:p>
        </w:tc>
        <w:tc>
          <w:tcPr>
            <w:tcW w:w="1066" w:type="pct"/>
            <w:shd w:val="clear" w:color="auto" w:fill="auto"/>
            <w:vAlign w:val="center"/>
          </w:tcPr>
          <w:p w14:paraId="2F3790E2"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Finančni produkt</w:t>
            </w:r>
          </w:p>
        </w:tc>
        <w:tc>
          <w:tcPr>
            <w:tcW w:w="880" w:type="pct"/>
            <w:shd w:val="clear" w:color="auto" w:fill="auto"/>
            <w:vAlign w:val="center"/>
          </w:tcPr>
          <w:p w14:paraId="01BDF1EA"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Predvidena višina javnih sredstev - FI</w:t>
            </w:r>
          </w:p>
          <w:p w14:paraId="6EF6603E" w14:textId="77777777" w:rsidR="003E3ED9" w:rsidRPr="00830439" w:rsidRDefault="003E3ED9" w:rsidP="00E8716B">
            <w:pPr>
              <w:keepNext/>
              <w:keepLines/>
              <w:widowControl w:val="0"/>
              <w:autoSpaceDE w:val="0"/>
              <w:autoSpaceDN w:val="0"/>
              <w:adjustRightInd w:val="0"/>
              <w:jc w:val="center"/>
              <w:rPr>
                <w:rFonts w:eastAsia="Calibri" w:cs="Arial"/>
                <w:color w:val="000000"/>
              </w:rPr>
            </w:pPr>
            <w:r w:rsidRPr="00830439">
              <w:rPr>
                <w:rFonts w:eastAsia="Calibri" w:cs="Arial"/>
                <w:color w:val="000000"/>
              </w:rPr>
              <w:t>(v mio EUR)</w:t>
            </w:r>
          </w:p>
        </w:tc>
      </w:tr>
      <w:tr w:rsidR="003E3ED9" w:rsidRPr="00830439" w14:paraId="7705E356" w14:textId="77777777" w:rsidTr="00E8716B">
        <w:trPr>
          <w:trHeight w:val="427"/>
        </w:trPr>
        <w:tc>
          <w:tcPr>
            <w:tcW w:w="5000" w:type="pct"/>
            <w:gridSpan w:val="5"/>
            <w:shd w:val="clear" w:color="auto" w:fill="auto"/>
            <w:vAlign w:val="center"/>
          </w:tcPr>
          <w:p w14:paraId="6316A6B2" w14:textId="77777777" w:rsidR="003E3ED9" w:rsidRPr="00F60B42" w:rsidRDefault="003E3ED9" w:rsidP="00E8716B">
            <w:pPr>
              <w:autoSpaceDE w:val="0"/>
              <w:autoSpaceDN w:val="0"/>
              <w:adjustRightInd w:val="0"/>
              <w:jc w:val="center"/>
              <w:rPr>
                <w:rFonts w:eastAsia="Calibri" w:cs="Arial"/>
                <w:color w:val="000000"/>
              </w:rPr>
            </w:pPr>
            <w:r w:rsidRPr="00830439">
              <w:rPr>
                <w:rFonts w:eastAsia="Calibri" w:cs="Arial"/>
                <w:color w:val="000000"/>
              </w:rPr>
              <w:t>ENERGETSKA UČINKOVITOST</w:t>
            </w:r>
          </w:p>
        </w:tc>
      </w:tr>
      <w:tr w:rsidR="003E3ED9" w:rsidRPr="00830439" w14:paraId="73008982" w14:textId="77777777" w:rsidTr="00E8716B">
        <w:tc>
          <w:tcPr>
            <w:tcW w:w="5000" w:type="pct"/>
            <w:gridSpan w:val="5"/>
            <w:shd w:val="clear" w:color="auto" w:fill="auto"/>
            <w:vAlign w:val="center"/>
          </w:tcPr>
          <w:p w14:paraId="37EF50EE" w14:textId="77777777" w:rsidR="003E3ED9" w:rsidRPr="00F60B42" w:rsidRDefault="003E3ED9" w:rsidP="00E8716B">
            <w:pPr>
              <w:autoSpaceDE w:val="0"/>
              <w:autoSpaceDN w:val="0"/>
              <w:adjustRightInd w:val="0"/>
              <w:jc w:val="center"/>
              <w:rPr>
                <w:rFonts w:eastAsia="Calibri" w:cs="Arial"/>
                <w:i/>
                <w:color w:val="000000"/>
              </w:rPr>
            </w:pPr>
            <w:r w:rsidRPr="00830439">
              <w:rPr>
                <w:rFonts w:eastAsia="Calibri" w:cs="Arial"/>
                <w:i/>
                <w:color w:val="000000"/>
              </w:rPr>
              <w:t>Prednostna os: 4/ Tematski cilj: 4</w:t>
            </w:r>
          </w:p>
        </w:tc>
      </w:tr>
      <w:tr w:rsidR="003E3ED9" w:rsidRPr="00830439" w14:paraId="2D9D463A" w14:textId="77777777" w:rsidTr="00E8716B">
        <w:tc>
          <w:tcPr>
            <w:tcW w:w="5000" w:type="pct"/>
            <w:gridSpan w:val="5"/>
            <w:shd w:val="clear" w:color="auto" w:fill="auto"/>
            <w:vAlign w:val="center"/>
          </w:tcPr>
          <w:p w14:paraId="76A83244" w14:textId="77777777" w:rsidR="003E3ED9" w:rsidRPr="00F60B42" w:rsidRDefault="003E3ED9" w:rsidP="00E8716B">
            <w:pPr>
              <w:autoSpaceDE w:val="0"/>
              <w:autoSpaceDN w:val="0"/>
              <w:adjustRightInd w:val="0"/>
              <w:jc w:val="center"/>
              <w:rPr>
                <w:rFonts w:eastAsia="Calibri" w:cs="Arial"/>
                <w:i/>
                <w:color w:val="000000"/>
              </w:rPr>
            </w:pPr>
            <w:r w:rsidRPr="00830439">
              <w:rPr>
                <w:rFonts w:cs="Arial"/>
                <w:bCs/>
                <w:i/>
              </w:rPr>
              <w:t>Prednostna naložba: 4.1</w:t>
            </w:r>
          </w:p>
        </w:tc>
      </w:tr>
      <w:tr w:rsidR="003E3ED9" w:rsidRPr="00830439" w14:paraId="49AEEB14" w14:textId="77777777" w:rsidTr="00E8716B">
        <w:tc>
          <w:tcPr>
            <w:tcW w:w="5000" w:type="pct"/>
            <w:gridSpan w:val="5"/>
            <w:tcBorders>
              <w:bottom w:val="single" w:sz="4" w:space="0" w:color="auto"/>
            </w:tcBorders>
            <w:shd w:val="clear" w:color="auto" w:fill="auto"/>
            <w:vAlign w:val="center"/>
          </w:tcPr>
          <w:p w14:paraId="059BEBBA" w14:textId="77777777" w:rsidR="003E3ED9" w:rsidRPr="00F60B42" w:rsidRDefault="003E3ED9" w:rsidP="00E8716B">
            <w:pPr>
              <w:autoSpaceDE w:val="0"/>
              <w:autoSpaceDN w:val="0"/>
              <w:adjustRightInd w:val="0"/>
              <w:jc w:val="both"/>
              <w:rPr>
                <w:rFonts w:eastAsia="Calibri" w:cs="Arial"/>
                <w:b/>
                <w:i/>
                <w:color w:val="000000"/>
              </w:rPr>
            </w:pPr>
            <w:r w:rsidRPr="00830439">
              <w:rPr>
                <w:rFonts w:eastAsia="Calibri" w:cs="Arial"/>
                <w:b/>
                <w:i/>
                <w:color w:val="000000"/>
              </w:rPr>
              <w:t>Specifični cilj: 1</w:t>
            </w:r>
          </w:p>
        </w:tc>
      </w:tr>
      <w:tr w:rsidR="003E3ED9" w:rsidRPr="00830439" w14:paraId="0F49EA8B" w14:textId="77777777" w:rsidTr="00E8716B">
        <w:tc>
          <w:tcPr>
            <w:tcW w:w="1299" w:type="pct"/>
            <w:tcBorders>
              <w:bottom w:val="single" w:sz="4" w:space="0" w:color="auto"/>
            </w:tcBorders>
            <w:vAlign w:val="center"/>
          </w:tcPr>
          <w:p w14:paraId="567D340F" w14:textId="77777777" w:rsidR="003E3ED9" w:rsidRPr="00F60B42" w:rsidRDefault="003E3ED9" w:rsidP="00E8716B">
            <w:pPr>
              <w:autoSpaceDE w:val="0"/>
              <w:autoSpaceDN w:val="0"/>
              <w:adjustRightInd w:val="0"/>
              <w:jc w:val="both"/>
              <w:rPr>
                <w:rFonts w:eastAsia="Calibri" w:cs="Arial"/>
                <w:color w:val="000000"/>
              </w:rPr>
            </w:pPr>
            <w:r w:rsidRPr="00830439">
              <w:rPr>
                <w:rFonts w:eastAsia="Calibri" w:cs="Arial"/>
                <w:color w:val="000000"/>
              </w:rPr>
              <w:t>Energetska prenova javnih stavb</w:t>
            </w:r>
          </w:p>
        </w:tc>
        <w:tc>
          <w:tcPr>
            <w:tcW w:w="792" w:type="pct"/>
            <w:tcBorders>
              <w:bottom w:val="single" w:sz="4" w:space="0" w:color="auto"/>
            </w:tcBorders>
            <w:vAlign w:val="center"/>
          </w:tcPr>
          <w:p w14:paraId="1C42FC77" w14:textId="77777777" w:rsidR="003E3ED9" w:rsidRPr="00F60B42" w:rsidRDefault="003E3ED9" w:rsidP="00E8716B">
            <w:pPr>
              <w:autoSpaceDE w:val="0"/>
              <w:autoSpaceDN w:val="0"/>
              <w:adjustRightInd w:val="0"/>
              <w:jc w:val="center"/>
              <w:rPr>
                <w:rFonts w:eastAsia="Calibri" w:cs="Arial"/>
                <w:color w:val="000000"/>
              </w:rPr>
            </w:pPr>
            <w:r w:rsidRPr="00F60B42">
              <w:rPr>
                <w:rFonts w:eastAsia="Calibri" w:cs="Arial"/>
                <w:color w:val="000000"/>
              </w:rPr>
              <w:t>Posojila</w:t>
            </w:r>
          </w:p>
        </w:tc>
        <w:tc>
          <w:tcPr>
            <w:tcW w:w="963" w:type="pct"/>
            <w:tcBorders>
              <w:bottom w:val="single" w:sz="4" w:space="0" w:color="auto"/>
            </w:tcBorders>
            <w:vAlign w:val="center"/>
          </w:tcPr>
          <w:p w14:paraId="50DC32FA" w14:textId="77777777" w:rsidR="003E3ED9" w:rsidRPr="00830439" w:rsidRDefault="003E3ED9" w:rsidP="00E8716B">
            <w:pPr>
              <w:autoSpaceDE w:val="0"/>
              <w:autoSpaceDN w:val="0"/>
              <w:adjustRightInd w:val="0"/>
              <w:jc w:val="center"/>
              <w:rPr>
                <w:rFonts w:eastAsia="Calibri" w:cs="Arial"/>
                <w:color w:val="000000"/>
              </w:rPr>
            </w:pPr>
            <w:r w:rsidRPr="00830439">
              <w:rPr>
                <w:rFonts w:eastAsia="Calibri" w:cs="Arial"/>
                <w:bCs/>
                <w:color w:val="000000"/>
              </w:rPr>
              <w:t>65 - 132</w:t>
            </w:r>
          </w:p>
        </w:tc>
        <w:tc>
          <w:tcPr>
            <w:tcW w:w="1066" w:type="pct"/>
            <w:tcBorders>
              <w:bottom w:val="single" w:sz="4" w:space="0" w:color="auto"/>
            </w:tcBorders>
            <w:shd w:val="clear" w:color="auto" w:fill="auto"/>
            <w:vAlign w:val="center"/>
          </w:tcPr>
          <w:p w14:paraId="2A9C812E"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 xml:space="preserve">Posojila za celovito </w:t>
            </w:r>
          </w:p>
          <w:p w14:paraId="51148BD0"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energetsko prenovo javnih stavb, garancijske sheme, lastniško financiranje</w:t>
            </w:r>
            <w:r w:rsidRPr="00830439">
              <w:rPr>
                <w:rFonts w:eastAsia="Calibri" w:cs="Arial"/>
                <w:color w:val="000000"/>
                <w:vertAlign w:val="superscript"/>
              </w:rPr>
              <w:footnoteReference w:id="16"/>
            </w:r>
          </w:p>
        </w:tc>
        <w:tc>
          <w:tcPr>
            <w:tcW w:w="880" w:type="pct"/>
            <w:tcBorders>
              <w:bottom w:val="single" w:sz="4" w:space="0" w:color="auto"/>
            </w:tcBorders>
            <w:shd w:val="clear" w:color="auto" w:fill="auto"/>
            <w:vAlign w:val="center"/>
          </w:tcPr>
          <w:p w14:paraId="1C449D0E" w14:textId="77777777" w:rsidR="003E3ED9" w:rsidRPr="00F60B42" w:rsidRDefault="003E3ED9" w:rsidP="00E8716B">
            <w:pPr>
              <w:autoSpaceDE w:val="0"/>
              <w:autoSpaceDN w:val="0"/>
              <w:adjustRightInd w:val="0"/>
              <w:jc w:val="center"/>
              <w:rPr>
                <w:rFonts w:eastAsia="Calibri" w:cs="Arial"/>
                <w:color w:val="000000"/>
              </w:rPr>
            </w:pPr>
            <w:r w:rsidRPr="00F60B42">
              <w:rPr>
                <w:rFonts w:eastAsia="Calibri" w:cs="Arial"/>
                <w:color w:val="000000"/>
              </w:rPr>
              <w:t>6,73</w:t>
            </w:r>
          </w:p>
        </w:tc>
      </w:tr>
    </w:tbl>
    <w:p w14:paraId="21B7A2C6" w14:textId="77777777" w:rsidR="003E3ED9" w:rsidRPr="004005A5" w:rsidRDefault="003E3ED9" w:rsidP="003E3ED9">
      <w:pPr>
        <w:jc w:val="both"/>
        <w:rPr>
          <w:rFonts w:cs="Arial"/>
          <w:szCs w:val="20"/>
        </w:rPr>
      </w:pPr>
      <w:r w:rsidRPr="00830439">
        <w:rPr>
          <w:rFonts w:cs="Arial"/>
          <w:szCs w:val="20"/>
        </w:rPr>
        <w:t>Analiza izvajanja finančnih instrumentov za energetsko učinkovitost v okviru operacije FI 2014</w:t>
      </w:r>
      <w:r w:rsidRPr="00830439">
        <w:rPr>
          <w:rFonts w:cs="Arial"/>
          <w:szCs w:val="20"/>
        </w:rPr>
        <w:noBreakHyphen/>
        <w:t xml:space="preserve">2020, pripravljena s strani upravljavca sklada skladov na predlog posredniškega organa, </w:t>
      </w:r>
      <w:r w:rsidRPr="00F60B42">
        <w:rPr>
          <w:rFonts w:cs="Arial"/>
          <w:szCs w:val="20"/>
        </w:rPr>
        <w:t>sodelujočega ministrstva, pristojnega za EE, organa upravljanja in organa za potrjevanje, ki je bila posredovana na MGTŠ dne 19. 10. 2021, je pokazala, da je zaradi specifičnosti produkta/ trga, kljub proaktivnemu izvajanju FI za EE in izvedenim aktivnostim v okviru pristojnosti upravljavca sklada skladov in resornega ministrstva MZI pri iskanju novih rešitev,</w:t>
      </w:r>
      <w:r w:rsidRPr="004005A5">
        <w:rPr>
          <w:rFonts w:cs="Arial"/>
          <w:szCs w:val="20"/>
        </w:rPr>
        <w:t xml:space="preserve"> načrtovana višina podpore EU za izvajanje FI za EE previsoka in se s 25 mio EUR zniža na 6,73 mio EUR.</w:t>
      </w:r>
    </w:p>
    <w:p w14:paraId="1CEC5C53" w14:textId="77777777" w:rsidR="003E3ED9" w:rsidRPr="00830439" w:rsidRDefault="003E3ED9" w:rsidP="003E3ED9">
      <w:pPr>
        <w:jc w:val="both"/>
        <w:rPr>
          <w:rFonts w:cs="Arial"/>
          <w:szCs w:val="20"/>
        </w:rPr>
      </w:pPr>
    </w:p>
    <w:p w14:paraId="329EA030" w14:textId="77777777" w:rsidR="003E3ED9" w:rsidRPr="00830439" w:rsidRDefault="003E3ED9" w:rsidP="003E3ED9">
      <w:pPr>
        <w:jc w:val="both"/>
        <w:rPr>
          <w:rFonts w:cs="Arial"/>
          <w:szCs w:val="20"/>
        </w:rPr>
      </w:pPr>
      <w:r w:rsidRPr="00830439">
        <w:rPr>
          <w:rFonts w:cs="Arial"/>
          <w:szCs w:val="20"/>
        </w:rPr>
        <w:t>Posojilo za celovito energetsko prenovo javnih stavb</w:t>
      </w:r>
    </w:p>
    <w:p w14:paraId="0A742895" w14:textId="77777777" w:rsidR="003E3ED9" w:rsidRPr="00830439" w:rsidRDefault="003E3ED9" w:rsidP="003E3ED9">
      <w:pPr>
        <w:jc w:val="both"/>
        <w:rPr>
          <w:rFonts w:cs="Arial"/>
          <w:szCs w:val="20"/>
        </w:rPr>
      </w:pPr>
      <w:r w:rsidRPr="00830439">
        <w:rPr>
          <w:rFonts w:cs="Arial"/>
          <w:szCs w:val="20"/>
        </w:rPr>
        <w:t>S FI se omogoči posojilo z nižjimi zahtevami za zavarovanje, nižjo obrestno mero in daljšo odplačilno dobo za javne subjekte za celovito energetsko prenovo javnih stavb.</w:t>
      </w:r>
    </w:p>
    <w:p w14:paraId="2545991F" w14:textId="77777777" w:rsidR="003E3ED9" w:rsidRPr="00830439" w:rsidRDefault="003E3ED9" w:rsidP="003E3ED9">
      <w:pPr>
        <w:jc w:val="both"/>
        <w:rPr>
          <w:rFonts w:cs="Arial"/>
          <w:szCs w:val="20"/>
        </w:rPr>
      </w:pPr>
    </w:p>
    <w:p w14:paraId="7A100E8E" w14:textId="77777777" w:rsidR="003E3ED9" w:rsidRPr="00830439" w:rsidRDefault="003E3ED9" w:rsidP="003E3ED9">
      <w:pPr>
        <w:jc w:val="both"/>
        <w:rPr>
          <w:rFonts w:cs="Arial"/>
          <w:szCs w:val="20"/>
        </w:rPr>
      </w:pPr>
      <w:r w:rsidRPr="00830439">
        <w:rPr>
          <w:rFonts w:cs="Arial"/>
          <w:szCs w:val="20"/>
        </w:rPr>
        <w:t>Finančni posrednik bo imel neposredno kreditno povezavo z javnim subjektom, ki celovito energetsko prenavlja javno stavbo (končnim prejemnikom).</w:t>
      </w:r>
    </w:p>
    <w:p w14:paraId="550B44B0" w14:textId="77777777" w:rsidR="003E3ED9" w:rsidRPr="00830439" w:rsidRDefault="003E3ED9" w:rsidP="003E3ED9">
      <w:pPr>
        <w:jc w:val="both"/>
        <w:rPr>
          <w:rFonts w:cs="Arial"/>
          <w:szCs w:val="20"/>
        </w:rPr>
      </w:pPr>
    </w:p>
    <w:p w14:paraId="2C56EB61" w14:textId="77777777" w:rsidR="003E3ED9" w:rsidRPr="00830439" w:rsidRDefault="003E3ED9" w:rsidP="003E3ED9">
      <w:pPr>
        <w:jc w:val="both"/>
        <w:rPr>
          <w:rFonts w:cs="Arial"/>
          <w:szCs w:val="20"/>
        </w:rPr>
      </w:pPr>
      <w:r w:rsidRPr="00830439">
        <w:rPr>
          <w:rFonts w:cs="Arial"/>
          <w:szCs w:val="20"/>
        </w:rPr>
        <w:t>Možna je kombinacija posojila z nepovratnimi viri.</w:t>
      </w:r>
    </w:p>
    <w:p w14:paraId="1D90C11B" w14:textId="77777777" w:rsidR="003E3ED9" w:rsidRPr="00830439" w:rsidRDefault="003E3ED9" w:rsidP="003E3ED9">
      <w:pPr>
        <w:jc w:val="both"/>
        <w:rPr>
          <w:rFonts w:cs="Arial"/>
          <w:szCs w:val="20"/>
        </w:rPr>
      </w:pPr>
    </w:p>
    <w:p w14:paraId="554CEC9E" w14:textId="77777777" w:rsidR="003E3ED9" w:rsidRPr="00830439" w:rsidRDefault="003E3ED9" w:rsidP="003E3ED9">
      <w:pPr>
        <w:jc w:val="both"/>
        <w:rPr>
          <w:rFonts w:cs="Arial"/>
          <w:szCs w:val="20"/>
        </w:rPr>
      </w:pPr>
      <w:r w:rsidRPr="00830439">
        <w:rPr>
          <w:rFonts w:cs="Arial"/>
          <w:szCs w:val="20"/>
        </w:rPr>
        <w:t xml:space="preserve">Državne pomoči: posojila se presojajo skladno z relevantno shemo državne pomoči ali pomoči de </w:t>
      </w:r>
      <w:proofErr w:type="spellStart"/>
      <w:r w:rsidRPr="00830439">
        <w:rPr>
          <w:rFonts w:cs="Arial"/>
          <w:szCs w:val="20"/>
        </w:rPr>
        <w:t>minimis</w:t>
      </w:r>
      <w:proofErr w:type="spellEnd"/>
      <w:r w:rsidRPr="00830439">
        <w:rPr>
          <w:rFonts w:cs="Arial"/>
          <w:szCs w:val="20"/>
        </w:rPr>
        <w:t>.</w:t>
      </w:r>
    </w:p>
    <w:p w14:paraId="031E5201" w14:textId="77777777" w:rsidR="003E3ED9" w:rsidRPr="00830439" w:rsidRDefault="003E3ED9" w:rsidP="003E3ED9">
      <w:pPr>
        <w:jc w:val="both"/>
        <w:rPr>
          <w:rFonts w:cs="Arial"/>
          <w:szCs w:val="20"/>
        </w:rPr>
      </w:pPr>
    </w:p>
    <w:p w14:paraId="3D3C935B" w14:textId="77777777" w:rsidR="003E3ED9" w:rsidRPr="00F60B42" w:rsidRDefault="003E3ED9" w:rsidP="003E3ED9">
      <w:pPr>
        <w:jc w:val="both"/>
        <w:rPr>
          <w:rFonts w:cs="Arial"/>
          <w:szCs w:val="20"/>
        </w:rPr>
      </w:pPr>
      <w:bookmarkStart w:id="39" w:name="_Toc132097864"/>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13</w:t>
      </w:r>
      <w:r w:rsidRPr="00F60B42">
        <w:rPr>
          <w:rFonts w:cs="Arial"/>
          <w:szCs w:val="20"/>
        </w:rPr>
        <w:fldChar w:fldCharType="end"/>
      </w:r>
      <w:r w:rsidRPr="00830439">
        <w:rPr>
          <w:rFonts w:cs="Arial"/>
          <w:szCs w:val="20"/>
        </w:rPr>
        <w:t>: Ciljni končni prejemniki posameznih finančnih produktov</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100"/>
        <w:gridCol w:w="3223"/>
      </w:tblGrid>
      <w:tr w:rsidR="003E3ED9" w:rsidRPr="00830439" w14:paraId="1F59797B" w14:textId="77777777" w:rsidTr="00E8716B">
        <w:tc>
          <w:tcPr>
            <w:tcW w:w="2376" w:type="dxa"/>
            <w:shd w:val="clear" w:color="auto" w:fill="auto"/>
            <w:vAlign w:val="center"/>
          </w:tcPr>
          <w:p w14:paraId="57EDDD3B" w14:textId="77777777" w:rsidR="003E3ED9" w:rsidRPr="00F60B42" w:rsidRDefault="003E3ED9" w:rsidP="00E8716B">
            <w:pPr>
              <w:autoSpaceDE w:val="0"/>
              <w:autoSpaceDN w:val="0"/>
              <w:adjustRightInd w:val="0"/>
              <w:jc w:val="center"/>
              <w:rPr>
                <w:rFonts w:eastAsia="Georgia" w:cs="Arial"/>
                <w:szCs w:val="20"/>
              </w:rPr>
            </w:pPr>
            <w:r w:rsidRPr="00F60B42">
              <w:rPr>
                <w:rFonts w:eastAsia="Georgia" w:cs="Arial"/>
                <w:szCs w:val="20"/>
              </w:rPr>
              <w:t>Področje</w:t>
            </w:r>
          </w:p>
        </w:tc>
        <w:tc>
          <w:tcPr>
            <w:tcW w:w="3544" w:type="dxa"/>
            <w:shd w:val="clear" w:color="auto" w:fill="auto"/>
            <w:vAlign w:val="center"/>
          </w:tcPr>
          <w:p w14:paraId="5B4D02BD" w14:textId="77777777" w:rsidR="003E3ED9" w:rsidRPr="00830439" w:rsidRDefault="003E3ED9" w:rsidP="00E8716B">
            <w:pPr>
              <w:autoSpaceDE w:val="0"/>
              <w:autoSpaceDN w:val="0"/>
              <w:adjustRightInd w:val="0"/>
              <w:jc w:val="center"/>
              <w:rPr>
                <w:rFonts w:eastAsia="Georgia" w:cs="Arial"/>
                <w:szCs w:val="20"/>
              </w:rPr>
            </w:pPr>
            <w:r w:rsidRPr="00830439">
              <w:rPr>
                <w:rFonts w:eastAsia="Georgia" w:cs="Arial"/>
                <w:szCs w:val="20"/>
              </w:rPr>
              <w:t>Finančni produkt</w:t>
            </w:r>
          </w:p>
        </w:tc>
        <w:tc>
          <w:tcPr>
            <w:tcW w:w="3714" w:type="dxa"/>
            <w:shd w:val="clear" w:color="auto" w:fill="auto"/>
            <w:vAlign w:val="center"/>
          </w:tcPr>
          <w:p w14:paraId="346EF27D" w14:textId="77777777" w:rsidR="003E3ED9" w:rsidRPr="00830439" w:rsidRDefault="003E3ED9" w:rsidP="00E8716B">
            <w:pPr>
              <w:autoSpaceDE w:val="0"/>
              <w:autoSpaceDN w:val="0"/>
              <w:adjustRightInd w:val="0"/>
              <w:jc w:val="center"/>
              <w:rPr>
                <w:rFonts w:eastAsia="Georgia" w:cs="Arial"/>
                <w:szCs w:val="20"/>
              </w:rPr>
            </w:pPr>
            <w:r w:rsidRPr="00830439">
              <w:rPr>
                <w:rFonts w:eastAsia="Georgia" w:cs="Arial"/>
                <w:szCs w:val="20"/>
              </w:rPr>
              <w:t>Ciljni končni prejemniki</w:t>
            </w:r>
          </w:p>
        </w:tc>
      </w:tr>
      <w:tr w:rsidR="003E3ED9" w:rsidRPr="00830439" w14:paraId="1367A376" w14:textId="77777777" w:rsidTr="00E8716B">
        <w:trPr>
          <w:trHeight w:val="592"/>
        </w:trPr>
        <w:tc>
          <w:tcPr>
            <w:tcW w:w="2376" w:type="dxa"/>
            <w:shd w:val="clear" w:color="auto" w:fill="auto"/>
            <w:vAlign w:val="center"/>
          </w:tcPr>
          <w:p w14:paraId="469635E1" w14:textId="77777777" w:rsidR="003E3ED9" w:rsidRPr="00F60B42" w:rsidRDefault="003E3ED9" w:rsidP="00E8716B">
            <w:pPr>
              <w:autoSpaceDE w:val="0"/>
              <w:autoSpaceDN w:val="0"/>
              <w:adjustRightInd w:val="0"/>
              <w:jc w:val="center"/>
              <w:rPr>
                <w:rFonts w:eastAsia="Georgia" w:cs="Arial"/>
                <w:szCs w:val="20"/>
              </w:rPr>
            </w:pPr>
            <w:r w:rsidRPr="00830439">
              <w:rPr>
                <w:rFonts w:eastAsia="Georgia" w:cs="Arial"/>
                <w:szCs w:val="20"/>
              </w:rPr>
              <w:t>Energetska učinkovitost</w:t>
            </w:r>
          </w:p>
        </w:tc>
        <w:tc>
          <w:tcPr>
            <w:tcW w:w="3544" w:type="dxa"/>
            <w:shd w:val="clear" w:color="auto" w:fill="auto"/>
            <w:vAlign w:val="center"/>
          </w:tcPr>
          <w:p w14:paraId="0B9DDC8C" w14:textId="77777777" w:rsidR="003E3ED9" w:rsidRPr="00F60B42" w:rsidRDefault="003E3ED9" w:rsidP="00E8716B">
            <w:pPr>
              <w:autoSpaceDE w:val="0"/>
              <w:autoSpaceDN w:val="0"/>
              <w:adjustRightInd w:val="0"/>
              <w:jc w:val="both"/>
              <w:rPr>
                <w:rFonts w:eastAsia="Georgia" w:cs="Arial"/>
                <w:szCs w:val="20"/>
              </w:rPr>
            </w:pPr>
            <w:r w:rsidRPr="00F60B42">
              <w:rPr>
                <w:rFonts w:eastAsia="Georgia" w:cs="Arial"/>
                <w:szCs w:val="20"/>
              </w:rPr>
              <w:t>Posojilo za celovito energetsko prenovo javnih stavb</w:t>
            </w:r>
          </w:p>
        </w:tc>
        <w:tc>
          <w:tcPr>
            <w:tcW w:w="3714" w:type="dxa"/>
            <w:shd w:val="clear" w:color="auto" w:fill="auto"/>
            <w:vAlign w:val="center"/>
          </w:tcPr>
          <w:p w14:paraId="4222983D" w14:textId="77777777" w:rsidR="003E3ED9" w:rsidRPr="00830439" w:rsidRDefault="003E3ED9" w:rsidP="00E8716B">
            <w:pPr>
              <w:autoSpaceDE w:val="0"/>
              <w:autoSpaceDN w:val="0"/>
              <w:adjustRightInd w:val="0"/>
              <w:jc w:val="both"/>
              <w:rPr>
                <w:rFonts w:eastAsia="Georgia" w:cs="Arial"/>
                <w:szCs w:val="20"/>
              </w:rPr>
            </w:pPr>
            <w:r w:rsidRPr="00830439">
              <w:rPr>
                <w:rFonts w:eastAsia="Georgia" w:cs="Arial"/>
                <w:szCs w:val="20"/>
              </w:rPr>
              <w:t>javni sektor, ESCO podjetja</w:t>
            </w:r>
          </w:p>
          <w:p w14:paraId="44372A89" w14:textId="77777777" w:rsidR="003E3ED9" w:rsidRPr="00830439" w:rsidRDefault="003E3ED9" w:rsidP="00E8716B">
            <w:pPr>
              <w:autoSpaceDE w:val="0"/>
              <w:autoSpaceDN w:val="0"/>
              <w:adjustRightInd w:val="0"/>
              <w:jc w:val="both"/>
              <w:rPr>
                <w:rFonts w:eastAsia="Georgia" w:cs="Arial"/>
                <w:szCs w:val="20"/>
              </w:rPr>
            </w:pPr>
          </w:p>
        </w:tc>
      </w:tr>
    </w:tbl>
    <w:p w14:paraId="09F6A99B" w14:textId="77777777" w:rsidR="003E3ED9" w:rsidRPr="00830439" w:rsidRDefault="003E3ED9" w:rsidP="003E3ED9">
      <w:pPr>
        <w:jc w:val="both"/>
        <w:rPr>
          <w:rFonts w:cs="Arial"/>
          <w:szCs w:val="20"/>
        </w:rPr>
      </w:pPr>
    </w:p>
    <w:p w14:paraId="56D55A93" w14:textId="77777777" w:rsidR="003E3ED9" w:rsidRPr="00F60B42" w:rsidRDefault="003E3ED9" w:rsidP="003E3ED9">
      <w:pPr>
        <w:jc w:val="both"/>
        <w:rPr>
          <w:rFonts w:cs="Arial"/>
          <w:szCs w:val="20"/>
        </w:rPr>
      </w:pPr>
      <w:r w:rsidRPr="00F60B42">
        <w:rPr>
          <w:rFonts w:cs="Arial"/>
          <w:szCs w:val="20"/>
        </w:rPr>
        <w:t>Cilj je: ustvarjanje dodatne finančne ponudbe za celovito energetsko prenovo javnih stavb za osebe javnega sektorja s pričakovanim finančnim vzvodom 2,27.</w:t>
      </w:r>
    </w:p>
    <w:p w14:paraId="5200AD3E" w14:textId="77777777" w:rsidR="003E3ED9" w:rsidRPr="00830439" w:rsidRDefault="003E3ED9" w:rsidP="003E3ED9">
      <w:pPr>
        <w:jc w:val="both"/>
        <w:rPr>
          <w:rFonts w:cs="Arial"/>
          <w:szCs w:val="20"/>
        </w:rPr>
      </w:pPr>
    </w:p>
    <w:p w14:paraId="7F02F651" w14:textId="77777777" w:rsidR="003E3ED9" w:rsidRPr="00830439" w:rsidRDefault="003E3ED9" w:rsidP="003E3ED9">
      <w:pPr>
        <w:jc w:val="both"/>
        <w:rPr>
          <w:rFonts w:cs="Arial"/>
          <w:szCs w:val="20"/>
        </w:rPr>
      </w:pPr>
      <w:r w:rsidRPr="00830439">
        <w:rPr>
          <w:rFonts w:cs="Arial"/>
          <w:szCs w:val="20"/>
        </w:rPr>
        <w:t>Kazalniki:</w:t>
      </w:r>
    </w:p>
    <w:p w14:paraId="2FB0769D"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število celovito energetsko prenovljenih javnih stavb,</w:t>
      </w:r>
    </w:p>
    <w:p w14:paraId="1FC3422C"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tlorisna površina celovito energetsko prenovljenih stavb celotnega javnega sektorja (m2),</w:t>
      </w:r>
    </w:p>
    <w:p w14:paraId="20CE635C"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skupna tlorisna površina energetsko prenovljenih stavb javnega sektorja (m2),</w:t>
      </w:r>
    </w:p>
    <w:p w14:paraId="28C67DF1"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tlorisna površina celovito energetsko prenovljenih stavb v lasti in uporabi osrednje oziroma ožje vlade (m2),</w:t>
      </w:r>
    </w:p>
    <w:p w14:paraId="61DA3EE5"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skupni dodeljeni znesek za celovito energetsko prenovo javnih stavb (EUR),</w:t>
      </w:r>
    </w:p>
    <w:p w14:paraId="0CABC7D0"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zmanjšanje letne porabe primarne energije v javnih stavbah (kWh/leto),</w:t>
      </w:r>
    </w:p>
    <w:p w14:paraId="351D2A44"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zmanjšanje emisij toplogrednih plinov (te CO2),</w:t>
      </w:r>
    </w:p>
    <w:p w14:paraId="3AEB32EB" w14:textId="77777777" w:rsidR="003E3ED9" w:rsidRPr="00830439" w:rsidRDefault="003E3ED9" w:rsidP="003E3ED9">
      <w:pPr>
        <w:numPr>
          <w:ilvl w:val="0"/>
          <w:numId w:val="51"/>
        </w:numPr>
        <w:spacing w:line="240" w:lineRule="atLeast"/>
        <w:contextualSpacing/>
        <w:jc w:val="both"/>
        <w:rPr>
          <w:rFonts w:eastAsia="Calibri" w:cs="Arial"/>
          <w:szCs w:val="20"/>
        </w:rPr>
      </w:pPr>
      <w:r w:rsidRPr="00830439">
        <w:rPr>
          <w:rFonts w:eastAsia="Calibri" w:cs="Arial"/>
          <w:szCs w:val="20"/>
        </w:rPr>
        <w:t>finančni vzvod.</w:t>
      </w:r>
    </w:p>
    <w:p w14:paraId="6C0D2E65" w14:textId="77777777" w:rsidR="003E3ED9" w:rsidRPr="002A1F16" w:rsidRDefault="003E3ED9" w:rsidP="003E3ED9">
      <w:pPr>
        <w:spacing w:before="240" w:after="120"/>
        <w:ind w:left="2"/>
        <w:outlineLvl w:val="0"/>
        <w:rPr>
          <w:rFonts w:cs="Arial"/>
          <w:b/>
          <w:color w:val="AACDDB"/>
          <w:szCs w:val="20"/>
        </w:rPr>
      </w:pPr>
      <w:bookmarkStart w:id="40" w:name="_Toc132097829"/>
      <w:r w:rsidRPr="002A1F16">
        <w:rPr>
          <w:rFonts w:cs="Arial"/>
          <w:b/>
          <w:color w:val="AACDDB"/>
          <w:szCs w:val="20"/>
        </w:rPr>
        <w:t>3.2.4 Finančni instrument za UR</w:t>
      </w:r>
      <w:bookmarkEnd w:id="40"/>
    </w:p>
    <w:p w14:paraId="50B9CE67" w14:textId="77777777" w:rsidR="003E3ED9" w:rsidRPr="00830439" w:rsidRDefault="003E3ED9" w:rsidP="003E3ED9">
      <w:pPr>
        <w:jc w:val="both"/>
        <w:rPr>
          <w:rFonts w:cs="Arial"/>
          <w:szCs w:val="20"/>
        </w:rPr>
      </w:pPr>
      <w:r w:rsidRPr="00830439">
        <w:rPr>
          <w:rFonts w:cs="Arial"/>
          <w:szCs w:val="20"/>
        </w:rPr>
        <w:t>V programskem obdobju 2014-2020 je v sklopu TC4 in TC6 za izvajanje trajnostnih urbanih strategij v okviru mehanizma CTN namenjeno 117 mil EUR. Za implementacijo pilotnih projektov s finančnimi instrumenti v mestnih občinah je v Predhodni oceni za FI predvidenih</w:t>
      </w:r>
      <w:r w:rsidRPr="00830439" w:rsidDel="00062CC0">
        <w:rPr>
          <w:rFonts w:cs="Arial"/>
          <w:szCs w:val="20"/>
        </w:rPr>
        <w:t xml:space="preserve"> </w:t>
      </w:r>
      <w:r w:rsidRPr="00830439">
        <w:rPr>
          <w:rFonts w:cs="Arial"/>
          <w:szCs w:val="20"/>
        </w:rPr>
        <w:t>16,7 mio EUR.</w:t>
      </w:r>
    </w:p>
    <w:p w14:paraId="03302D0C" w14:textId="77777777" w:rsidR="003E3ED9" w:rsidRPr="00830439" w:rsidRDefault="003E3ED9" w:rsidP="003E3ED9">
      <w:pPr>
        <w:jc w:val="both"/>
        <w:rPr>
          <w:rFonts w:cs="Arial"/>
          <w:szCs w:val="20"/>
        </w:rPr>
      </w:pPr>
      <w:r w:rsidRPr="00830439">
        <w:rPr>
          <w:rFonts w:cs="Arial"/>
          <w:szCs w:val="20"/>
        </w:rPr>
        <w:t>Na podlagi odločitve OU pa se je temu področju v obliki FI namenilo 5 mio EUR kohezijskih sredstev, ki bodo prispevala k doseganju specifičnega cilja prednostne naložbe 6.3, in morebitna druga sredstva, ki bodo spodbujala izvedbo investicij urbane prenove v mestih in prispevala tudi k drugim prednostnim naložbam OP 2014-2020.</w:t>
      </w:r>
    </w:p>
    <w:p w14:paraId="6A3CE0DA" w14:textId="77777777" w:rsidR="003E3ED9" w:rsidRPr="00830439" w:rsidRDefault="003E3ED9" w:rsidP="003E3ED9">
      <w:pPr>
        <w:jc w:val="both"/>
        <w:rPr>
          <w:rFonts w:cs="Arial"/>
          <w:szCs w:val="20"/>
        </w:rPr>
      </w:pPr>
    </w:p>
    <w:p w14:paraId="3C8AED94" w14:textId="77777777" w:rsidR="003E3ED9" w:rsidRPr="00830439" w:rsidRDefault="003E3ED9" w:rsidP="003E3ED9">
      <w:pPr>
        <w:jc w:val="both"/>
        <w:rPr>
          <w:rFonts w:cs="Arial"/>
          <w:szCs w:val="20"/>
        </w:rPr>
      </w:pPr>
      <w:r w:rsidRPr="00830439">
        <w:rPr>
          <w:rFonts w:cs="Arial"/>
          <w:szCs w:val="20"/>
        </w:rPr>
        <w:t>Posojila za urbani razvoj</w:t>
      </w:r>
    </w:p>
    <w:p w14:paraId="38C92434" w14:textId="77777777" w:rsidR="003E3ED9" w:rsidRPr="00830439" w:rsidRDefault="003E3ED9" w:rsidP="003E3ED9">
      <w:pPr>
        <w:jc w:val="both"/>
        <w:rPr>
          <w:rFonts w:cs="Arial"/>
          <w:szCs w:val="20"/>
        </w:rPr>
      </w:pPr>
      <w:r w:rsidRPr="00830439">
        <w:rPr>
          <w:rFonts w:cs="Arial"/>
          <w:szCs w:val="20"/>
        </w:rPr>
        <w:t>Predlagani FI za spodbujanje urbanega razvoja zajema posojila za mestne občine, podjetja za upravljanje z javnimi površinami in stavbami, stanovanjske kooperative in ponudnike drugih alternativnih oblik bivanja v mestih. Sredstva bodo namenjena projektom, ki bodo prispevali k izvajanju trajnostnih urbanih strategij v (12) mestnih občinah.</w:t>
      </w:r>
    </w:p>
    <w:p w14:paraId="177EA5C7" w14:textId="77777777" w:rsidR="003E3ED9" w:rsidRPr="00830439" w:rsidRDefault="003E3ED9" w:rsidP="003E3ED9">
      <w:pPr>
        <w:jc w:val="both"/>
        <w:rPr>
          <w:rFonts w:cs="Arial"/>
          <w:szCs w:val="20"/>
        </w:rPr>
      </w:pPr>
      <w:r w:rsidRPr="00830439">
        <w:rPr>
          <w:rFonts w:cs="Arial"/>
          <w:szCs w:val="20"/>
        </w:rPr>
        <w:t xml:space="preserve"> </w:t>
      </w:r>
    </w:p>
    <w:p w14:paraId="70AA7052" w14:textId="77777777" w:rsidR="003E3ED9" w:rsidRPr="00F60B42" w:rsidRDefault="003E3ED9" w:rsidP="003E3ED9">
      <w:pPr>
        <w:jc w:val="both"/>
        <w:rPr>
          <w:rFonts w:cs="Arial"/>
          <w:szCs w:val="20"/>
        </w:rPr>
      </w:pPr>
      <w:r w:rsidRPr="00830439">
        <w:rPr>
          <w:rFonts w:cs="Arial"/>
          <w:szCs w:val="20"/>
        </w:rPr>
        <w:t>Za izvajanje posojil bo namenjenih 5 mio EUR EU sredstev iz TC 6. Predlagani znesek je namenjen projektom v 12 mestnih občinah</w:t>
      </w:r>
      <w:r w:rsidRPr="00830439">
        <w:rPr>
          <w:rFonts w:cs="Arial"/>
          <w:szCs w:val="20"/>
          <w:vertAlign w:val="superscript"/>
        </w:rPr>
        <w:footnoteReference w:id="17"/>
      </w:r>
      <w:r w:rsidRPr="00830439">
        <w:rPr>
          <w:rFonts w:cs="Arial"/>
          <w:szCs w:val="20"/>
        </w:rPr>
        <w:t>, pri čemer se predvideva spodbuditev manjšega števila večjih pilotnih projektov (V in Z kohezijska regija).</w:t>
      </w:r>
    </w:p>
    <w:p w14:paraId="55A4005C" w14:textId="77777777" w:rsidR="003E3ED9" w:rsidRPr="00F60B42" w:rsidRDefault="003E3ED9" w:rsidP="003E3ED9">
      <w:pPr>
        <w:jc w:val="both"/>
        <w:rPr>
          <w:rFonts w:cs="Arial"/>
          <w:szCs w:val="20"/>
        </w:rPr>
      </w:pPr>
    </w:p>
    <w:p w14:paraId="0FAEABF5" w14:textId="77777777" w:rsidR="003E3ED9" w:rsidRPr="00830439" w:rsidRDefault="003E3ED9" w:rsidP="003E3ED9">
      <w:pPr>
        <w:jc w:val="both"/>
        <w:rPr>
          <w:rFonts w:cs="Arial"/>
          <w:szCs w:val="20"/>
        </w:rPr>
      </w:pPr>
      <w:r w:rsidRPr="00830439">
        <w:rPr>
          <w:rFonts w:cs="Arial"/>
          <w:szCs w:val="20"/>
        </w:rPr>
        <w:lastRenderedPageBreak/>
        <w:t>Pričakovani učinek finančnega vzvoda je 1,5 do 2,5.</w:t>
      </w:r>
    </w:p>
    <w:p w14:paraId="3B078403" w14:textId="77777777" w:rsidR="003E3ED9" w:rsidRPr="00830439" w:rsidRDefault="003E3ED9" w:rsidP="003E3ED9">
      <w:pPr>
        <w:jc w:val="both"/>
        <w:rPr>
          <w:rFonts w:cs="Arial"/>
          <w:szCs w:val="20"/>
        </w:rPr>
      </w:pPr>
    </w:p>
    <w:p w14:paraId="2A602ECC" w14:textId="77777777" w:rsidR="003E3ED9" w:rsidRPr="00830439" w:rsidRDefault="003E3ED9" w:rsidP="003E3ED9">
      <w:pPr>
        <w:jc w:val="both"/>
        <w:rPr>
          <w:rFonts w:cs="Arial"/>
          <w:szCs w:val="20"/>
        </w:rPr>
      </w:pPr>
      <w:r w:rsidRPr="00830439">
        <w:rPr>
          <w:rFonts w:cs="Arial"/>
          <w:szCs w:val="20"/>
        </w:rPr>
        <w:t>Možna je kombinacija posojil z nepovratnimi viri.</w:t>
      </w:r>
    </w:p>
    <w:p w14:paraId="46F01B6E" w14:textId="77777777" w:rsidR="003E3ED9" w:rsidRPr="00830439" w:rsidRDefault="003E3ED9" w:rsidP="003E3ED9">
      <w:pPr>
        <w:jc w:val="both"/>
        <w:rPr>
          <w:rFonts w:cs="Arial"/>
          <w:szCs w:val="20"/>
        </w:rPr>
      </w:pPr>
    </w:p>
    <w:p w14:paraId="04592434" w14:textId="77777777" w:rsidR="003E3ED9" w:rsidRPr="00830439" w:rsidRDefault="003E3ED9" w:rsidP="003E3ED9">
      <w:pPr>
        <w:jc w:val="both"/>
        <w:rPr>
          <w:rFonts w:cs="Arial"/>
          <w:szCs w:val="20"/>
        </w:rPr>
      </w:pPr>
      <w:r w:rsidRPr="00830439">
        <w:rPr>
          <w:rFonts w:cs="Arial"/>
          <w:szCs w:val="20"/>
        </w:rPr>
        <w:t xml:space="preserve">Državne pomoči: krediti se presojajo skladno z relevantno shemo državne pomoči ali pomoči de </w:t>
      </w:r>
      <w:proofErr w:type="spellStart"/>
      <w:r w:rsidRPr="00830439">
        <w:rPr>
          <w:rFonts w:cs="Arial"/>
          <w:szCs w:val="20"/>
        </w:rPr>
        <w:t>minimis</w:t>
      </w:r>
      <w:proofErr w:type="spellEnd"/>
      <w:r w:rsidRPr="00830439">
        <w:rPr>
          <w:rFonts w:cs="Arial"/>
          <w:szCs w:val="20"/>
        </w:rPr>
        <w:t>.</w:t>
      </w:r>
    </w:p>
    <w:p w14:paraId="6ACE9F2D" w14:textId="77777777" w:rsidR="003E3ED9" w:rsidRPr="00830439" w:rsidRDefault="003E3ED9" w:rsidP="003E3ED9">
      <w:pPr>
        <w:jc w:val="both"/>
        <w:rPr>
          <w:rFonts w:cs="Arial"/>
          <w:szCs w:val="20"/>
        </w:rPr>
      </w:pPr>
    </w:p>
    <w:p w14:paraId="13BD7BB5" w14:textId="77777777" w:rsidR="003E3ED9" w:rsidRPr="00830439" w:rsidRDefault="003E3ED9" w:rsidP="003E3ED9">
      <w:pPr>
        <w:jc w:val="both"/>
        <w:rPr>
          <w:rFonts w:cs="Arial"/>
          <w:szCs w:val="20"/>
        </w:rPr>
      </w:pPr>
      <w:r w:rsidRPr="00830439">
        <w:rPr>
          <w:rFonts w:cs="Arial"/>
          <w:szCs w:val="20"/>
        </w:rPr>
        <w:t>Upravičenci do sredstev so:</w:t>
      </w:r>
    </w:p>
    <w:p w14:paraId="673F9A0E" w14:textId="77777777" w:rsidR="003E3ED9" w:rsidRPr="00830439" w:rsidRDefault="003E3ED9" w:rsidP="003E3ED9">
      <w:pPr>
        <w:numPr>
          <w:ilvl w:val="0"/>
          <w:numId w:val="52"/>
        </w:numPr>
        <w:spacing w:line="240" w:lineRule="atLeast"/>
        <w:contextualSpacing/>
        <w:jc w:val="both"/>
        <w:rPr>
          <w:rFonts w:eastAsia="Calibri" w:cs="Arial"/>
          <w:szCs w:val="20"/>
        </w:rPr>
      </w:pPr>
      <w:r w:rsidRPr="00830439">
        <w:rPr>
          <w:rFonts w:eastAsia="Calibri" w:cs="Arial"/>
          <w:szCs w:val="20"/>
        </w:rPr>
        <w:t>javni sektor (mestne občine, javna podjetja, ki upravljajo z javnimi površinami in stavbami),</w:t>
      </w:r>
    </w:p>
    <w:p w14:paraId="0E05F9FC" w14:textId="77777777" w:rsidR="003E3ED9" w:rsidRPr="00830439" w:rsidRDefault="003E3ED9" w:rsidP="003E3ED9">
      <w:pPr>
        <w:numPr>
          <w:ilvl w:val="0"/>
          <w:numId w:val="52"/>
        </w:numPr>
        <w:spacing w:line="240" w:lineRule="atLeast"/>
        <w:contextualSpacing/>
        <w:jc w:val="both"/>
        <w:rPr>
          <w:rFonts w:eastAsia="Calibri" w:cs="Arial"/>
          <w:szCs w:val="20"/>
        </w:rPr>
      </w:pPr>
      <w:r w:rsidRPr="00830439">
        <w:rPr>
          <w:rFonts w:eastAsia="Calibri" w:cs="Arial"/>
          <w:szCs w:val="20"/>
        </w:rPr>
        <w:t>zasebni sektor (npr. koncesionarji, zasebna podjetja, ki upravljajo z javnimi površinami in stavbami, neprofitne stanovanjske organizacije, stanovanjske kooperative),</w:t>
      </w:r>
    </w:p>
    <w:p w14:paraId="1653E56F" w14:textId="77777777" w:rsidR="003E3ED9" w:rsidRPr="00830439" w:rsidRDefault="003E3ED9" w:rsidP="003E3ED9">
      <w:pPr>
        <w:numPr>
          <w:ilvl w:val="0"/>
          <w:numId w:val="52"/>
        </w:numPr>
        <w:spacing w:line="240" w:lineRule="atLeast"/>
        <w:contextualSpacing/>
        <w:jc w:val="both"/>
        <w:rPr>
          <w:rFonts w:eastAsia="Calibri" w:cs="Arial"/>
          <w:szCs w:val="20"/>
        </w:rPr>
      </w:pPr>
      <w:r w:rsidRPr="00830439">
        <w:rPr>
          <w:rFonts w:eastAsia="Calibri" w:cs="Arial"/>
          <w:szCs w:val="20"/>
        </w:rPr>
        <w:t>javno zasebna partnerstva.</w:t>
      </w:r>
    </w:p>
    <w:p w14:paraId="2B957F3C" w14:textId="77777777" w:rsidR="003E3ED9" w:rsidRPr="00830439" w:rsidRDefault="003E3ED9" w:rsidP="003E3ED9">
      <w:pPr>
        <w:jc w:val="both"/>
        <w:rPr>
          <w:rFonts w:cs="Arial"/>
          <w:szCs w:val="20"/>
        </w:rPr>
      </w:pPr>
      <w:r w:rsidRPr="00830439">
        <w:rPr>
          <w:rFonts w:cs="Arial"/>
          <w:szCs w:val="20"/>
        </w:rPr>
        <w:t>Cilja:</w:t>
      </w:r>
    </w:p>
    <w:p w14:paraId="213EE535"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zmanjšanje specifičnih težav ciljnih skupin in končnih upravičencev pri dostopanju do financiranja,</w:t>
      </w:r>
    </w:p>
    <w:p w14:paraId="04EBF5E1"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podpora projektom na področju urbanega razvoja.</w:t>
      </w:r>
    </w:p>
    <w:p w14:paraId="6B44611F" w14:textId="77777777" w:rsidR="003E3ED9" w:rsidRPr="00830439" w:rsidRDefault="003E3ED9" w:rsidP="003E3ED9">
      <w:pPr>
        <w:jc w:val="both"/>
        <w:rPr>
          <w:rFonts w:cs="Arial"/>
          <w:szCs w:val="20"/>
        </w:rPr>
      </w:pPr>
      <w:r w:rsidRPr="00830439">
        <w:rPr>
          <w:rFonts w:cs="Arial"/>
          <w:szCs w:val="20"/>
        </w:rPr>
        <w:t>Kazalniki:</w:t>
      </w:r>
    </w:p>
    <w:p w14:paraId="394EDECB"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število financiranih projektov,</w:t>
      </w:r>
    </w:p>
    <w:p w14:paraId="21C5E764"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sanirane stanovanjske površine na urbanih območjih (število, m2),</w:t>
      </w:r>
    </w:p>
    <w:p w14:paraId="404AB268"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javne ali poslovne stavbe, zgrajene ali prenovljene na urbanih območjih (število, m2),</w:t>
      </w:r>
    </w:p>
    <w:p w14:paraId="0CAB19C6"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skupen znesek financiranih projektov urbane prenove,</w:t>
      </w:r>
    </w:p>
    <w:p w14:paraId="1B087A2D"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predvideno doseganje kazalnikov učinka glede na skupno dodeljen znesek FI,</w:t>
      </w:r>
    </w:p>
    <w:p w14:paraId="2F43E17F" w14:textId="77777777" w:rsidR="003E3ED9" w:rsidRPr="00830439" w:rsidRDefault="003E3ED9" w:rsidP="003E3ED9">
      <w:pPr>
        <w:numPr>
          <w:ilvl w:val="0"/>
          <w:numId w:val="53"/>
        </w:numPr>
        <w:spacing w:line="240" w:lineRule="atLeast"/>
        <w:contextualSpacing/>
        <w:jc w:val="both"/>
        <w:rPr>
          <w:rFonts w:eastAsia="Calibri" w:cs="Arial"/>
          <w:szCs w:val="20"/>
        </w:rPr>
      </w:pPr>
      <w:r w:rsidRPr="00830439">
        <w:rPr>
          <w:rFonts w:eastAsia="Calibri" w:cs="Arial"/>
          <w:szCs w:val="20"/>
        </w:rPr>
        <w:t>učinek finančnega vzvoda.</w:t>
      </w:r>
    </w:p>
    <w:p w14:paraId="5A2E941C" w14:textId="77777777" w:rsidR="003E3ED9" w:rsidRPr="002A1F16" w:rsidRDefault="003E3ED9" w:rsidP="003E3ED9">
      <w:pPr>
        <w:spacing w:before="240" w:after="120"/>
        <w:ind w:left="2"/>
        <w:outlineLvl w:val="0"/>
        <w:rPr>
          <w:rFonts w:cs="Arial"/>
          <w:b/>
          <w:color w:val="AACDDB"/>
          <w:szCs w:val="20"/>
        </w:rPr>
      </w:pPr>
      <w:bookmarkStart w:id="41" w:name="_Toc54857919"/>
      <w:bookmarkStart w:id="42" w:name="_Toc132097830"/>
      <w:r w:rsidRPr="002A1F16">
        <w:rPr>
          <w:rFonts w:cs="Arial"/>
          <w:b/>
          <w:color w:val="AACDDB"/>
          <w:szCs w:val="20"/>
        </w:rPr>
        <w:t>3.3 Kombinacija z nepovratnimi sredstvi ESI skladov</w:t>
      </w:r>
      <w:bookmarkEnd w:id="41"/>
      <w:bookmarkEnd w:id="42"/>
    </w:p>
    <w:p w14:paraId="47F4E13F" w14:textId="77777777" w:rsidR="003E3ED9" w:rsidRPr="00830439" w:rsidRDefault="003E3ED9" w:rsidP="003E3ED9">
      <w:pPr>
        <w:jc w:val="both"/>
        <w:rPr>
          <w:rFonts w:cs="Arial"/>
          <w:szCs w:val="20"/>
        </w:rPr>
      </w:pPr>
      <w:r w:rsidRPr="00830439">
        <w:rPr>
          <w:rFonts w:cs="Arial"/>
          <w:szCs w:val="20"/>
        </w:rPr>
        <w:t>Skladno s Predhodno oceno FI je predvidena tudi kombinacija z nepovratnimi sredstvi ESIF, kar je že predstavljeno pri posameznem FI.</w:t>
      </w:r>
    </w:p>
    <w:p w14:paraId="1871F705" w14:textId="77777777" w:rsidR="003E3ED9" w:rsidRPr="00830439" w:rsidRDefault="003E3ED9" w:rsidP="003E3ED9">
      <w:pPr>
        <w:jc w:val="both"/>
        <w:rPr>
          <w:rFonts w:cs="Arial"/>
          <w:szCs w:val="20"/>
        </w:rPr>
      </w:pPr>
    </w:p>
    <w:p w14:paraId="671E3914" w14:textId="77777777" w:rsidR="003E3ED9" w:rsidRPr="00F60B42" w:rsidRDefault="003E3ED9" w:rsidP="003E3ED9">
      <w:pPr>
        <w:jc w:val="both"/>
        <w:rPr>
          <w:rFonts w:cs="Arial"/>
          <w:szCs w:val="20"/>
        </w:rPr>
      </w:pPr>
      <w:r w:rsidRPr="00830439">
        <w:rPr>
          <w:rFonts w:cs="Arial"/>
          <w:szCs w:val="20"/>
        </w:rPr>
        <w:t>Dopustna sta dva načina kombiniranja FI z nepovratnimi sredstvi ESI skladov ali drugimi oblikami podpore ESI sredstev</w:t>
      </w:r>
      <w:r w:rsidRPr="00830439">
        <w:rPr>
          <w:rFonts w:cs="Arial"/>
          <w:szCs w:val="20"/>
          <w:vertAlign w:val="superscript"/>
        </w:rPr>
        <w:footnoteReference w:id="18"/>
      </w:r>
      <w:r w:rsidRPr="00830439">
        <w:rPr>
          <w:rFonts w:cs="Arial"/>
          <w:szCs w:val="20"/>
        </w:rPr>
        <w:t>:</w:t>
      </w:r>
    </w:p>
    <w:p w14:paraId="0D80B24C" w14:textId="77777777" w:rsidR="003E3ED9" w:rsidRPr="00F60B42" w:rsidRDefault="003E3ED9" w:rsidP="003E3ED9">
      <w:pPr>
        <w:numPr>
          <w:ilvl w:val="0"/>
          <w:numId w:val="54"/>
        </w:numPr>
        <w:spacing w:line="240" w:lineRule="atLeast"/>
        <w:contextualSpacing/>
        <w:jc w:val="both"/>
        <w:rPr>
          <w:rFonts w:eastAsia="Calibri" w:cs="Arial"/>
          <w:szCs w:val="20"/>
        </w:rPr>
      </w:pPr>
      <w:r w:rsidRPr="00F60B42">
        <w:rPr>
          <w:rFonts w:eastAsia="Calibri" w:cs="Arial"/>
          <w:szCs w:val="20"/>
        </w:rPr>
        <w:t>v okviru ene same operacije, tj. sklad skladov, če gre za subvencije obrestnih mer, subvencije garancijske provizije ali tehnično pomoč</w:t>
      </w:r>
      <w:r w:rsidRPr="00830439">
        <w:rPr>
          <w:rFonts w:eastAsia="Calibri" w:cs="Arial"/>
          <w:szCs w:val="20"/>
        </w:rPr>
        <w:footnoteReference w:id="19"/>
      </w:r>
      <w:r w:rsidRPr="00830439">
        <w:rPr>
          <w:rFonts w:eastAsia="Calibri" w:cs="Arial"/>
          <w:szCs w:val="20"/>
        </w:rPr>
        <w:t>). V primeru takšne podpore pri eni sami operaciji se upoštevajo določbe, ki se uporabljajo pri finančnih produktih, zagotovljenih preko finančnih instrumentov (7. odstavek 37. člena U</w:t>
      </w:r>
      <w:r w:rsidRPr="00F60B42">
        <w:rPr>
          <w:rFonts w:eastAsia="Calibri" w:cs="Arial"/>
          <w:szCs w:val="20"/>
        </w:rPr>
        <w:t>redbe EU št. 1303/2013). V takšnih primerih se spoštujejo veljavna pravila EU o državni pomoči, za vsako obliko podpore pa se vodi ločena evidenca.</w:t>
      </w:r>
    </w:p>
    <w:p w14:paraId="1D44D505" w14:textId="77777777" w:rsidR="003E3ED9" w:rsidRPr="00F60B42" w:rsidRDefault="003E3ED9" w:rsidP="003E3ED9">
      <w:pPr>
        <w:ind w:left="5" w:firstLine="2"/>
        <w:jc w:val="both"/>
        <w:rPr>
          <w:rFonts w:cs="Arial"/>
          <w:szCs w:val="20"/>
        </w:rPr>
      </w:pPr>
      <w:r w:rsidRPr="00830439">
        <w:rPr>
          <w:rFonts w:cs="Arial"/>
          <w:szCs w:val="20"/>
        </w:rPr>
        <w:tab/>
        <w:t>Subvencije obrestnih mer in/ ali subvencije garancijskih provizij se lahko uporabljajo le za izboljšanje možnosti in pogojev dostopanja končnega prejemnika do zasebnih ali drugih javnih sredstev na ravni zadevnega končnega prejemnika. S tem se lahko doseže boljšo realizacijo ciljev Programa prenesenega na FI</w:t>
      </w:r>
      <w:r w:rsidRPr="00830439">
        <w:rPr>
          <w:rFonts w:cs="Arial"/>
          <w:szCs w:val="20"/>
          <w:vertAlign w:val="superscript"/>
        </w:rPr>
        <w:footnoteReference w:id="20"/>
      </w:r>
      <w:r w:rsidRPr="00830439">
        <w:rPr>
          <w:rFonts w:cs="Arial"/>
          <w:szCs w:val="20"/>
        </w:rPr>
        <w:t>.</w:t>
      </w:r>
    </w:p>
    <w:p w14:paraId="74ACD843" w14:textId="77777777" w:rsidR="003E3ED9" w:rsidRPr="00F60B42" w:rsidRDefault="003E3ED9" w:rsidP="003E3ED9">
      <w:pPr>
        <w:ind w:left="2"/>
        <w:jc w:val="both"/>
        <w:rPr>
          <w:rFonts w:cs="Arial"/>
          <w:szCs w:val="20"/>
        </w:rPr>
      </w:pPr>
    </w:p>
    <w:p w14:paraId="25F16C11" w14:textId="77777777" w:rsidR="003E3ED9" w:rsidRPr="00F60B42" w:rsidRDefault="003E3ED9" w:rsidP="003E3ED9">
      <w:pPr>
        <w:ind w:left="2"/>
        <w:jc w:val="both"/>
        <w:rPr>
          <w:rFonts w:cs="Arial"/>
          <w:szCs w:val="20"/>
        </w:rPr>
      </w:pPr>
      <w:r w:rsidRPr="00830439">
        <w:rPr>
          <w:rFonts w:cs="Arial"/>
          <w:szCs w:val="20"/>
        </w:rPr>
        <w:t>Nepovratna sredstva za tehnično pomoč pa se lahko kombinirajo s finančnimi produkti le za namene tehnične priprave predvidene naložbe za korist in podporo končnemu upravičencu</w:t>
      </w:r>
      <w:r w:rsidRPr="00830439">
        <w:rPr>
          <w:rFonts w:cs="Arial"/>
          <w:szCs w:val="20"/>
          <w:vertAlign w:val="superscript"/>
        </w:rPr>
        <w:footnoteReference w:id="21"/>
      </w:r>
      <w:r w:rsidRPr="00830439">
        <w:rPr>
          <w:rFonts w:cs="Arial"/>
          <w:szCs w:val="20"/>
        </w:rPr>
        <w:t>.</w:t>
      </w:r>
    </w:p>
    <w:p w14:paraId="39CB870B" w14:textId="77777777" w:rsidR="003E3ED9" w:rsidRPr="00F60B42" w:rsidRDefault="003E3ED9" w:rsidP="003E3ED9">
      <w:pPr>
        <w:ind w:left="2"/>
        <w:jc w:val="both"/>
        <w:rPr>
          <w:rFonts w:cs="Arial"/>
          <w:szCs w:val="20"/>
        </w:rPr>
      </w:pPr>
    </w:p>
    <w:p w14:paraId="500873AE" w14:textId="77777777" w:rsidR="003E3ED9" w:rsidRPr="00830439" w:rsidRDefault="003E3ED9" w:rsidP="003E3ED9">
      <w:pPr>
        <w:numPr>
          <w:ilvl w:val="0"/>
          <w:numId w:val="54"/>
        </w:numPr>
        <w:ind w:left="714" w:hanging="357"/>
        <w:contextualSpacing/>
        <w:jc w:val="both"/>
        <w:rPr>
          <w:rFonts w:eastAsia="Calibri" w:cs="Arial"/>
          <w:szCs w:val="20"/>
        </w:rPr>
      </w:pPr>
      <w:r w:rsidRPr="00830439">
        <w:rPr>
          <w:rFonts w:eastAsia="Calibri" w:cs="Arial"/>
          <w:szCs w:val="20"/>
        </w:rPr>
        <w:t xml:space="preserve">Finančni produkti se lahko kombinirajo z nepovratnimi sredstvi ESIF za druge namene kot je določeno v prejšnji točki tudi v obliki ločenih operacij. Kadar se nepovratna sredstva </w:t>
      </w:r>
      <w:r w:rsidRPr="00830439">
        <w:rPr>
          <w:rFonts w:eastAsia="Calibri" w:cs="Arial"/>
          <w:szCs w:val="20"/>
        </w:rPr>
        <w:lastRenderedPageBreak/>
        <w:t>uporabljajo kot dopolnitev naložbe FI, se morajo ta nepovratna sredstva obravnavati kot samostojna operacija, tudi če so lahko upravljana s strani istega organa.</w:t>
      </w:r>
    </w:p>
    <w:p w14:paraId="6F4ACD60" w14:textId="77777777" w:rsidR="003E3ED9" w:rsidRPr="002A1F16" w:rsidRDefault="003E3ED9" w:rsidP="003E3ED9">
      <w:pPr>
        <w:spacing w:before="240" w:after="120"/>
        <w:ind w:left="2"/>
        <w:outlineLvl w:val="0"/>
        <w:rPr>
          <w:rFonts w:cs="Arial"/>
          <w:b/>
          <w:color w:val="AACDDB"/>
          <w:szCs w:val="20"/>
        </w:rPr>
      </w:pPr>
      <w:bookmarkStart w:id="43" w:name="_Toc54857920"/>
      <w:bookmarkStart w:id="44" w:name="_Toc132097831"/>
      <w:r w:rsidRPr="002A1F16">
        <w:rPr>
          <w:rFonts w:cs="Arial"/>
          <w:b/>
          <w:color w:val="AACDDB"/>
          <w:szCs w:val="20"/>
        </w:rPr>
        <w:t xml:space="preserve">3.4 Drugi viri financiranja </w:t>
      </w:r>
      <w:bookmarkEnd w:id="43"/>
      <w:r w:rsidRPr="002A1F16">
        <w:rPr>
          <w:rFonts w:cs="Arial"/>
          <w:b/>
          <w:color w:val="AACDDB"/>
          <w:szCs w:val="20"/>
        </w:rPr>
        <w:t>FI</w:t>
      </w:r>
      <w:bookmarkEnd w:id="44"/>
    </w:p>
    <w:p w14:paraId="23B5BCAF" w14:textId="77777777" w:rsidR="003E3ED9" w:rsidRPr="00830439" w:rsidRDefault="003E3ED9" w:rsidP="003E3ED9">
      <w:pPr>
        <w:jc w:val="both"/>
        <w:rPr>
          <w:rFonts w:cs="Arial"/>
          <w:szCs w:val="20"/>
        </w:rPr>
      </w:pPr>
      <w:r w:rsidRPr="00830439">
        <w:rPr>
          <w:rFonts w:cs="Arial"/>
          <w:szCs w:val="20"/>
        </w:rPr>
        <w:t>Upravljavec sklada skladov lahko poleg sredstev ESIF zagotavlja tudi druge vire financiranja na ravni sklada skladov, FI ali končnih prejemnikov, kot bo dogovorjeno v sporazumu o financiranju. Upravljavec sklada skladov mora obvestiti PO, če bo finančni produkt dopolnjeval z drugimi viri. Upravljavec sklada skladov mora skladno s tem voditi tudi evidenco sredstev po virih financiranja.</w:t>
      </w:r>
    </w:p>
    <w:p w14:paraId="0E145321" w14:textId="77777777" w:rsidR="003E3ED9" w:rsidRPr="00830439" w:rsidRDefault="003E3ED9" w:rsidP="003E3ED9">
      <w:pPr>
        <w:jc w:val="both"/>
        <w:rPr>
          <w:rFonts w:cs="Arial"/>
          <w:szCs w:val="20"/>
        </w:rPr>
      </w:pPr>
    </w:p>
    <w:p w14:paraId="3CC5CC64" w14:textId="77777777" w:rsidR="003E3ED9" w:rsidRPr="00830439" w:rsidRDefault="003E3ED9" w:rsidP="003E3ED9">
      <w:pPr>
        <w:jc w:val="both"/>
        <w:rPr>
          <w:rFonts w:cs="Arial"/>
          <w:szCs w:val="20"/>
        </w:rPr>
      </w:pPr>
      <w:r w:rsidRPr="00830439">
        <w:rPr>
          <w:rFonts w:cs="Arial"/>
          <w:szCs w:val="20"/>
        </w:rPr>
        <w:t>Drugi viri (poleg ESIF) za izvajanje FI se lahko zagotavljajo tudi iz:</w:t>
      </w:r>
    </w:p>
    <w:p w14:paraId="0B3EE309" w14:textId="77777777" w:rsidR="003E3ED9" w:rsidRPr="00830439" w:rsidRDefault="003E3ED9" w:rsidP="003E3ED9">
      <w:pPr>
        <w:numPr>
          <w:ilvl w:val="0"/>
          <w:numId w:val="55"/>
        </w:numPr>
        <w:spacing w:line="240" w:lineRule="atLeast"/>
        <w:contextualSpacing/>
        <w:jc w:val="both"/>
        <w:rPr>
          <w:rFonts w:eastAsia="Calibri" w:cs="Arial"/>
          <w:szCs w:val="20"/>
        </w:rPr>
      </w:pPr>
      <w:r w:rsidRPr="00830439">
        <w:rPr>
          <w:rFonts w:eastAsia="Calibri" w:cs="Arial"/>
          <w:szCs w:val="20"/>
        </w:rPr>
        <w:t>nacionalnih virov,</w:t>
      </w:r>
    </w:p>
    <w:p w14:paraId="0698876C" w14:textId="77777777" w:rsidR="003E3ED9" w:rsidRPr="00830439" w:rsidRDefault="003E3ED9" w:rsidP="003E3ED9">
      <w:pPr>
        <w:numPr>
          <w:ilvl w:val="0"/>
          <w:numId w:val="55"/>
        </w:numPr>
        <w:spacing w:line="240" w:lineRule="atLeast"/>
        <w:contextualSpacing/>
        <w:jc w:val="both"/>
        <w:rPr>
          <w:rFonts w:eastAsia="Calibri" w:cs="Arial"/>
          <w:szCs w:val="20"/>
        </w:rPr>
      </w:pPr>
      <w:r w:rsidRPr="00830439">
        <w:rPr>
          <w:rFonts w:eastAsia="Calibri" w:cs="Arial"/>
          <w:szCs w:val="20"/>
        </w:rPr>
        <w:t>drugih EU virov (viri COSME, Obzorje 2020, Evropski sklad za strateške investicije (EFSI), EASI itd.),</w:t>
      </w:r>
    </w:p>
    <w:p w14:paraId="248FE1B9" w14:textId="77777777" w:rsidR="003E3ED9" w:rsidRPr="00830439" w:rsidRDefault="003E3ED9" w:rsidP="003E3ED9">
      <w:pPr>
        <w:numPr>
          <w:ilvl w:val="0"/>
          <w:numId w:val="55"/>
        </w:numPr>
        <w:spacing w:line="240" w:lineRule="atLeast"/>
        <w:contextualSpacing/>
        <w:jc w:val="both"/>
        <w:rPr>
          <w:rFonts w:eastAsia="Calibri" w:cs="Arial"/>
          <w:szCs w:val="20"/>
        </w:rPr>
      </w:pPr>
      <w:r w:rsidRPr="00830439">
        <w:rPr>
          <w:rFonts w:eastAsia="Calibri" w:cs="Arial"/>
          <w:szCs w:val="20"/>
        </w:rPr>
        <w:t>drugih lastnih virov upravljavca sklada skladov,</w:t>
      </w:r>
    </w:p>
    <w:p w14:paraId="3ED3457B" w14:textId="77777777" w:rsidR="003E3ED9" w:rsidRPr="00830439" w:rsidRDefault="003E3ED9" w:rsidP="003E3ED9">
      <w:pPr>
        <w:numPr>
          <w:ilvl w:val="0"/>
          <w:numId w:val="55"/>
        </w:numPr>
        <w:spacing w:line="240" w:lineRule="atLeast"/>
        <w:contextualSpacing/>
        <w:jc w:val="both"/>
        <w:rPr>
          <w:rFonts w:eastAsia="Calibri" w:cs="Arial"/>
          <w:szCs w:val="20"/>
        </w:rPr>
      </w:pPr>
      <w:r w:rsidRPr="00830439">
        <w:rPr>
          <w:rFonts w:eastAsia="Calibri" w:cs="Arial"/>
          <w:szCs w:val="20"/>
        </w:rPr>
        <w:t>drugih lastnih virov finančnih posrednikov,</w:t>
      </w:r>
    </w:p>
    <w:p w14:paraId="4A1D6044" w14:textId="77777777" w:rsidR="003E3ED9" w:rsidRPr="00830439" w:rsidRDefault="003E3ED9" w:rsidP="003E3ED9">
      <w:pPr>
        <w:numPr>
          <w:ilvl w:val="0"/>
          <w:numId w:val="55"/>
        </w:numPr>
        <w:spacing w:line="240" w:lineRule="atLeast"/>
        <w:contextualSpacing/>
        <w:jc w:val="both"/>
        <w:rPr>
          <w:rFonts w:eastAsia="Calibri" w:cs="Arial"/>
          <w:szCs w:val="20"/>
        </w:rPr>
      </w:pPr>
      <w:r w:rsidRPr="00830439">
        <w:rPr>
          <w:rFonts w:eastAsia="Calibri" w:cs="Arial"/>
          <w:szCs w:val="20"/>
        </w:rPr>
        <w:t>drugih virov.</w:t>
      </w:r>
    </w:p>
    <w:p w14:paraId="6402EFB6" w14:textId="77777777" w:rsidR="003E3ED9" w:rsidRPr="00830439" w:rsidRDefault="003E3ED9" w:rsidP="003E3ED9">
      <w:pPr>
        <w:jc w:val="both"/>
        <w:rPr>
          <w:rFonts w:cs="Arial"/>
          <w:szCs w:val="20"/>
        </w:rPr>
      </w:pPr>
      <w:r w:rsidRPr="00830439">
        <w:rPr>
          <w:rFonts w:cs="Arial"/>
          <w:szCs w:val="20"/>
        </w:rPr>
        <w:t>Po prvem obratu sredstev iz naslova evropske kohezijske politike 2014-2020 za izvajanje FI se ponovno pripravi predhodna ocena vrzeli financiranja (na tej prednostni naložbi), ki pokaže, ali, kje in v kakšnem obsegu še obstajajo vrzeli in kakšni FI so potrebni. V kolikor obstaja vrzel financiranja, se temu na podlagi nove naložbene strategije in v okviru določil sporazuma o financiranju namenijo vrnjena sredstva za FI skladno z ugotovitvami predhodne ocene vrzeli financiranja.</w:t>
      </w:r>
    </w:p>
    <w:p w14:paraId="5FB2FF3E" w14:textId="77777777" w:rsidR="003E3ED9" w:rsidRPr="00830439" w:rsidRDefault="003E3ED9" w:rsidP="003E3ED9">
      <w:pPr>
        <w:spacing w:line="240" w:lineRule="auto"/>
        <w:rPr>
          <w:rFonts w:cs="Arial"/>
          <w:szCs w:val="20"/>
        </w:rPr>
      </w:pPr>
      <w:r w:rsidRPr="00830439">
        <w:rPr>
          <w:rFonts w:cs="Arial"/>
          <w:szCs w:val="20"/>
        </w:rPr>
        <w:br w:type="page"/>
      </w:r>
    </w:p>
    <w:p w14:paraId="70F6DD77" w14:textId="77777777" w:rsidR="003E3ED9" w:rsidRPr="002A1F16" w:rsidRDefault="003E3ED9" w:rsidP="003E3ED9">
      <w:pPr>
        <w:spacing w:before="240" w:after="120"/>
        <w:ind w:left="2"/>
        <w:outlineLvl w:val="0"/>
        <w:rPr>
          <w:rFonts w:cs="Arial"/>
          <w:b/>
          <w:color w:val="AACDDB"/>
          <w:szCs w:val="20"/>
        </w:rPr>
      </w:pPr>
      <w:bookmarkStart w:id="45" w:name="_Toc122425441"/>
      <w:bookmarkStart w:id="46" w:name="_Toc132097832"/>
      <w:r w:rsidRPr="002A1F16">
        <w:rPr>
          <w:rFonts w:cs="Arial"/>
          <w:b/>
          <w:color w:val="AACDDB"/>
          <w:szCs w:val="20"/>
        </w:rPr>
        <w:lastRenderedPageBreak/>
        <w:t>4. SPREMLJANJE IZVAJANJA IN POROČANJE</w:t>
      </w:r>
      <w:bookmarkEnd w:id="45"/>
      <w:bookmarkEnd w:id="46"/>
    </w:p>
    <w:p w14:paraId="499B064E" w14:textId="77777777" w:rsidR="003E3ED9" w:rsidRPr="00830439" w:rsidRDefault="003E3ED9" w:rsidP="003E3ED9">
      <w:pPr>
        <w:jc w:val="both"/>
        <w:rPr>
          <w:rFonts w:cs="Arial"/>
          <w:szCs w:val="20"/>
        </w:rPr>
      </w:pPr>
      <w:r w:rsidRPr="00830439">
        <w:rPr>
          <w:rFonts w:cs="Arial"/>
          <w:szCs w:val="20"/>
        </w:rPr>
        <w:t>Upravljavec sklada skladov je dolžan voditi evidence, iz katerih bo mogoče razlikovati med razpolaganjem s sredstvi evropske kohezijske politike in morebitnimi ostalimi sredstvi sklada skladov.</w:t>
      </w:r>
    </w:p>
    <w:p w14:paraId="5B4DC3B6" w14:textId="77777777" w:rsidR="003E3ED9" w:rsidRPr="00830439" w:rsidRDefault="003E3ED9" w:rsidP="003E3ED9">
      <w:pPr>
        <w:jc w:val="both"/>
        <w:rPr>
          <w:rFonts w:cs="Arial"/>
          <w:szCs w:val="20"/>
        </w:rPr>
      </w:pPr>
    </w:p>
    <w:p w14:paraId="515A141A" w14:textId="77777777" w:rsidR="003E3ED9" w:rsidRPr="00830439" w:rsidRDefault="003E3ED9" w:rsidP="003E3ED9">
      <w:pPr>
        <w:jc w:val="both"/>
        <w:rPr>
          <w:rFonts w:cs="Arial"/>
          <w:szCs w:val="20"/>
        </w:rPr>
      </w:pPr>
      <w:r w:rsidRPr="00830439">
        <w:rPr>
          <w:rFonts w:cs="Arial"/>
          <w:szCs w:val="20"/>
        </w:rPr>
        <w:t>Upravljavec sklada skladov bo spremljal porabo sredstev v okviru naložbene strategije s poslovnimi načrti po prednostnih naložbah, posameznih FI, po končnih prejemnikih in teritorialni pripadnosti ter terminsko.</w:t>
      </w:r>
    </w:p>
    <w:p w14:paraId="07C2145F" w14:textId="77777777" w:rsidR="003E3ED9" w:rsidRPr="00830439" w:rsidRDefault="003E3ED9" w:rsidP="003E3ED9">
      <w:pPr>
        <w:jc w:val="both"/>
        <w:rPr>
          <w:rFonts w:cs="Arial"/>
          <w:szCs w:val="20"/>
        </w:rPr>
      </w:pPr>
    </w:p>
    <w:p w14:paraId="3B943BB5" w14:textId="77777777" w:rsidR="003E3ED9" w:rsidRPr="00830439" w:rsidRDefault="003E3ED9" w:rsidP="003E3ED9">
      <w:pPr>
        <w:jc w:val="both"/>
        <w:rPr>
          <w:rFonts w:cs="Arial"/>
          <w:szCs w:val="20"/>
        </w:rPr>
      </w:pPr>
      <w:r w:rsidRPr="00830439">
        <w:rPr>
          <w:rFonts w:cs="Arial"/>
          <w:szCs w:val="20"/>
        </w:rPr>
        <w:t>PO bo spremljal izvajanje operacije sklad skladov preko naslednjih poročil upravljavca sklada skladov, ki bodo podrobneje opredeljena v sporazumu o financiranju:</w:t>
      </w:r>
    </w:p>
    <w:p w14:paraId="40C35543" w14:textId="77777777" w:rsidR="003E3ED9" w:rsidRPr="00830439" w:rsidRDefault="003E3ED9" w:rsidP="003E3ED9">
      <w:pPr>
        <w:numPr>
          <w:ilvl w:val="0"/>
          <w:numId w:val="56"/>
        </w:numPr>
        <w:spacing w:line="240" w:lineRule="atLeast"/>
        <w:contextualSpacing/>
        <w:jc w:val="both"/>
        <w:rPr>
          <w:rFonts w:eastAsia="Calibri" w:cs="Arial"/>
          <w:szCs w:val="20"/>
        </w:rPr>
      </w:pPr>
      <w:r w:rsidRPr="00830439">
        <w:rPr>
          <w:rFonts w:eastAsia="Calibri" w:cs="Arial"/>
          <w:szCs w:val="20"/>
        </w:rPr>
        <w:t>četrtletno (vključuje poročilo za določeno obdobje in tudi kumulativni seštevek vseh preteklih četrtletij in napredek v obdobju poročanja (izračun agregatov plasmajev (npr. po prednostnih naložbah, regijah, sektorjih, pravnoorganizacijskih oblikah in produktih) ter deležev prispevka obdobja glede na celotno obdobje in nakazila itd.),</w:t>
      </w:r>
    </w:p>
    <w:p w14:paraId="20AAC242" w14:textId="77777777" w:rsidR="003E3ED9" w:rsidRPr="00830439" w:rsidRDefault="003E3ED9" w:rsidP="003E3ED9">
      <w:pPr>
        <w:numPr>
          <w:ilvl w:val="0"/>
          <w:numId w:val="56"/>
        </w:numPr>
        <w:spacing w:line="240" w:lineRule="atLeast"/>
        <w:contextualSpacing/>
        <w:jc w:val="both"/>
        <w:rPr>
          <w:rFonts w:eastAsia="Calibri" w:cs="Arial"/>
          <w:szCs w:val="20"/>
        </w:rPr>
      </w:pPr>
      <w:r w:rsidRPr="00830439">
        <w:rPr>
          <w:rFonts w:eastAsia="Calibri" w:cs="Arial"/>
          <w:szCs w:val="20"/>
        </w:rPr>
        <w:t>letno (vključuje poleg finančnega dela še dodatno vsebinsko obrazložitev stanja in napredka (potek izvajanja, težave pri izvajanju, predloge za spremembo FI in/ ali produktov itd.)),</w:t>
      </w:r>
    </w:p>
    <w:p w14:paraId="51EB2C6D" w14:textId="77777777" w:rsidR="003E3ED9" w:rsidRPr="00830439" w:rsidRDefault="003E3ED9" w:rsidP="003E3ED9">
      <w:pPr>
        <w:numPr>
          <w:ilvl w:val="0"/>
          <w:numId w:val="56"/>
        </w:numPr>
        <w:spacing w:line="240" w:lineRule="atLeast"/>
        <w:contextualSpacing/>
        <w:jc w:val="both"/>
        <w:rPr>
          <w:rFonts w:eastAsia="Calibri" w:cs="Arial"/>
          <w:szCs w:val="20"/>
        </w:rPr>
      </w:pPr>
      <w:r w:rsidRPr="00830439">
        <w:rPr>
          <w:rFonts w:eastAsia="Calibri" w:cs="Arial"/>
          <w:szCs w:val="20"/>
        </w:rPr>
        <w:t>poročilo o zaključku operacije (časovno obdobje, višina načrtovane porabe, dejanska poraba, aktivnosti, opravljene naložbe, realizirana nakazila, upravljavska provizija, kazalniki itd.),</w:t>
      </w:r>
    </w:p>
    <w:p w14:paraId="46143241" w14:textId="77777777" w:rsidR="003E3ED9" w:rsidRPr="00830439" w:rsidRDefault="003E3ED9" w:rsidP="003E3ED9">
      <w:pPr>
        <w:numPr>
          <w:ilvl w:val="0"/>
          <w:numId w:val="56"/>
        </w:numPr>
        <w:spacing w:line="240" w:lineRule="atLeast"/>
        <w:contextualSpacing/>
        <w:jc w:val="both"/>
        <w:rPr>
          <w:rFonts w:eastAsia="Calibri" w:cs="Arial"/>
          <w:szCs w:val="20"/>
        </w:rPr>
      </w:pPr>
      <w:r w:rsidRPr="00830439">
        <w:rPr>
          <w:rFonts w:eastAsia="Calibri" w:cs="Arial"/>
          <w:szCs w:val="20"/>
        </w:rPr>
        <w:t>druga poročila skladno s sporazumom o financiranju (vključno z ad hoc poizvedbami glede na potrebe OU, PO in sodelujočih ministrstev s prilagojeno razčlembo finančnih in/ ali vsebinskih kazalnikov FI).</w:t>
      </w:r>
    </w:p>
    <w:p w14:paraId="0FD8CD98" w14:textId="77777777" w:rsidR="003E3ED9" w:rsidRPr="00830439" w:rsidRDefault="003E3ED9" w:rsidP="003E3ED9">
      <w:pPr>
        <w:jc w:val="both"/>
        <w:rPr>
          <w:rFonts w:cs="Arial"/>
          <w:szCs w:val="20"/>
        </w:rPr>
      </w:pPr>
      <w:r w:rsidRPr="00830439">
        <w:rPr>
          <w:rFonts w:cs="Arial"/>
          <w:szCs w:val="20"/>
        </w:rPr>
        <w:t>Rok za predložitev in podrobnejša vsebina posameznega poročila iz prejšnjega odstavka se bosta opredelila v sporazumu o financiranju.</w:t>
      </w:r>
    </w:p>
    <w:p w14:paraId="0B53FBDD" w14:textId="77777777" w:rsidR="003E3ED9" w:rsidRPr="00830439" w:rsidRDefault="003E3ED9" w:rsidP="003E3ED9">
      <w:pPr>
        <w:jc w:val="both"/>
        <w:rPr>
          <w:rFonts w:cs="Arial"/>
          <w:szCs w:val="20"/>
        </w:rPr>
      </w:pPr>
    </w:p>
    <w:p w14:paraId="2FF2173E" w14:textId="77777777" w:rsidR="003E3ED9" w:rsidRPr="00830439" w:rsidRDefault="003E3ED9" w:rsidP="003E3ED9">
      <w:pPr>
        <w:jc w:val="both"/>
        <w:rPr>
          <w:rFonts w:cs="Arial"/>
          <w:szCs w:val="20"/>
        </w:rPr>
      </w:pPr>
      <w:r w:rsidRPr="00830439">
        <w:rPr>
          <w:rFonts w:cs="Arial"/>
          <w:szCs w:val="20"/>
        </w:rPr>
        <w:t>Upravljavec sklada skladov mora letno (do 31. 1. za preteklo leto) ali tudi prej na poziv PO le-tega pisno seznaniti o trenutnem stanju na področju porabe sredstev evropske kohezijske politike ter podati predlog morebitne preusmeritve sredstev.</w:t>
      </w:r>
    </w:p>
    <w:p w14:paraId="757263B6" w14:textId="77777777" w:rsidR="003E3ED9" w:rsidRPr="00830439" w:rsidRDefault="003E3ED9" w:rsidP="003E3ED9">
      <w:pPr>
        <w:jc w:val="both"/>
        <w:rPr>
          <w:rFonts w:cs="Arial"/>
          <w:szCs w:val="20"/>
        </w:rPr>
      </w:pPr>
    </w:p>
    <w:p w14:paraId="4068342E" w14:textId="77777777" w:rsidR="003E3ED9" w:rsidRPr="00830439" w:rsidRDefault="003E3ED9" w:rsidP="003E3ED9">
      <w:pPr>
        <w:jc w:val="both"/>
        <w:rPr>
          <w:rFonts w:cs="Arial"/>
          <w:szCs w:val="20"/>
        </w:rPr>
      </w:pPr>
      <w:r w:rsidRPr="00830439">
        <w:rPr>
          <w:rFonts w:cs="Arial"/>
          <w:szCs w:val="20"/>
        </w:rPr>
        <w:t>PO bo v sporazumu o financiranju zavezal upravljavca sklada skladov, da mora glede spremljanja izvajanja in poročanja upoštevati Uredbo (EU) št. 1303/2013, Delegirane uredbe Komisije (EU) št. 480/2014 in Izvedbeno uredbo Komisije (EU)št. 821/2014 ter morebitne smernice Evropske komisije ter navodila OU.</w:t>
      </w:r>
    </w:p>
    <w:p w14:paraId="78A6944F" w14:textId="77777777" w:rsidR="003E3ED9" w:rsidRPr="00830439" w:rsidRDefault="003E3ED9" w:rsidP="003E3ED9">
      <w:pPr>
        <w:jc w:val="both"/>
        <w:rPr>
          <w:rFonts w:cs="Arial"/>
          <w:szCs w:val="20"/>
        </w:rPr>
      </w:pPr>
    </w:p>
    <w:p w14:paraId="2994A578" w14:textId="77777777" w:rsidR="003E3ED9" w:rsidRPr="00830439" w:rsidRDefault="003E3ED9" w:rsidP="003E3ED9">
      <w:pPr>
        <w:jc w:val="both"/>
        <w:rPr>
          <w:rFonts w:cs="Arial"/>
          <w:szCs w:val="20"/>
        </w:rPr>
      </w:pPr>
      <w:r w:rsidRPr="00830439">
        <w:rPr>
          <w:rFonts w:cs="Arial"/>
          <w:szCs w:val="20"/>
        </w:rPr>
        <w:t xml:space="preserve">Upravljavec sklada skladov bo moral vzpostaviti sistem za sprotno dnevno računalniško beleženje podatkov z namenom spremljanja dodeljenih sredstev, doseganja ciljev in kazalnikov in izpolnjevanja obveznosti upravljavca sklada skladov glede poročanja PO odgovornemu za FI. V informacijskem sistemu upravljavca sklada skladov se zbirajo in trajno hranijo relevantni podatki finančnih posrednikov o končnih prejemnikih (da se zagotovi revizijska sled do končnih prejemnikov) in </w:t>
      </w:r>
      <w:proofErr w:type="spellStart"/>
      <w:r w:rsidRPr="00830439">
        <w:rPr>
          <w:rFonts w:cs="Arial"/>
          <w:szCs w:val="20"/>
        </w:rPr>
        <w:t>alociranih</w:t>
      </w:r>
      <w:proofErr w:type="spellEnd"/>
      <w:r w:rsidRPr="00830439">
        <w:rPr>
          <w:rFonts w:cs="Arial"/>
          <w:szCs w:val="20"/>
        </w:rPr>
        <w:t xml:space="preserve"> sredstvih FI.</w:t>
      </w:r>
    </w:p>
    <w:p w14:paraId="469CAF5B" w14:textId="77777777" w:rsidR="003E3ED9" w:rsidRPr="00830439" w:rsidRDefault="003E3ED9" w:rsidP="003E3ED9">
      <w:pPr>
        <w:jc w:val="both"/>
        <w:rPr>
          <w:rFonts w:cs="Arial"/>
          <w:szCs w:val="20"/>
        </w:rPr>
      </w:pPr>
    </w:p>
    <w:p w14:paraId="040009D5" w14:textId="77777777" w:rsidR="003E3ED9" w:rsidRPr="00830439" w:rsidRDefault="003E3ED9" w:rsidP="003E3ED9">
      <w:pPr>
        <w:jc w:val="both"/>
        <w:rPr>
          <w:rFonts w:cs="Arial"/>
          <w:szCs w:val="20"/>
        </w:rPr>
      </w:pPr>
      <w:r w:rsidRPr="00830439">
        <w:rPr>
          <w:rFonts w:cs="Arial"/>
          <w:szCs w:val="20"/>
        </w:rPr>
        <w:t>PO bo za potrebe EK pripravil posebno poročilo o FI skladno s 46. členom Uredbe (EU) št. 1303/2013 in na osnovi poročil upravljavca sklada skladov. PO redno ocenjuje dejavnosti in poslovanje sklada skladov ter o tem obvešča ustrezne institucije Evropske unije.</w:t>
      </w:r>
    </w:p>
    <w:p w14:paraId="1085E6B5" w14:textId="77777777" w:rsidR="003E3ED9" w:rsidRPr="00830439" w:rsidRDefault="003E3ED9" w:rsidP="003E3ED9">
      <w:pPr>
        <w:jc w:val="both"/>
        <w:rPr>
          <w:rFonts w:cs="Arial"/>
          <w:szCs w:val="20"/>
        </w:rPr>
      </w:pPr>
    </w:p>
    <w:p w14:paraId="7BF05550" w14:textId="77777777" w:rsidR="003E3ED9" w:rsidRPr="00830439" w:rsidRDefault="003E3ED9" w:rsidP="003E3ED9">
      <w:pPr>
        <w:jc w:val="both"/>
        <w:rPr>
          <w:rFonts w:cs="Arial"/>
          <w:szCs w:val="20"/>
        </w:rPr>
      </w:pPr>
      <w:r w:rsidRPr="00830439">
        <w:rPr>
          <w:rFonts w:cs="Arial"/>
          <w:szCs w:val="20"/>
        </w:rPr>
        <w:t>V skladu s 4. odstavkom 125. člena Uredbe (EU) št. 1303/2013 bo PO poleg preverjanja izvajanja operacije preko poročil upravljavca sklada skladov izvajal tudi upravljalna preverjanja, in sicer od sklenitve sporazuma o financiranju do zaključka operacije. Upravljalna preverjanja bodo izvedena pri upravljavcu sklada skladov. Upravljalna preverjanja bodo vključevala tako administrativno kontrolo, kot tudi preverjanje na kraju samem skladno z Navodili OU za izvajanje upravljalnih preverjanj po 125. členu Uredbe (EU) št. 1303/2013.</w:t>
      </w:r>
    </w:p>
    <w:p w14:paraId="4E05DAAB" w14:textId="77777777" w:rsidR="003E3ED9" w:rsidRPr="00830439" w:rsidRDefault="003E3ED9" w:rsidP="003E3ED9">
      <w:pPr>
        <w:jc w:val="both"/>
        <w:rPr>
          <w:rFonts w:cs="Arial"/>
          <w:szCs w:val="20"/>
        </w:rPr>
      </w:pPr>
    </w:p>
    <w:p w14:paraId="51A2AEA8" w14:textId="77777777" w:rsidR="003E3ED9" w:rsidRPr="00830439" w:rsidRDefault="003E3ED9" w:rsidP="003E3ED9">
      <w:pPr>
        <w:jc w:val="both"/>
        <w:rPr>
          <w:rFonts w:cs="Arial"/>
          <w:szCs w:val="20"/>
        </w:rPr>
      </w:pPr>
      <w:r w:rsidRPr="00830439">
        <w:rPr>
          <w:rFonts w:cs="Arial"/>
          <w:szCs w:val="20"/>
        </w:rPr>
        <w:lastRenderedPageBreak/>
        <w:t>Spremljanje izvajanja in zahteve o poročanju bodo zajeti tudi v informacijskem sistemu OU.</w:t>
      </w:r>
    </w:p>
    <w:p w14:paraId="69134962" w14:textId="77777777" w:rsidR="003E3ED9" w:rsidRPr="002A1F16" w:rsidRDefault="003E3ED9" w:rsidP="003E3ED9">
      <w:pPr>
        <w:rPr>
          <w:rFonts w:cs="Arial"/>
          <w:szCs w:val="20"/>
        </w:rPr>
      </w:pPr>
      <w:r w:rsidRPr="002A1F16">
        <w:rPr>
          <w:rFonts w:cs="Arial"/>
          <w:szCs w:val="20"/>
        </w:rPr>
        <w:br w:type="page"/>
      </w:r>
    </w:p>
    <w:p w14:paraId="23F31317" w14:textId="77777777" w:rsidR="003E3ED9" w:rsidRPr="002A1F16" w:rsidRDefault="003E3ED9" w:rsidP="003E3ED9">
      <w:pPr>
        <w:spacing w:before="240" w:after="120"/>
        <w:ind w:left="2"/>
        <w:outlineLvl w:val="0"/>
        <w:rPr>
          <w:rFonts w:cs="Arial"/>
          <w:b/>
          <w:color w:val="AACDDB"/>
          <w:szCs w:val="20"/>
        </w:rPr>
      </w:pPr>
      <w:bookmarkStart w:id="47" w:name="_Toc122425444"/>
      <w:bookmarkStart w:id="48" w:name="_Toc132097833"/>
      <w:r w:rsidRPr="002A1F16">
        <w:rPr>
          <w:rFonts w:cs="Arial"/>
          <w:b/>
          <w:color w:val="AACDDB"/>
          <w:szCs w:val="20"/>
        </w:rPr>
        <w:lastRenderedPageBreak/>
        <w:t>5. IZDELAN PROGRAM PORABE SREDSTEV ZA FI</w:t>
      </w:r>
      <w:bookmarkEnd w:id="47"/>
      <w:bookmarkEnd w:id="48"/>
    </w:p>
    <w:p w14:paraId="3F300EB4" w14:textId="77777777" w:rsidR="003E3ED9" w:rsidRPr="00830439" w:rsidRDefault="003E3ED9" w:rsidP="003E3ED9">
      <w:pPr>
        <w:tabs>
          <w:tab w:val="right" w:pos="9072"/>
        </w:tabs>
        <w:jc w:val="both"/>
        <w:rPr>
          <w:rFonts w:cs="Arial"/>
          <w:szCs w:val="20"/>
        </w:rPr>
      </w:pPr>
      <w:r w:rsidRPr="00830439">
        <w:rPr>
          <w:rFonts w:cs="Arial"/>
          <w:szCs w:val="20"/>
        </w:rPr>
        <w:t>PO v sporazumu o financiranju določi rok za nakazilo sredstev ESIF na podlagi prejetega zahtevka upravljavca sklada skladov za črpanje. V sporazumu o financiranju se bo tudi določilo vse v zvezi z zamudami pri nakazilu sredstev ESI upravljavcu sklada skladov, kakor tudi način zagotavljanja teh sredstev s strani RS.</w:t>
      </w:r>
    </w:p>
    <w:p w14:paraId="31B0F5D2" w14:textId="77777777" w:rsidR="003E3ED9" w:rsidRPr="00830439" w:rsidRDefault="003E3ED9" w:rsidP="003E3ED9">
      <w:pPr>
        <w:tabs>
          <w:tab w:val="right" w:pos="9072"/>
        </w:tabs>
        <w:jc w:val="both"/>
        <w:rPr>
          <w:rFonts w:cs="Arial"/>
          <w:szCs w:val="20"/>
        </w:rPr>
      </w:pPr>
    </w:p>
    <w:p w14:paraId="6CD33860" w14:textId="77777777" w:rsidR="003E3ED9" w:rsidRPr="00830439" w:rsidRDefault="003E3ED9" w:rsidP="003E3ED9">
      <w:pPr>
        <w:tabs>
          <w:tab w:val="right" w:pos="9072"/>
        </w:tabs>
        <w:jc w:val="both"/>
        <w:rPr>
          <w:rFonts w:cs="Arial"/>
          <w:szCs w:val="20"/>
        </w:rPr>
      </w:pPr>
      <w:r w:rsidRPr="00830439">
        <w:rPr>
          <w:rFonts w:cs="Arial"/>
          <w:szCs w:val="20"/>
        </w:rPr>
        <w:t>Nakazila sredstev ESIF upravljavcu sklada skladov bodo v tranšah do največ 25 % dodeljenih sredstev ESIF za operacijo Sklad skladov. Pogoji za nakazilo posamezne tranše se določijo v sporazumu o financiranju skladno z 41. členom Uredbe EU št. 1303/2013. Upravljavec sklada skladov je upravičen do prvega nakazila takoj po sklenitvi sporazuma o financiranju, do drugega nakazila, ko je porabljenih 60 % zneska prvega nakazila ter do nadaljnjih nakazil, ko je porabljenih 85 % zneskov iz predhodnih zahtevkov. Kot porabljeni znesek se razume nakazilo sredstev končnim prejemnikom v primeru kreditov in lastniškega financiranja ter odobritev financiranja končnemu prejemniku v primeru garancij in drugih instrumentov delitve tveganj.</w:t>
      </w:r>
    </w:p>
    <w:p w14:paraId="7E26B8D3" w14:textId="77777777" w:rsidR="003E3ED9" w:rsidRPr="00830439" w:rsidRDefault="003E3ED9" w:rsidP="003E3ED9">
      <w:pPr>
        <w:tabs>
          <w:tab w:val="right" w:pos="9072"/>
        </w:tabs>
        <w:jc w:val="both"/>
        <w:rPr>
          <w:rFonts w:cs="Arial"/>
          <w:szCs w:val="20"/>
        </w:rPr>
      </w:pPr>
    </w:p>
    <w:p w14:paraId="2E8D83E5" w14:textId="77777777" w:rsidR="003E3ED9" w:rsidRPr="00830439" w:rsidRDefault="003E3ED9" w:rsidP="003E3ED9">
      <w:pPr>
        <w:tabs>
          <w:tab w:val="right" w:pos="9072"/>
        </w:tabs>
        <w:jc w:val="both"/>
        <w:rPr>
          <w:rFonts w:cs="Arial"/>
          <w:szCs w:val="20"/>
        </w:rPr>
      </w:pPr>
      <w:r w:rsidRPr="00830439">
        <w:rPr>
          <w:rFonts w:cs="Arial"/>
          <w:szCs w:val="20"/>
        </w:rPr>
        <w:t>V kolikor prva poraba sredstev ESI skladov ne bo dosegala plana prve porabe sredstev ESIF skladov iz sporazuma o financiranju ali v primeru nedoseganja ciljev ali v primeru nedoseganja terminskih planov, bo upravljavec sklada skladov pripravil poročilo o razlogih za odstopanja od plana. PO in upravljavec sklada skladov dogovorita spremembo naložbene strategije sklada skladov ali druge ukrepe, katerih okvir je opredeljen v sporazumu o financiranju (npr. posodobitev /revizija predhodne ocene, prerazporeditev med FI, prilagoditev produktov itn., v skrajnem primeru tudi sprememba upravljavca sklada skladov).</w:t>
      </w:r>
    </w:p>
    <w:p w14:paraId="0609AACE" w14:textId="77777777" w:rsidR="003E3ED9" w:rsidRPr="00830439" w:rsidRDefault="003E3ED9" w:rsidP="003E3ED9">
      <w:pPr>
        <w:tabs>
          <w:tab w:val="right" w:pos="9072"/>
        </w:tabs>
        <w:jc w:val="both"/>
        <w:rPr>
          <w:rFonts w:cs="Arial"/>
          <w:szCs w:val="20"/>
        </w:rPr>
      </w:pPr>
    </w:p>
    <w:p w14:paraId="3BEA66AB" w14:textId="77777777" w:rsidR="003E3ED9" w:rsidRPr="00830439" w:rsidRDefault="003E3ED9" w:rsidP="003E3ED9">
      <w:pPr>
        <w:tabs>
          <w:tab w:val="right" w:pos="9072"/>
        </w:tabs>
        <w:jc w:val="both"/>
        <w:rPr>
          <w:rFonts w:cs="Arial"/>
          <w:szCs w:val="20"/>
        </w:rPr>
      </w:pPr>
      <w:r w:rsidRPr="00830439">
        <w:rPr>
          <w:rFonts w:cs="Arial"/>
          <w:szCs w:val="20"/>
        </w:rPr>
        <w:t>Upravljanje in nadzor FI se bosta izvajala skladno s 40. členom Uredbe (EU) št. 1303/2013 in 9. členom Delegirane uredbe Komisije (EU) št. 480/2014.</w:t>
      </w:r>
    </w:p>
    <w:p w14:paraId="2A71930D" w14:textId="77777777" w:rsidR="003E3ED9" w:rsidRPr="00830439" w:rsidRDefault="003E3ED9" w:rsidP="003E3ED9">
      <w:pPr>
        <w:tabs>
          <w:tab w:val="right" w:pos="9072"/>
        </w:tabs>
        <w:jc w:val="both"/>
        <w:rPr>
          <w:rFonts w:cs="Arial"/>
          <w:szCs w:val="20"/>
        </w:rPr>
      </w:pPr>
    </w:p>
    <w:p w14:paraId="622326E6" w14:textId="77777777" w:rsidR="003E3ED9" w:rsidRPr="00830439" w:rsidRDefault="003E3ED9" w:rsidP="003E3ED9">
      <w:pPr>
        <w:tabs>
          <w:tab w:val="right" w:pos="9072"/>
        </w:tabs>
        <w:jc w:val="both"/>
        <w:rPr>
          <w:rFonts w:cs="Arial"/>
          <w:szCs w:val="20"/>
        </w:rPr>
      </w:pPr>
      <w:r w:rsidRPr="00830439">
        <w:rPr>
          <w:rFonts w:cs="Arial"/>
          <w:szCs w:val="20"/>
        </w:rPr>
        <w:t>Analiza EIB izpostavlja, da kombinacija finančnih sredstev iz različnih prednostnih osi v okviru enega sklada skladov postavlja tudi nekatere izzive, ki jih je potrebno nasloviti v primeru zamud posameznega finančnega posrednika/ področja oziroma prednostne naložbe. To je mogoče ublažiti s:</w:t>
      </w:r>
    </w:p>
    <w:p w14:paraId="799822D6" w14:textId="77777777" w:rsidR="003E3ED9" w:rsidRPr="00830439" w:rsidRDefault="003E3ED9" w:rsidP="003E3ED9">
      <w:pPr>
        <w:numPr>
          <w:ilvl w:val="0"/>
          <w:numId w:val="56"/>
        </w:numPr>
        <w:tabs>
          <w:tab w:val="right" w:pos="9072"/>
        </w:tabs>
        <w:spacing w:line="240" w:lineRule="atLeast"/>
        <w:contextualSpacing/>
        <w:jc w:val="both"/>
        <w:rPr>
          <w:rFonts w:eastAsia="Calibri" w:cs="Arial"/>
          <w:szCs w:val="20"/>
        </w:rPr>
      </w:pPr>
      <w:r w:rsidRPr="00830439">
        <w:rPr>
          <w:rFonts w:eastAsia="Calibri" w:cs="Arial"/>
          <w:szCs w:val="20"/>
        </w:rPr>
        <w:t>poglobljenim spremljanjem uspešnosti v okviru prednostne naložbe in zgodnjim prepoznavanjem zamud na posameznih investicijskih področjih;</w:t>
      </w:r>
    </w:p>
    <w:p w14:paraId="5C7D716A" w14:textId="77777777" w:rsidR="003E3ED9" w:rsidRPr="00830439" w:rsidRDefault="003E3ED9" w:rsidP="003E3ED9">
      <w:pPr>
        <w:numPr>
          <w:ilvl w:val="0"/>
          <w:numId w:val="56"/>
        </w:numPr>
        <w:tabs>
          <w:tab w:val="right" w:pos="9072"/>
        </w:tabs>
        <w:spacing w:line="240" w:lineRule="atLeast"/>
        <w:contextualSpacing/>
        <w:jc w:val="both"/>
        <w:rPr>
          <w:rFonts w:eastAsia="Calibri" w:cs="Arial"/>
          <w:szCs w:val="20"/>
        </w:rPr>
      </w:pPr>
      <w:r w:rsidRPr="00830439">
        <w:rPr>
          <w:rFonts w:eastAsia="Calibri" w:cs="Arial"/>
          <w:szCs w:val="20"/>
        </w:rPr>
        <w:t>predčasnim izvajanjem omilitvenih ukrepov, kot so prerazporeditve sredstev in možnost zmanjšanja sredstev, namenjenim manj uspešnim naložbenim področjem itd.</w:t>
      </w:r>
    </w:p>
    <w:p w14:paraId="5374CB25" w14:textId="77777777" w:rsidR="003E3ED9" w:rsidRPr="00830439" w:rsidRDefault="003E3ED9" w:rsidP="003E3ED9">
      <w:pPr>
        <w:tabs>
          <w:tab w:val="right" w:pos="9072"/>
        </w:tabs>
        <w:jc w:val="both"/>
        <w:rPr>
          <w:rFonts w:cs="Arial"/>
          <w:szCs w:val="20"/>
        </w:rPr>
      </w:pPr>
      <w:r w:rsidRPr="00830439">
        <w:rPr>
          <w:rFonts w:cs="Arial"/>
          <w:szCs w:val="20"/>
        </w:rPr>
        <w:t>V skladu z navedenim je zaradi nemotene izvedbe FI v obdobju upravičenosti potrebno zagotoviti določeno fleksibilnost skladno z Delegirano uredbo Komisije (EU) št. 480/2014, in sicer je/ so mogoče:</w:t>
      </w:r>
    </w:p>
    <w:p w14:paraId="42A229E6"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prenašati sredstva med finančnimi produkti v okviru iste prednostne naložbe,</w:t>
      </w:r>
    </w:p>
    <w:p w14:paraId="622E4620"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likvidnostno prenašati sredstva med prednostnimi naložbami,</w:t>
      </w:r>
    </w:p>
    <w:p w14:paraId="24453735"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spremembe znotraj prednostne naložbe,</w:t>
      </w:r>
    </w:p>
    <w:p w14:paraId="0E63B038"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spremembe likvidnosti med leti,</w:t>
      </w:r>
    </w:p>
    <w:p w14:paraId="216BFE28"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likvidnostno prenašati sredstva med vzhodno in zahodno kohezijsko regijo,</w:t>
      </w:r>
    </w:p>
    <w:p w14:paraId="470205A5"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povečati sredstva v primeru (i) dodatnih virov (npr. nacionalni proračun, drugi viri), (ii) dopolnitve Ključnih elementov FI z novimi prednostnimi naložbami, (iii) ostankov sredstev ob zaključku obdobja upravičenosti, (iv) dodatnih virov EKP sredstev itd.,</w:t>
      </w:r>
    </w:p>
    <w:p w14:paraId="339F5EDD"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vključiti dodatno prednostno naložbo (potrebna sprememba OP 2014-2020),</w:t>
      </w:r>
    </w:p>
    <w:p w14:paraId="0407088C" w14:textId="77777777" w:rsidR="003E3ED9" w:rsidRPr="00830439" w:rsidRDefault="003E3ED9" w:rsidP="003E3ED9">
      <w:pPr>
        <w:numPr>
          <w:ilvl w:val="0"/>
          <w:numId w:val="57"/>
        </w:numPr>
        <w:tabs>
          <w:tab w:val="right" w:pos="9072"/>
        </w:tabs>
        <w:spacing w:line="240" w:lineRule="atLeast"/>
        <w:contextualSpacing/>
        <w:jc w:val="both"/>
        <w:rPr>
          <w:rFonts w:eastAsia="Calibri" w:cs="Arial"/>
          <w:szCs w:val="20"/>
        </w:rPr>
      </w:pPr>
      <w:r w:rsidRPr="00830439">
        <w:rPr>
          <w:rFonts w:eastAsia="Calibri" w:cs="Arial"/>
          <w:szCs w:val="20"/>
        </w:rPr>
        <w:t>spremeniti predhodno oceno FI.</w:t>
      </w:r>
    </w:p>
    <w:p w14:paraId="1CDFA88C" w14:textId="77777777" w:rsidR="003E3ED9" w:rsidRPr="00830439" w:rsidRDefault="003E3ED9" w:rsidP="003E3ED9">
      <w:pPr>
        <w:tabs>
          <w:tab w:val="right" w:pos="9072"/>
        </w:tabs>
        <w:rPr>
          <w:rFonts w:cs="Arial"/>
          <w:szCs w:val="20"/>
        </w:rPr>
      </w:pPr>
      <w:r w:rsidRPr="00830439">
        <w:rPr>
          <w:rFonts w:cs="Arial"/>
          <w:szCs w:val="20"/>
        </w:rPr>
        <w:t>Navedeno se zagotavlja tudi s korektivnimi ukrepi v okviru zahtevkov za izplačilo.</w:t>
      </w:r>
    </w:p>
    <w:p w14:paraId="4B51B37D" w14:textId="77777777" w:rsidR="003E3ED9" w:rsidRPr="00830439" w:rsidRDefault="003E3ED9" w:rsidP="003E3ED9">
      <w:pPr>
        <w:tabs>
          <w:tab w:val="right" w:pos="9072"/>
        </w:tabs>
        <w:rPr>
          <w:rFonts w:cs="Arial"/>
          <w:szCs w:val="20"/>
        </w:rPr>
      </w:pPr>
    </w:p>
    <w:p w14:paraId="185F97D5" w14:textId="77777777" w:rsidR="003E3ED9" w:rsidRPr="00830439" w:rsidRDefault="003E3ED9" w:rsidP="003E3ED9">
      <w:pPr>
        <w:tabs>
          <w:tab w:val="right" w:pos="9072"/>
        </w:tabs>
        <w:rPr>
          <w:rFonts w:cs="Arial"/>
          <w:szCs w:val="20"/>
        </w:rPr>
      </w:pPr>
      <w:r w:rsidRPr="00830439">
        <w:rPr>
          <w:rFonts w:cs="Arial"/>
          <w:szCs w:val="20"/>
        </w:rPr>
        <w:t>Napovedovanje likvidnosti in zahtevkov za izplačilo:</w:t>
      </w:r>
    </w:p>
    <w:p w14:paraId="26507C8E" w14:textId="77777777" w:rsidR="003E3ED9" w:rsidRPr="00830439" w:rsidRDefault="003E3ED9" w:rsidP="003E3ED9">
      <w:pPr>
        <w:tabs>
          <w:tab w:val="right" w:pos="9072"/>
        </w:tabs>
        <w:rPr>
          <w:rFonts w:cs="Arial"/>
          <w:szCs w:val="20"/>
        </w:rPr>
      </w:pPr>
    </w:p>
    <w:p w14:paraId="78C71392" w14:textId="77777777" w:rsidR="003E3ED9" w:rsidRPr="00830439" w:rsidRDefault="003E3ED9" w:rsidP="003E3ED9">
      <w:pPr>
        <w:tabs>
          <w:tab w:val="right" w:pos="9072"/>
        </w:tabs>
        <w:jc w:val="both"/>
        <w:rPr>
          <w:rFonts w:cs="Arial"/>
          <w:szCs w:val="20"/>
        </w:rPr>
      </w:pPr>
      <w:r w:rsidRPr="00830439">
        <w:rPr>
          <w:rFonts w:cs="Arial"/>
          <w:szCs w:val="20"/>
        </w:rPr>
        <w:t>Ob priprava sporazuma o financiranju je potrebno roke za predložitev zahtevkov za izplačilo uskladiti s plačilnim organom.</w:t>
      </w:r>
    </w:p>
    <w:p w14:paraId="0846CCE4" w14:textId="77777777" w:rsidR="003E3ED9" w:rsidRPr="00830439" w:rsidRDefault="003E3ED9" w:rsidP="003E3ED9">
      <w:pPr>
        <w:tabs>
          <w:tab w:val="right" w:pos="9072"/>
        </w:tabs>
        <w:rPr>
          <w:rFonts w:cs="Arial"/>
          <w:szCs w:val="20"/>
        </w:rPr>
      </w:pPr>
    </w:p>
    <w:p w14:paraId="1F2EFC41" w14:textId="77777777" w:rsidR="003E3ED9" w:rsidRPr="002A1F16" w:rsidRDefault="003E3ED9" w:rsidP="003E3ED9">
      <w:pPr>
        <w:tabs>
          <w:tab w:val="right" w:pos="9072"/>
        </w:tabs>
        <w:jc w:val="both"/>
        <w:rPr>
          <w:rFonts w:cs="Arial"/>
          <w:szCs w:val="20"/>
        </w:rPr>
      </w:pPr>
      <w:r w:rsidRPr="00830439">
        <w:rPr>
          <w:rFonts w:cs="Arial"/>
          <w:szCs w:val="20"/>
        </w:rPr>
        <w:lastRenderedPageBreak/>
        <w:t>Datum nakazila sredstev ESI skladov upravljavcu sklada skladov mora PO napovedati Ministrstvu za finance-CA najmanj 3 mesece pred nakazilom.</w:t>
      </w:r>
      <w:r w:rsidRPr="002A1F16">
        <w:rPr>
          <w:rFonts w:cs="Arial"/>
          <w:szCs w:val="20"/>
        </w:rPr>
        <w:br w:type="page"/>
      </w:r>
    </w:p>
    <w:p w14:paraId="689010A5" w14:textId="77777777" w:rsidR="003E3ED9" w:rsidRPr="002A1F16" w:rsidRDefault="003E3ED9" w:rsidP="003E3ED9">
      <w:pPr>
        <w:spacing w:before="240" w:after="120"/>
        <w:ind w:left="2"/>
        <w:outlineLvl w:val="0"/>
        <w:rPr>
          <w:rFonts w:cs="Arial"/>
          <w:b/>
          <w:color w:val="AACDDB"/>
          <w:szCs w:val="20"/>
        </w:rPr>
      </w:pPr>
      <w:bookmarkStart w:id="49" w:name="_Toc132097834"/>
      <w:r w:rsidRPr="002A1F16">
        <w:rPr>
          <w:rFonts w:cs="Arial"/>
          <w:b/>
          <w:color w:val="AACDDB"/>
          <w:szCs w:val="20"/>
        </w:rPr>
        <w:lastRenderedPageBreak/>
        <w:t>6. OBDOBJE PORABE SREDSTEV</w:t>
      </w:r>
      <w:bookmarkEnd w:id="49"/>
    </w:p>
    <w:p w14:paraId="79DB6B45" w14:textId="77777777" w:rsidR="003E3ED9" w:rsidRPr="002A1F16" w:rsidRDefault="003E3ED9" w:rsidP="003E3ED9">
      <w:pPr>
        <w:jc w:val="both"/>
        <w:rPr>
          <w:rFonts w:cs="Arial"/>
          <w:szCs w:val="20"/>
        </w:rPr>
      </w:pPr>
      <w:r w:rsidRPr="002A1F16">
        <w:rPr>
          <w:rFonts w:cs="Arial"/>
          <w:szCs w:val="20"/>
        </w:rPr>
        <w:t>Sredstva ESIF so lahko upravljavcu sklada skladov nakazana v obdobju od sklenitve sporazuma o financiranju do 31. 12. 2022.</w:t>
      </w:r>
    </w:p>
    <w:p w14:paraId="71AF3465" w14:textId="77777777" w:rsidR="003E3ED9" w:rsidRPr="002A1F16" w:rsidRDefault="003E3ED9" w:rsidP="003E3ED9">
      <w:pPr>
        <w:rPr>
          <w:rFonts w:cs="Arial"/>
          <w:szCs w:val="20"/>
        </w:rPr>
      </w:pPr>
    </w:p>
    <w:p w14:paraId="6979EA1E" w14:textId="77777777" w:rsidR="003E3ED9" w:rsidRPr="002A1F16" w:rsidRDefault="003E3ED9" w:rsidP="003E3ED9">
      <w:pPr>
        <w:jc w:val="both"/>
        <w:rPr>
          <w:rFonts w:cs="Arial"/>
          <w:szCs w:val="20"/>
        </w:rPr>
      </w:pPr>
      <w:r w:rsidRPr="002A1F16">
        <w:rPr>
          <w:rFonts w:cs="Arial"/>
          <w:szCs w:val="20"/>
        </w:rPr>
        <w:t>Skrajni rok za nakazilo sredstev kreditov ali instrumentov lastniškega financiranja ali odobritev garancije končnim prejemnikom (ciljnim skupinam) je 31. 12. 2023 oziroma kasneje v primeru podaljšanja rokov s strani Evropske komisije in se določi s sporazumom o financiranju. Rok se lahko tudi skrajša zaradi postopkov zaključevanja OP 2014-2020.</w:t>
      </w:r>
    </w:p>
    <w:p w14:paraId="0517829A" w14:textId="77777777" w:rsidR="003E3ED9" w:rsidRPr="002A1F16" w:rsidRDefault="003E3ED9" w:rsidP="003E3ED9">
      <w:pPr>
        <w:jc w:val="both"/>
        <w:rPr>
          <w:rFonts w:cs="Arial"/>
          <w:szCs w:val="20"/>
        </w:rPr>
      </w:pPr>
    </w:p>
    <w:p w14:paraId="71FA1187" w14:textId="77777777" w:rsidR="003E3ED9" w:rsidRPr="002A1F16" w:rsidRDefault="003E3ED9" w:rsidP="003E3ED9">
      <w:pPr>
        <w:jc w:val="both"/>
        <w:rPr>
          <w:rFonts w:cs="Arial"/>
          <w:szCs w:val="20"/>
        </w:rPr>
      </w:pPr>
      <w:r w:rsidRPr="002A1F16">
        <w:rPr>
          <w:rFonts w:cs="Arial"/>
          <w:szCs w:val="20"/>
        </w:rPr>
        <w:t>Skladno z 41. in 42. členom Uredbe (EU) št. 1303/2013 pomeni poraba sredstev ESIF za FI in poraba nacionalne udeležbe za FI upravičene izdatke FI za skupen znesek sredstev, ki jih je FI dejansko izplačal oziroma v primeru garancij ali drugih instrumentov prevzema tveganj, odobril v obdobju upravičenosti, kar ustreza:</w:t>
      </w:r>
    </w:p>
    <w:p w14:paraId="217F621A" w14:textId="77777777" w:rsidR="003E3ED9" w:rsidRPr="002A1F16" w:rsidRDefault="003E3ED9" w:rsidP="003E3ED9">
      <w:pPr>
        <w:numPr>
          <w:ilvl w:val="0"/>
          <w:numId w:val="57"/>
        </w:numPr>
        <w:spacing w:line="240" w:lineRule="atLeast"/>
        <w:contextualSpacing/>
        <w:jc w:val="both"/>
        <w:rPr>
          <w:rFonts w:eastAsia="Calibri" w:cs="Arial"/>
          <w:szCs w:val="20"/>
        </w:rPr>
      </w:pPr>
      <w:r w:rsidRPr="002A1F16">
        <w:rPr>
          <w:rFonts w:eastAsia="Calibri" w:cs="Arial"/>
          <w:szCs w:val="20"/>
        </w:rPr>
        <w:t>izplačilom sredstev FI končnim prejemnikom in izplačilo nepovratnih sredstev v kombinaciji s FI na podlagi 7. odstavka 37. člena Uredbe (EU) št. 1303/2013,</w:t>
      </w:r>
    </w:p>
    <w:p w14:paraId="2EE3553D" w14:textId="77777777" w:rsidR="003E3ED9" w:rsidRPr="002A1F16" w:rsidRDefault="003E3ED9" w:rsidP="003E3ED9">
      <w:pPr>
        <w:numPr>
          <w:ilvl w:val="0"/>
          <w:numId w:val="57"/>
        </w:numPr>
        <w:spacing w:line="240" w:lineRule="atLeast"/>
        <w:contextualSpacing/>
        <w:jc w:val="both"/>
        <w:rPr>
          <w:rFonts w:eastAsia="Calibri" w:cs="Arial"/>
          <w:szCs w:val="20"/>
        </w:rPr>
      </w:pPr>
      <w:r w:rsidRPr="002A1F16">
        <w:rPr>
          <w:rFonts w:eastAsia="Calibri" w:cs="Arial"/>
          <w:szCs w:val="20"/>
        </w:rPr>
        <w:t>virom, odobrenim končnim prejemnikom na podlagi garancij in drugih instrumentov prevzema tveganja,</w:t>
      </w:r>
    </w:p>
    <w:p w14:paraId="6249DE2C" w14:textId="77777777" w:rsidR="003E3ED9" w:rsidRPr="002A1F16" w:rsidRDefault="003E3ED9" w:rsidP="003E3ED9">
      <w:pPr>
        <w:numPr>
          <w:ilvl w:val="0"/>
          <w:numId w:val="57"/>
        </w:numPr>
        <w:spacing w:line="240" w:lineRule="atLeast"/>
        <w:contextualSpacing/>
        <w:jc w:val="both"/>
        <w:rPr>
          <w:rFonts w:eastAsia="Calibri" w:cs="Arial"/>
          <w:szCs w:val="20"/>
        </w:rPr>
      </w:pPr>
      <w:r w:rsidRPr="002A1F16">
        <w:rPr>
          <w:rFonts w:eastAsia="Calibri" w:cs="Arial"/>
          <w:szCs w:val="20"/>
        </w:rPr>
        <w:t>kapitaliziranim subvencioniranim obrestnim meram ali subvencioniranim provizijam za garancije, ki ji je treba plačati za največ 10 let po obdobju upravičenosti za naložbe v končne prejemnike v obdobju upravičenosti,</w:t>
      </w:r>
    </w:p>
    <w:p w14:paraId="46DD3618" w14:textId="77777777" w:rsidR="003E3ED9" w:rsidRPr="002A1F16" w:rsidRDefault="003E3ED9" w:rsidP="003E3ED9">
      <w:pPr>
        <w:numPr>
          <w:ilvl w:val="0"/>
          <w:numId w:val="57"/>
        </w:numPr>
        <w:spacing w:line="240" w:lineRule="atLeast"/>
        <w:contextualSpacing/>
        <w:jc w:val="both"/>
        <w:rPr>
          <w:rFonts w:eastAsia="Calibri" w:cs="Arial"/>
          <w:szCs w:val="20"/>
        </w:rPr>
      </w:pPr>
      <w:r w:rsidRPr="002A1F16">
        <w:rPr>
          <w:rFonts w:eastAsia="Calibri" w:cs="Arial"/>
          <w:szCs w:val="20"/>
        </w:rPr>
        <w:t>povračilu nastalih stroškov upravljanja ali plačilu provizij za upravljanje FI.</w:t>
      </w:r>
    </w:p>
    <w:p w14:paraId="2F711714" w14:textId="77777777" w:rsidR="003E3ED9" w:rsidRPr="002A1F16" w:rsidRDefault="003E3ED9" w:rsidP="003E3ED9">
      <w:pPr>
        <w:jc w:val="both"/>
        <w:rPr>
          <w:rFonts w:cs="Arial"/>
          <w:szCs w:val="20"/>
        </w:rPr>
      </w:pPr>
      <w:r w:rsidRPr="002A1F16">
        <w:rPr>
          <w:rFonts w:cs="Arial"/>
          <w:szCs w:val="20"/>
        </w:rPr>
        <w:t>Upravljavec sklada skladov bo pred zaključkom programa pripravil podatke o evidentiranih upravičenih izdatkih ob zaključku obdobja upravičenosti skladno z 42. členom Uredbe (EU) št. 1303/2013. Upravljavec sklada skladov pripravi tudi vsako leto letno poročilo.</w:t>
      </w:r>
    </w:p>
    <w:p w14:paraId="208F245F" w14:textId="77777777" w:rsidR="003E3ED9" w:rsidRPr="002A1F16" w:rsidRDefault="003E3ED9" w:rsidP="003E3ED9">
      <w:pPr>
        <w:jc w:val="both"/>
        <w:rPr>
          <w:rFonts w:cs="Arial"/>
          <w:szCs w:val="20"/>
        </w:rPr>
      </w:pPr>
    </w:p>
    <w:p w14:paraId="2E731CA4" w14:textId="77777777" w:rsidR="003E3ED9" w:rsidRPr="002A1F16" w:rsidRDefault="003E3ED9" w:rsidP="003E3ED9">
      <w:pPr>
        <w:jc w:val="both"/>
        <w:rPr>
          <w:rFonts w:cs="Arial"/>
          <w:szCs w:val="20"/>
        </w:rPr>
      </w:pPr>
      <w:r w:rsidRPr="002A1F16">
        <w:rPr>
          <w:rFonts w:cs="Arial"/>
          <w:szCs w:val="20"/>
        </w:rPr>
        <w:t>Z operacijo sklad skladov se bo zagotavljala dopolnilna ponudba FI na finančnih in kapitalskih trgih. Sredstva ESIF za FI nosijo kreditno tveganje financiranja končnega prejemnika, zato neodplačani krediti in kapital ter unovčene garancije ali drugi instrumenti prevzema tveganja pomenijo oslabitve (izgubo) zmanjšanje sredstev, ki jih je mogoče pripisati ESIF, za ponovno porabo. FI praviloma nosijo večje kreditno tveganje v primerjavi s komercialno ponudbo lastniških in dolžniških instrumentov na trgu oz. se od njih pričakuje nižja donosnost v primerjavi s komercialnimi instrumenti financiranja. Prav tako na višino sredstev za ponovno uporabo, ki jim je mogoče pripisati sredstva ESIF, vplivajo (negativne) obresti in drugi donosi iz naslova prostih sredstev. Finančna tveganja ob sklenitvi sporazuma o financiranju oceni upravljavec sklada skladov na podlagi usklajene naložbene strategije in takšna ocena se v sporazumu o financiranju določi kot delež od sredstev ESIF. Če se ocena finančnih tveganj spremeni zaradi spremembe naložbene strategije, se takšna sprememba uredi s sporazumom o financiranju. Če mora upravljavec sklada skladov zaradi zahtev predpisov oz. zaradi zahtev pristojnih regulatornih, nadzornih ali revizijskih organov spremeniti višino ocene finančnih tveganj, se v sporazumu o financiranju določi nova višina ocene finančnih tveganj. Ne glede na oceno finančnih tveganj upravljavec sklada skladov ali finančni posrednik ne pokriva zmanjšanja vrnjenih sredstev ESIF iz FI.</w:t>
      </w:r>
    </w:p>
    <w:p w14:paraId="111E8809" w14:textId="77777777" w:rsidR="003E3ED9" w:rsidRPr="002A1F16" w:rsidRDefault="003E3ED9" w:rsidP="003E3ED9">
      <w:pPr>
        <w:jc w:val="both"/>
        <w:rPr>
          <w:rFonts w:cs="Arial"/>
          <w:szCs w:val="20"/>
        </w:rPr>
      </w:pPr>
    </w:p>
    <w:p w14:paraId="5B558D8C" w14:textId="77777777" w:rsidR="003E3ED9" w:rsidRPr="002A1F16" w:rsidRDefault="003E3ED9" w:rsidP="003E3ED9">
      <w:pPr>
        <w:jc w:val="both"/>
        <w:rPr>
          <w:rFonts w:cs="Arial"/>
          <w:szCs w:val="20"/>
        </w:rPr>
      </w:pPr>
      <w:r w:rsidRPr="002A1F16">
        <w:rPr>
          <w:rFonts w:cs="Arial"/>
          <w:szCs w:val="20"/>
        </w:rPr>
        <w:t>Izvajanje operacije sklad skladov pa vpliva tudi na (i) likvidnostno tveganje sklada skladov in finančnih posrednikov zaradi morebitnih zamud pri nakazilu sredstev ESIF, (ii) operativno tveganje sklada skladov ter upravljavca sklada skladov in finančnih posrednikov, (iii) tržno tveganje sklada skladov in finančnih posrednikov predvsem zaradi prenizke stopnje komplementarnosti drugih javnih finančnih spodbud za iste ciljne skupine končnih prejemnikov, (iv) tveganje ugleda sklada skladov ter upravljavca sklada skladov in finančnih posrednikov in morebitna druga tveganja.</w:t>
      </w:r>
    </w:p>
    <w:p w14:paraId="7C240A40" w14:textId="77777777" w:rsidR="003E3ED9" w:rsidRPr="002A1F16" w:rsidRDefault="003E3ED9" w:rsidP="003E3ED9">
      <w:pPr>
        <w:rPr>
          <w:rFonts w:cs="Arial"/>
          <w:szCs w:val="20"/>
        </w:rPr>
      </w:pPr>
    </w:p>
    <w:p w14:paraId="0DAA23A7" w14:textId="77777777" w:rsidR="003E3ED9" w:rsidRPr="002A1F16" w:rsidRDefault="003E3ED9" w:rsidP="003E3ED9">
      <w:pPr>
        <w:jc w:val="both"/>
        <w:rPr>
          <w:rFonts w:cs="Arial"/>
          <w:szCs w:val="20"/>
        </w:rPr>
      </w:pPr>
      <w:r w:rsidRPr="002A1F16">
        <w:rPr>
          <w:rFonts w:cs="Arial"/>
          <w:szCs w:val="20"/>
        </w:rPr>
        <w:t xml:space="preserve">Tveganje izgube sredstev predstavljajo unovčena garancija, </w:t>
      </w:r>
      <w:proofErr w:type="spellStart"/>
      <w:r w:rsidRPr="002A1F16">
        <w:rPr>
          <w:rFonts w:cs="Arial"/>
          <w:szCs w:val="20"/>
        </w:rPr>
        <w:t>nevračilo</w:t>
      </w:r>
      <w:proofErr w:type="spellEnd"/>
      <w:r w:rsidRPr="002A1F16">
        <w:rPr>
          <w:rFonts w:cs="Arial"/>
          <w:szCs w:val="20"/>
        </w:rPr>
        <w:t xml:space="preserve"> kredita ali slaba lastniška naložba, ki pomeni, da pri izstopu iz naložbe izgubimo del ali vsa sredstva. Glede na dosedanje </w:t>
      </w:r>
      <w:r w:rsidRPr="002A1F16">
        <w:rPr>
          <w:rFonts w:cs="Arial"/>
          <w:szCs w:val="20"/>
        </w:rPr>
        <w:lastRenderedPageBreak/>
        <w:t>izkušnje, izvedene evalvacije in stanje na trgu so predvidena tveganja za prvo porabo sredstev na nivoju sklada skladov in sicer ocenjujemo, da je lahko tveganje izgube sredstev 30 % v odvisnosti od produkta in ciljnih skupin, za namen doseganja ciljev pa tudi višje. Za posamezne FI pripravi analizo tveganja upravljavec sklada skladov.</w:t>
      </w:r>
    </w:p>
    <w:p w14:paraId="53266E72" w14:textId="77777777" w:rsidR="003E3ED9" w:rsidRPr="002A1F16" w:rsidRDefault="003E3ED9" w:rsidP="003E3ED9">
      <w:pPr>
        <w:rPr>
          <w:rFonts w:cs="Arial"/>
          <w:szCs w:val="20"/>
        </w:rPr>
      </w:pPr>
      <w:r w:rsidRPr="002A1F16">
        <w:rPr>
          <w:rFonts w:cs="Arial"/>
          <w:szCs w:val="20"/>
        </w:rPr>
        <w:br w:type="page"/>
      </w:r>
    </w:p>
    <w:p w14:paraId="0467EEC6" w14:textId="77777777" w:rsidR="003E3ED9" w:rsidRPr="002A1F16" w:rsidRDefault="003E3ED9" w:rsidP="003E3ED9">
      <w:pPr>
        <w:spacing w:before="240" w:after="120"/>
        <w:ind w:left="2"/>
        <w:outlineLvl w:val="0"/>
        <w:rPr>
          <w:rFonts w:cs="Arial"/>
          <w:b/>
          <w:color w:val="AACDDB"/>
          <w:szCs w:val="20"/>
        </w:rPr>
      </w:pPr>
      <w:bookmarkStart w:id="50" w:name="_Toc132097835"/>
      <w:r w:rsidRPr="002A1F16">
        <w:rPr>
          <w:rFonts w:cs="Arial"/>
          <w:b/>
          <w:color w:val="AACDDB"/>
          <w:szCs w:val="20"/>
        </w:rPr>
        <w:lastRenderedPageBreak/>
        <w:t>7. NAČIN PONOVNE UPORABE SREDSTEV</w:t>
      </w:r>
      <w:bookmarkEnd w:id="50"/>
    </w:p>
    <w:p w14:paraId="223FCFDD" w14:textId="77777777" w:rsidR="003E3ED9" w:rsidRPr="00830439" w:rsidRDefault="003E3ED9" w:rsidP="003E3ED9">
      <w:pPr>
        <w:spacing w:line="240" w:lineRule="auto"/>
        <w:jc w:val="both"/>
        <w:rPr>
          <w:rFonts w:cs="Arial"/>
          <w:szCs w:val="20"/>
        </w:rPr>
      </w:pPr>
      <w:r w:rsidRPr="00830439">
        <w:rPr>
          <w:rFonts w:cs="Arial"/>
          <w:szCs w:val="20"/>
        </w:rPr>
        <w:t>Ponovna uporaba sredstev iz naložb je okvirno predvidena v Predhodni oceni FI. Skladno s 44. členom Uredbe (EU) št. 1303/2013 je možno ponovno uporabiti sredstva do konca obdobja upravičenosti, in sicer za:</w:t>
      </w:r>
    </w:p>
    <w:p w14:paraId="05161207" w14:textId="77777777" w:rsidR="003E3ED9" w:rsidRPr="00830439" w:rsidRDefault="003E3ED9" w:rsidP="003E3ED9">
      <w:pPr>
        <w:numPr>
          <w:ilvl w:val="0"/>
          <w:numId w:val="57"/>
        </w:numPr>
        <w:spacing w:line="240" w:lineRule="auto"/>
        <w:contextualSpacing/>
        <w:jc w:val="both"/>
        <w:rPr>
          <w:rFonts w:eastAsia="Calibri" w:cs="Arial"/>
          <w:szCs w:val="20"/>
        </w:rPr>
      </w:pPr>
      <w:r w:rsidRPr="00830439">
        <w:rPr>
          <w:rFonts w:eastAsia="Calibri" w:cs="Arial"/>
          <w:szCs w:val="20"/>
        </w:rPr>
        <w:t>nadaljnje naložbe z istimi ali drugimi FI,</w:t>
      </w:r>
    </w:p>
    <w:p w14:paraId="3ABE479F" w14:textId="77777777" w:rsidR="003E3ED9" w:rsidRPr="00830439" w:rsidRDefault="003E3ED9" w:rsidP="003E3ED9">
      <w:pPr>
        <w:numPr>
          <w:ilvl w:val="0"/>
          <w:numId w:val="57"/>
        </w:numPr>
        <w:spacing w:line="240" w:lineRule="auto"/>
        <w:contextualSpacing/>
        <w:jc w:val="both"/>
        <w:rPr>
          <w:rFonts w:eastAsia="Calibri" w:cs="Arial"/>
          <w:szCs w:val="20"/>
        </w:rPr>
      </w:pPr>
      <w:r w:rsidRPr="00830439">
        <w:rPr>
          <w:rFonts w:eastAsia="Calibri" w:cs="Arial"/>
          <w:szCs w:val="20"/>
        </w:rPr>
        <w:t>preferenčno izplačilo zasebnih ali javnih vlagateljev in</w:t>
      </w:r>
    </w:p>
    <w:p w14:paraId="30CE77A1" w14:textId="77777777" w:rsidR="003E3ED9" w:rsidRPr="00830439" w:rsidRDefault="003E3ED9" w:rsidP="003E3ED9">
      <w:pPr>
        <w:numPr>
          <w:ilvl w:val="0"/>
          <w:numId w:val="57"/>
        </w:numPr>
        <w:spacing w:line="240" w:lineRule="auto"/>
        <w:contextualSpacing/>
        <w:jc w:val="both"/>
        <w:rPr>
          <w:rFonts w:eastAsia="Calibri" w:cs="Arial"/>
          <w:szCs w:val="20"/>
        </w:rPr>
      </w:pPr>
      <w:r w:rsidRPr="00830439">
        <w:rPr>
          <w:rFonts w:eastAsia="Calibri" w:cs="Arial"/>
          <w:szCs w:val="20"/>
        </w:rPr>
        <w:t>povračilo nastalih stroškov upravljanja in plačilo provizij za upravljanje FI.</w:t>
      </w:r>
    </w:p>
    <w:p w14:paraId="7BD01F4C" w14:textId="77777777" w:rsidR="003E3ED9" w:rsidRPr="00830439" w:rsidRDefault="003E3ED9" w:rsidP="003E3ED9">
      <w:pPr>
        <w:spacing w:line="240" w:lineRule="auto"/>
        <w:jc w:val="both"/>
        <w:rPr>
          <w:rFonts w:cs="Arial"/>
          <w:szCs w:val="20"/>
        </w:rPr>
      </w:pPr>
      <w:r w:rsidRPr="00830439">
        <w:rPr>
          <w:rFonts w:cs="Arial"/>
          <w:szCs w:val="20"/>
        </w:rPr>
        <w:t xml:space="preserve">Ob sprostitvi sredstev (i) oblikovanih rezervacij za izdane garancije in kredite, ki nastopi ob celotnem poplačilu posameznega kredita s strani končnih prejemnikov, ali (ii) vseh kreditov s strani končnih prejemnikov ali (iii) izstopa iz naložb lastniškega financiranja sredstva evropske kohezijske politike upravljavec sklada skladov zbira na ločenem podračunu računa pri finančni instituciji v državi članici EU. Na tem podračunu upravljavec sklada skladov zbira tudi dobičke ter druge dohodke ali donose, ustvarjene v obdobju najmanj osem let po koncu obdobja upravičenosti, ki se lahko pripišejo podpori FI iz sredstev ESIF. Upravljavec sklada skladov ta sredstva lahko začasno vloži v skladu z načeli dobrega finančnega </w:t>
      </w:r>
      <w:proofErr w:type="spellStart"/>
      <w:r w:rsidRPr="00830439">
        <w:rPr>
          <w:rFonts w:cs="Arial"/>
          <w:szCs w:val="20"/>
        </w:rPr>
        <w:t>poslovodenja</w:t>
      </w:r>
      <w:proofErr w:type="spellEnd"/>
      <w:r w:rsidRPr="00830439">
        <w:rPr>
          <w:rFonts w:cs="Arial"/>
          <w:szCs w:val="20"/>
        </w:rPr>
        <w:t xml:space="preserve">, obresti in druge dobičke iz takšnega </w:t>
      </w:r>
      <w:proofErr w:type="spellStart"/>
      <w:r w:rsidRPr="00830439">
        <w:rPr>
          <w:rFonts w:cs="Arial"/>
          <w:szCs w:val="20"/>
        </w:rPr>
        <w:t>naložbenja</w:t>
      </w:r>
      <w:proofErr w:type="spellEnd"/>
      <w:r w:rsidRPr="00830439">
        <w:rPr>
          <w:rFonts w:cs="Arial"/>
          <w:szCs w:val="20"/>
        </w:rPr>
        <w:t xml:space="preserve"> prostih sredstev pa zbira na podračunu. Strategijo </w:t>
      </w:r>
      <w:proofErr w:type="spellStart"/>
      <w:r w:rsidRPr="00830439">
        <w:rPr>
          <w:rFonts w:cs="Arial"/>
          <w:szCs w:val="20"/>
        </w:rPr>
        <w:t>naložbenja</w:t>
      </w:r>
      <w:proofErr w:type="spellEnd"/>
      <w:r w:rsidRPr="00830439">
        <w:rPr>
          <w:rFonts w:cs="Arial"/>
          <w:szCs w:val="20"/>
        </w:rPr>
        <w:t xml:space="preserve"> takšnih sredstev upravljavec sklada skladov in PO dogovorita v sporazumu o financiranju v skladu z načeli dobrega finančnega </w:t>
      </w:r>
      <w:proofErr w:type="spellStart"/>
      <w:r w:rsidRPr="00830439">
        <w:rPr>
          <w:rFonts w:cs="Arial"/>
          <w:szCs w:val="20"/>
        </w:rPr>
        <w:t>poslovodenja</w:t>
      </w:r>
      <w:proofErr w:type="spellEnd"/>
      <w:r w:rsidRPr="00830439">
        <w:rPr>
          <w:rFonts w:cs="Arial"/>
          <w:szCs w:val="20"/>
        </w:rPr>
        <w:t xml:space="preserve">. Eventualni negativni donosi, obresti in izgube so v okviru politike </w:t>
      </w:r>
      <w:proofErr w:type="spellStart"/>
      <w:r w:rsidRPr="00830439">
        <w:rPr>
          <w:rFonts w:cs="Arial"/>
          <w:szCs w:val="20"/>
        </w:rPr>
        <w:t>naložbenja</w:t>
      </w:r>
      <w:proofErr w:type="spellEnd"/>
      <w:r w:rsidRPr="00830439">
        <w:rPr>
          <w:rFonts w:cs="Arial"/>
          <w:szCs w:val="20"/>
        </w:rPr>
        <w:t xml:space="preserve"> in upravljanja prostih sredstev, ki jo dogovorita PO in upravljavec sklada skladov v sporazumu o financiranju, in so v breme sklada skladov.</w:t>
      </w:r>
    </w:p>
    <w:p w14:paraId="7A4D8F35" w14:textId="77777777" w:rsidR="003E3ED9" w:rsidRPr="00830439" w:rsidRDefault="003E3ED9" w:rsidP="003E3ED9">
      <w:pPr>
        <w:spacing w:line="240" w:lineRule="auto"/>
        <w:jc w:val="both"/>
        <w:rPr>
          <w:rFonts w:cs="Arial"/>
          <w:szCs w:val="20"/>
        </w:rPr>
      </w:pPr>
    </w:p>
    <w:p w14:paraId="0C7BD3FA" w14:textId="77777777" w:rsidR="003E3ED9" w:rsidRPr="00830439" w:rsidRDefault="003E3ED9" w:rsidP="003E3ED9">
      <w:pPr>
        <w:spacing w:line="240" w:lineRule="auto"/>
        <w:jc w:val="both"/>
        <w:rPr>
          <w:rFonts w:cs="Arial"/>
          <w:szCs w:val="20"/>
        </w:rPr>
      </w:pPr>
      <w:r w:rsidRPr="00830439">
        <w:rPr>
          <w:rFonts w:cs="Arial"/>
          <w:szCs w:val="20"/>
        </w:rPr>
        <w:t>Sredstva iz prejšnjega odstavka upravljavec sklada skladov ponovno uporabi skladno z namenom in cilji, ki jih bodo določili MGTŠ, MZI in MOP.</w:t>
      </w:r>
    </w:p>
    <w:p w14:paraId="057FCAB5" w14:textId="77777777" w:rsidR="003E3ED9" w:rsidRPr="00830439" w:rsidRDefault="003E3ED9" w:rsidP="003E3ED9">
      <w:pPr>
        <w:spacing w:line="240" w:lineRule="auto"/>
        <w:jc w:val="both"/>
        <w:rPr>
          <w:rFonts w:cs="Arial"/>
          <w:szCs w:val="20"/>
        </w:rPr>
      </w:pPr>
    </w:p>
    <w:p w14:paraId="12902DAA" w14:textId="77777777" w:rsidR="003E3ED9" w:rsidRPr="00830439" w:rsidRDefault="003E3ED9" w:rsidP="003E3ED9">
      <w:pPr>
        <w:spacing w:line="240" w:lineRule="auto"/>
        <w:jc w:val="both"/>
        <w:rPr>
          <w:rFonts w:cs="Arial"/>
          <w:szCs w:val="20"/>
        </w:rPr>
      </w:pPr>
      <w:r w:rsidRPr="00830439">
        <w:rPr>
          <w:rFonts w:cs="Arial"/>
          <w:szCs w:val="20"/>
        </w:rPr>
        <w:t>Upravljavec sklada skladov bo spremljal ponovno porabo sredstev in o tem poročal PO. PO bo seznanil o tem Usmerjevalni odbor FI, ki bo podal mnenje. Ponovna uporaba sredstev se podrobneje opredeli v sporazumu o financiranju.</w:t>
      </w:r>
    </w:p>
    <w:p w14:paraId="4034972B" w14:textId="77777777" w:rsidR="003E3ED9" w:rsidRPr="00830439" w:rsidRDefault="003E3ED9" w:rsidP="003E3ED9">
      <w:pPr>
        <w:spacing w:line="240" w:lineRule="auto"/>
        <w:jc w:val="both"/>
        <w:rPr>
          <w:rFonts w:cs="Arial"/>
          <w:szCs w:val="20"/>
        </w:rPr>
      </w:pPr>
    </w:p>
    <w:p w14:paraId="3C98203E" w14:textId="77777777" w:rsidR="003E3ED9" w:rsidRPr="00830439" w:rsidRDefault="003E3ED9" w:rsidP="003E3ED9">
      <w:pPr>
        <w:spacing w:line="240" w:lineRule="auto"/>
        <w:jc w:val="both"/>
        <w:rPr>
          <w:rFonts w:cs="Arial"/>
          <w:szCs w:val="20"/>
        </w:rPr>
      </w:pPr>
      <w:r w:rsidRPr="00830439">
        <w:rPr>
          <w:rFonts w:cs="Arial"/>
          <w:szCs w:val="20"/>
        </w:rPr>
        <w:t>V kolikor prva poraba sredstev ESIF ne bo dosegala plana prve porabe sredstev ESIF iz sporazuma o financiranju ali v primeru nedoseganja ciljev, bo upravljavec sklada skladov pripravil poročilo o razlogih za odstopanja od plana. PO in upravljavec sklada skladov lahko dogovorita spremembo naložbene strategije sklada skladov ali druge ukrepe, katerih okvir je opredeljen v sporazumu o financiranju (npr. posodobitev/ revizija predhodne ocene, prerazporeditev med FI, prilagoditev produktov itn., v skrajnem primeru tudi sprememba upravljavca sklada skladov).</w:t>
      </w:r>
    </w:p>
    <w:p w14:paraId="3319B946" w14:textId="77777777" w:rsidR="003E3ED9" w:rsidRPr="00830439" w:rsidRDefault="003E3ED9" w:rsidP="003E3ED9">
      <w:pPr>
        <w:spacing w:line="240" w:lineRule="auto"/>
        <w:rPr>
          <w:rFonts w:cs="Arial"/>
          <w:szCs w:val="20"/>
        </w:rPr>
      </w:pPr>
    </w:p>
    <w:p w14:paraId="7CE58898" w14:textId="77777777" w:rsidR="003E3ED9" w:rsidRPr="00830439" w:rsidRDefault="003E3ED9" w:rsidP="003E3ED9">
      <w:pPr>
        <w:spacing w:line="240" w:lineRule="auto"/>
        <w:jc w:val="both"/>
        <w:rPr>
          <w:rFonts w:cs="Arial"/>
          <w:szCs w:val="20"/>
        </w:rPr>
      </w:pPr>
      <w:r w:rsidRPr="00830439">
        <w:rPr>
          <w:rFonts w:cs="Arial"/>
          <w:szCs w:val="20"/>
        </w:rPr>
        <w:t>Sredstva uporablja upravljavec sklada skladov najmanj 8 let po zaključku upravičenega obdobja za iste namene skladno s 44. in 45. členom Uredbe  (EU) št.1303/2013.</w:t>
      </w:r>
    </w:p>
    <w:p w14:paraId="0CB62B14" w14:textId="77777777" w:rsidR="003E3ED9" w:rsidRPr="002A1F16" w:rsidRDefault="003E3ED9" w:rsidP="003E3ED9">
      <w:pPr>
        <w:rPr>
          <w:rFonts w:cs="Arial"/>
          <w:szCs w:val="20"/>
        </w:rPr>
      </w:pPr>
      <w:r w:rsidRPr="002A1F16">
        <w:rPr>
          <w:rFonts w:cs="Arial"/>
          <w:szCs w:val="20"/>
        </w:rPr>
        <w:br w:type="page"/>
      </w:r>
    </w:p>
    <w:p w14:paraId="439F5B7B" w14:textId="77777777" w:rsidR="003E3ED9" w:rsidRPr="002A1F16" w:rsidRDefault="003E3ED9" w:rsidP="003E3ED9">
      <w:pPr>
        <w:spacing w:before="240" w:after="120"/>
        <w:ind w:left="2"/>
        <w:outlineLvl w:val="0"/>
        <w:rPr>
          <w:rFonts w:cs="Arial"/>
          <w:b/>
          <w:color w:val="AACDDB"/>
          <w:szCs w:val="20"/>
        </w:rPr>
      </w:pPr>
      <w:bookmarkStart w:id="51" w:name="_Toc132097836"/>
      <w:r w:rsidRPr="002A1F16">
        <w:rPr>
          <w:rFonts w:cs="Arial"/>
          <w:b/>
          <w:color w:val="AACDDB"/>
          <w:szCs w:val="20"/>
        </w:rPr>
        <w:lastRenderedPageBreak/>
        <w:t>8. OBRESTI IN DRUGI DONOSI OD FI</w:t>
      </w:r>
      <w:bookmarkEnd w:id="51"/>
    </w:p>
    <w:p w14:paraId="538566E2" w14:textId="77777777" w:rsidR="003E3ED9" w:rsidRPr="002A1F16" w:rsidRDefault="003E3ED9" w:rsidP="003E3ED9">
      <w:pPr>
        <w:jc w:val="both"/>
        <w:rPr>
          <w:rFonts w:cs="Arial"/>
          <w:szCs w:val="20"/>
        </w:rPr>
      </w:pPr>
      <w:r w:rsidRPr="002A1F16">
        <w:rPr>
          <w:rFonts w:cs="Arial"/>
          <w:szCs w:val="20"/>
        </w:rPr>
        <w:t xml:space="preserve">Sredstva ESIF so nakazana upravljavcu sklada skladov se skladno z 43. členom Uredbe (EU) št. 1303/2013. V ta namen mora upravljavec sklada skladov zagotoviti ločen podračun računa pri finančni instituciji v državi članici EU. Upravljavec sklada skladov ta sredstva lahko začasno vloži v skladu z načeli dobrega finančnega </w:t>
      </w:r>
      <w:proofErr w:type="spellStart"/>
      <w:r w:rsidRPr="002A1F16">
        <w:rPr>
          <w:rFonts w:cs="Arial"/>
          <w:szCs w:val="20"/>
        </w:rPr>
        <w:t>poslovodenja</w:t>
      </w:r>
      <w:proofErr w:type="spellEnd"/>
      <w:r w:rsidRPr="002A1F16">
        <w:rPr>
          <w:rFonts w:cs="Arial"/>
          <w:szCs w:val="20"/>
        </w:rPr>
        <w:t>.</w:t>
      </w:r>
    </w:p>
    <w:p w14:paraId="3FC8C6D7" w14:textId="77777777" w:rsidR="003E3ED9" w:rsidRPr="002A1F16" w:rsidRDefault="003E3ED9" w:rsidP="003E3ED9">
      <w:pPr>
        <w:jc w:val="both"/>
        <w:rPr>
          <w:rFonts w:cs="Arial"/>
          <w:szCs w:val="20"/>
        </w:rPr>
      </w:pPr>
    </w:p>
    <w:p w14:paraId="1480FEAC" w14:textId="77777777" w:rsidR="003E3ED9" w:rsidRPr="002A1F16" w:rsidRDefault="003E3ED9" w:rsidP="003E3ED9">
      <w:pPr>
        <w:jc w:val="both"/>
        <w:rPr>
          <w:rFonts w:cs="Arial"/>
          <w:szCs w:val="20"/>
        </w:rPr>
      </w:pPr>
      <w:r w:rsidRPr="002A1F16">
        <w:rPr>
          <w:rFonts w:cs="Arial"/>
          <w:szCs w:val="20"/>
        </w:rPr>
        <w:t xml:space="preserve">Strategijo </w:t>
      </w:r>
      <w:proofErr w:type="spellStart"/>
      <w:r w:rsidRPr="002A1F16">
        <w:rPr>
          <w:rFonts w:cs="Arial"/>
          <w:szCs w:val="20"/>
        </w:rPr>
        <w:t>naložbenja</w:t>
      </w:r>
      <w:proofErr w:type="spellEnd"/>
      <w:r w:rsidRPr="002A1F16">
        <w:rPr>
          <w:rFonts w:cs="Arial"/>
          <w:szCs w:val="20"/>
        </w:rPr>
        <w:t xml:space="preserve"> takšnih sredstev upravljavec sklada skladov in PO dogovorita v sporazumu o financiranju. Na tem podračunu upravljavec sklada skladov zbira obresti in druge dobičke iz takšnega </w:t>
      </w:r>
      <w:proofErr w:type="spellStart"/>
      <w:r w:rsidRPr="002A1F16">
        <w:rPr>
          <w:rFonts w:cs="Arial"/>
          <w:szCs w:val="20"/>
        </w:rPr>
        <w:t>naložbenja</w:t>
      </w:r>
      <w:proofErr w:type="spellEnd"/>
      <w:r w:rsidRPr="002A1F16">
        <w:rPr>
          <w:rFonts w:cs="Arial"/>
          <w:szCs w:val="20"/>
        </w:rPr>
        <w:t xml:space="preserve"> prostih sredstev. Upravljavec sklada skladov mora voditi evidenco o takšnih obrestih in drugih dobičkih. Takšne obresti in dobički povečujejo sredstva ESIF in jih mora upravljavec sklada skladov uporabiti za namene in vsebino, kot izhajajo iz ciljev OP 2014-2020, vključno s plačilom provizij za upravljanje finančnega instrumenta, ter skladno s 44. in 45. členom Uredbe (EU) št. 1303/2013. Eventualni negativni donosi, obresti in izgube so v okviru politike </w:t>
      </w:r>
      <w:proofErr w:type="spellStart"/>
      <w:r w:rsidRPr="002A1F16">
        <w:rPr>
          <w:rFonts w:cs="Arial"/>
          <w:szCs w:val="20"/>
        </w:rPr>
        <w:t>naložbenja</w:t>
      </w:r>
      <w:proofErr w:type="spellEnd"/>
      <w:r w:rsidRPr="002A1F16">
        <w:rPr>
          <w:rFonts w:cs="Arial"/>
          <w:szCs w:val="20"/>
        </w:rPr>
        <w:t xml:space="preserve"> in upravljanja prostih sredstev, ki jo dogovorita PO in upravljavec sklada skladov v sporazumu o financiranju, in gredo v breme sklada skladov.</w:t>
      </w:r>
    </w:p>
    <w:p w14:paraId="33B6DAC9" w14:textId="77777777" w:rsidR="003E3ED9" w:rsidRPr="002A1F16" w:rsidRDefault="003E3ED9" w:rsidP="003E3ED9">
      <w:pPr>
        <w:rPr>
          <w:rFonts w:cs="Arial"/>
          <w:szCs w:val="20"/>
        </w:rPr>
      </w:pPr>
      <w:r w:rsidRPr="002A1F16">
        <w:rPr>
          <w:rFonts w:cs="Arial"/>
          <w:szCs w:val="20"/>
        </w:rPr>
        <w:br w:type="page"/>
      </w:r>
    </w:p>
    <w:p w14:paraId="08F423BE" w14:textId="77777777" w:rsidR="003E3ED9" w:rsidRPr="002A1F16" w:rsidRDefault="003E3ED9" w:rsidP="003E3ED9">
      <w:pPr>
        <w:spacing w:before="240" w:after="120"/>
        <w:ind w:left="2"/>
        <w:outlineLvl w:val="0"/>
        <w:rPr>
          <w:rFonts w:cs="Arial"/>
          <w:b/>
          <w:color w:val="AACDDB"/>
          <w:szCs w:val="20"/>
        </w:rPr>
      </w:pPr>
      <w:bookmarkStart w:id="52" w:name="_Toc132097837"/>
      <w:r w:rsidRPr="002A1F16">
        <w:rPr>
          <w:rFonts w:cs="Arial"/>
          <w:b/>
          <w:color w:val="AACDDB"/>
          <w:szCs w:val="20"/>
        </w:rPr>
        <w:lastRenderedPageBreak/>
        <w:t>9. POGOJI PRISPEVKA V FI</w:t>
      </w:r>
      <w:bookmarkEnd w:id="52"/>
    </w:p>
    <w:p w14:paraId="190BF7E2" w14:textId="77777777" w:rsidR="003E3ED9" w:rsidRPr="00830439" w:rsidRDefault="003E3ED9" w:rsidP="003E3ED9">
      <w:pPr>
        <w:tabs>
          <w:tab w:val="right" w:pos="9072"/>
        </w:tabs>
        <w:jc w:val="both"/>
        <w:rPr>
          <w:rFonts w:cs="Arial"/>
          <w:szCs w:val="20"/>
        </w:rPr>
      </w:pPr>
      <w:r w:rsidRPr="00830439">
        <w:rPr>
          <w:rFonts w:cs="Arial"/>
          <w:szCs w:val="20"/>
        </w:rPr>
        <w:t>Sredstva vplačana iz sredstev kohezijske politike in drugih virov se uporabljajo skladno z opredeljenimi cilji, ki izhajajo iz OP 2014-2020 in ciljno skupino. FI se izvajajo na področju celotne Slovenije – sredstva so razdeljena na vzhodno in zahodno kohezijsko regijo.</w:t>
      </w:r>
    </w:p>
    <w:p w14:paraId="7B3153FE" w14:textId="77777777" w:rsidR="003E3ED9" w:rsidRPr="00830439" w:rsidRDefault="003E3ED9" w:rsidP="003E3ED9">
      <w:pPr>
        <w:tabs>
          <w:tab w:val="right" w:pos="9072"/>
        </w:tabs>
        <w:jc w:val="both"/>
        <w:rPr>
          <w:rFonts w:cs="Arial"/>
          <w:szCs w:val="20"/>
        </w:rPr>
      </w:pPr>
    </w:p>
    <w:p w14:paraId="2E702EA3" w14:textId="77777777" w:rsidR="003E3ED9" w:rsidRPr="00830439" w:rsidRDefault="003E3ED9" w:rsidP="003E3ED9">
      <w:pPr>
        <w:tabs>
          <w:tab w:val="right" w:pos="9072"/>
        </w:tabs>
        <w:jc w:val="both"/>
        <w:rPr>
          <w:rFonts w:cs="Arial"/>
          <w:szCs w:val="20"/>
        </w:rPr>
      </w:pPr>
      <w:r w:rsidRPr="00830439">
        <w:rPr>
          <w:rFonts w:cs="Arial"/>
          <w:szCs w:val="20"/>
        </w:rPr>
        <w:t>Upravičeni izdatki predstavljajo skladno z 42. členom Uredbe (EU) št. 1303/2013 skupni znesek, ki jih je finančni instrument dejansko izplačal ali, v primeru garancij, odobril v obdobju upravičenosti, kar ustreza:</w:t>
      </w:r>
    </w:p>
    <w:p w14:paraId="20B9E454" w14:textId="77777777" w:rsidR="003E3ED9" w:rsidRPr="00830439" w:rsidRDefault="003E3ED9" w:rsidP="003E3ED9">
      <w:pPr>
        <w:numPr>
          <w:ilvl w:val="0"/>
          <w:numId w:val="1"/>
        </w:numPr>
        <w:tabs>
          <w:tab w:val="right" w:pos="9072"/>
        </w:tabs>
        <w:spacing w:line="240" w:lineRule="atLeast"/>
        <w:contextualSpacing/>
        <w:jc w:val="both"/>
        <w:rPr>
          <w:rFonts w:eastAsia="Calibri" w:cs="Arial"/>
          <w:szCs w:val="20"/>
        </w:rPr>
      </w:pPr>
      <w:r w:rsidRPr="00830439">
        <w:rPr>
          <w:rFonts w:eastAsia="Calibri" w:cs="Arial"/>
          <w:szCs w:val="20"/>
        </w:rPr>
        <w:t>izplačilom končnim prejemnikom, v primerih iz 7. odstavka 37. člena Uredbe (EU) št. 1303/2013 pa izplačilo, v korist končnih prejemnikov,</w:t>
      </w:r>
    </w:p>
    <w:p w14:paraId="16793E70" w14:textId="77777777" w:rsidR="003E3ED9" w:rsidRPr="00830439" w:rsidRDefault="003E3ED9" w:rsidP="003E3ED9">
      <w:pPr>
        <w:numPr>
          <w:ilvl w:val="0"/>
          <w:numId w:val="1"/>
        </w:numPr>
        <w:tabs>
          <w:tab w:val="right" w:pos="9072"/>
        </w:tabs>
        <w:spacing w:line="240" w:lineRule="atLeast"/>
        <w:contextualSpacing/>
        <w:jc w:val="both"/>
        <w:rPr>
          <w:rFonts w:eastAsia="Calibri" w:cs="Arial"/>
          <w:szCs w:val="20"/>
        </w:rPr>
      </w:pPr>
      <w:r w:rsidRPr="00830439">
        <w:rPr>
          <w:rFonts w:eastAsia="Calibri" w:cs="Arial"/>
          <w:szCs w:val="20"/>
        </w:rPr>
        <w:t>virom, odobrenimi za pogodbe o garancijah, neporavnanim ali zapadlim,</w:t>
      </w:r>
    </w:p>
    <w:p w14:paraId="445D12F2" w14:textId="77777777" w:rsidR="003E3ED9" w:rsidRPr="00830439" w:rsidRDefault="003E3ED9" w:rsidP="003E3ED9">
      <w:pPr>
        <w:numPr>
          <w:ilvl w:val="0"/>
          <w:numId w:val="1"/>
        </w:numPr>
        <w:tabs>
          <w:tab w:val="right" w:pos="9072"/>
        </w:tabs>
        <w:spacing w:line="240" w:lineRule="atLeast"/>
        <w:contextualSpacing/>
        <w:jc w:val="both"/>
        <w:rPr>
          <w:rFonts w:eastAsia="Calibri" w:cs="Arial"/>
          <w:szCs w:val="20"/>
        </w:rPr>
      </w:pPr>
      <w:r w:rsidRPr="00830439">
        <w:rPr>
          <w:rFonts w:eastAsia="Calibri" w:cs="Arial"/>
          <w:szCs w:val="20"/>
        </w:rPr>
        <w:t>kapitaliziranim subvencioniranim obrestnim meram ali subvencioniranim provizijam za jamstvo,</w:t>
      </w:r>
    </w:p>
    <w:p w14:paraId="41ACB9F6" w14:textId="77777777" w:rsidR="003E3ED9" w:rsidRPr="00830439" w:rsidRDefault="003E3ED9" w:rsidP="003E3ED9">
      <w:pPr>
        <w:numPr>
          <w:ilvl w:val="0"/>
          <w:numId w:val="1"/>
        </w:numPr>
        <w:tabs>
          <w:tab w:val="right" w:pos="9072"/>
        </w:tabs>
        <w:spacing w:line="240" w:lineRule="atLeast"/>
        <w:contextualSpacing/>
        <w:jc w:val="both"/>
        <w:rPr>
          <w:rFonts w:eastAsia="Calibri" w:cs="Arial"/>
          <w:szCs w:val="20"/>
        </w:rPr>
      </w:pPr>
      <w:r w:rsidRPr="00830439">
        <w:rPr>
          <w:rFonts w:eastAsia="Calibri" w:cs="Arial"/>
          <w:szCs w:val="20"/>
        </w:rPr>
        <w:t>povračilu nastalih stroškov upravljanja ali plačilu provizij za upravljanje FI.</w:t>
      </w:r>
    </w:p>
    <w:p w14:paraId="1A66E95D" w14:textId="77777777" w:rsidR="003E3ED9" w:rsidRPr="00830439" w:rsidRDefault="003E3ED9" w:rsidP="003E3ED9">
      <w:pPr>
        <w:tabs>
          <w:tab w:val="right" w:pos="9072"/>
        </w:tabs>
        <w:jc w:val="both"/>
        <w:rPr>
          <w:rFonts w:cs="Arial"/>
          <w:szCs w:val="20"/>
        </w:rPr>
      </w:pPr>
      <w:r w:rsidRPr="00830439">
        <w:rPr>
          <w:rFonts w:cs="Arial"/>
          <w:szCs w:val="20"/>
        </w:rPr>
        <w:t>Upravljavec sklada skladov bo moral upoštevati pogoje na ravni posameznega FI skladno z naložbeno strategijo: učinek finančnega vzvoda, obrestna mera, vodenje posebnih evidenc, hranjenje dokumentacije, spremljanje državnih pomoči, informiranje in obveščanje in druge pogoje. Pogoji se podrobneje določijo v finančnem sporazumu med PO in skladom skladov.</w:t>
      </w:r>
    </w:p>
    <w:p w14:paraId="791343D6" w14:textId="77777777" w:rsidR="003E3ED9" w:rsidRPr="00830439" w:rsidRDefault="003E3ED9" w:rsidP="003E3ED9">
      <w:pPr>
        <w:tabs>
          <w:tab w:val="right" w:pos="9072"/>
        </w:tabs>
        <w:jc w:val="both"/>
        <w:rPr>
          <w:rFonts w:cs="Arial"/>
          <w:szCs w:val="20"/>
        </w:rPr>
      </w:pPr>
    </w:p>
    <w:p w14:paraId="731E6BA4" w14:textId="77777777" w:rsidR="003E3ED9" w:rsidRPr="002A1F16" w:rsidRDefault="003E3ED9" w:rsidP="003E3ED9">
      <w:pPr>
        <w:spacing w:before="240" w:after="120"/>
        <w:ind w:left="2"/>
        <w:outlineLvl w:val="0"/>
        <w:rPr>
          <w:rFonts w:cs="Arial"/>
          <w:b/>
          <w:color w:val="AACDDB"/>
          <w:szCs w:val="20"/>
        </w:rPr>
      </w:pPr>
      <w:bookmarkStart w:id="53" w:name="_Toc54857927"/>
      <w:bookmarkStart w:id="54" w:name="_Toc132097838"/>
      <w:r w:rsidRPr="002A1F16">
        <w:rPr>
          <w:rFonts w:cs="Arial"/>
          <w:b/>
          <w:color w:val="AACDDB"/>
          <w:szCs w:val="20"/>
        </w:rPr>
        <w:t>9.1 Učinek finančnega vzvoda (»</w:t>
      </w:r>
      <w:proofErr w:type="spellStart"/>
      <w:r w:rsidRPr="002A1F16">
        <w:rPr>
          <w:rFonts w:cs="Arial"/>
          <w:b/>
          <w:color w:val="AACDDB"/>
          <w:szCs w:val="20"/>
        </w:rPr>
        <w:t>leverage</w:t>
      </w:r>
      <w:proofErr w:type="spellEnd"/>
      <w:r w:rsidRPr="002A1F16">
        <w:rPr>
          <w:rFonts w:cs="Arial"/>
          <w:b/>
          <w:color w:val="AACDDB"/>
          <w:szCs w:val="20"/>
        </w:rPr>
        <w:t xml:space="preserve"> </w:t>
      </w:r>
      <w:proofErr w:type="spellStart"/>
      <w:r w:rsidRPr="002A1F16">
        <w:rPr>
          <w:rFonts w:cs="Arial"/>
          <w:b/>
          <w:color w:val="AACDDB"/>
          <w:szCs w:val="20"/>
        </w:rPr>
        <w:t>effect</w:t>
      </w:r>
      <w:proofErr w:type="spellEnd"/>
      <w:r w:rsidRPr="002A1F16">
        <w:rPr>
          <w:rFonts w:cs="Arial"/>
          <w:b/>
          <w:color w:val="AACDDB"/>
          <w:szCs w:val="20"/>
        </w:rPr>
        <w:t>«)</w:t>
      </w:r>
      <w:bookmarkEnd w:id="53"/>
      <w:bookmarkEnd w:id="54"/>
    </w:p>
    <w:p w14:paraId="71145901" w14:textId="77777777" w:rsidR="003E3ED9" w:rsidRPr="00830439" w:rsidRDefault="003E3ED9" w:rsidP="003E3ED9">
      <w:pPr>
        <w:tabs>
          <w:tab w:val="right" w:pos="9072"/>
        </w:tabs>
        <w:jc w:val="both"/>
        <w:rPr>
          <w:rFonts w:cs="Arial"/>
          <w:szCs w:val="20"/>
        </w:rPr>
      </w:pPr>
      <w:r w:rsidRPr="00830439">
        <w:rPr>
          <w:rFonts w:cs="Arial"/>
          <w:szCs w:val="20"/>
        </w:rPr>
        <w:t xml:space="preserve">Učinek finančnega vzvoda pri FI pomeni </w:t>
      </w:r>
      <w:proofErr w:type="spellStart"/>
      <w:r w:rsidRPr="00830439">
        <w:rPr>
          <w:rFonts w:cs="Arial"/>
          <w:szCs w:val="20"/>
        </w:rPr>
        <w:t>multipliciranje</w:t>
      </w:r>
      <w:proofErr w:type="spellEnd"/>
      <w:r w:rsidRPr="00830439">
        <w:rPr>
          <w:rFonts w:cs="Arial"/>
          <w:szCs w:val="20"/>
        </w:rPr>
        <w:t xml:space="preserve"> sredstev vloženih v sklad skladov, finančnega posrednika in/ ali neposredno v končnega prejemnika. Takšna sredstva lahko zagotavlja tudi upravljavec sklada skladov in/ ali finančni posredniki.</w:t>
      </w:r>
    </w:p>
    <w:p w14:paraId="34A760E4" w14:textId="77777777" w:rsidR="003E3ED9" w:rsidRPr="00830439" w:rsidRDefault="003E3ED9" w:rsidP="003E3ED9">
      <w:pPr>
        <w:tabs>
          <w:tab w:val="right" w:pos="9072"/>
        </w:tabs>
        <w:jc w:val="both"/>
        <w:rPr>
          <w:rFonts w:cs="Arial"/>
          <w:szCs w:val="20"/>
        </w:rPr>
      </w:pPr>
    </w:p>
    <w:p w14:paraId="143CE977" w14:textId="77777777" w:rsidR="003E3ED9" w:rsidRPr="00830439" w:rsidRDefault="003E3ED9" w:rsidP="003E3ED9">
      <w:pPr>
        <w:tabs>
          <w:tab w:val="right" w:pos="9072"/>
        </w:tabs>
        <w:jc w:val="both"/>
        <w:rPr>
          <w:rFonts w:cs="Arial"/>
          <w:szCs w:val="20"/>
        </w:rPr>
      </w:pPr>
      <w:r w:rsidRPr="00830439">
        <w:rPr>
          <w:rFonts w:cs="Arial"/>
          <w:szCs w:val="20"/>
        </w:rPr>
        <w:t>Minimalni finančni vzvod, ki ga je na posamezni prednostni osi potrebno zagotoviti, izhaja iz razmerja med EU in SLO (nacionalno udeležbo), in sicer znaša na 1,2 na 1. prednostni osi, 1,25 (vzhodna kohezijska regija) in 1,3 (zahodna kohezijska regija) na 3. prednostni osi, 1,15 na 4. prednostni osi in 1,2 na 6. prednostni osi.</w:t>
      </w:r>
    </w:p>
    <w:p w14:paraId="7FD53D83" w14:textId="77777777" w:rsidR="003E3ED9" w:rsidRPr="00830439" w:rsidRDefault="003E3ED9" w:rsidP="003E3ED9">
      <w:pPr>
        <w:tabs>
          <w:tab w:val="right" w:pos="9072"/>
        </w:tabs>
        <w:jc w:val="both"/>
        <w:rPr>
          <w:rFonts w:cs="Arial"/>
          <w:szCs w:val="20"/>
        </w:rPr>
      </w:pPr>
    </w:p>
    <w:p w14:paraId="32A5CF24" w14:textId="77777777" w:rsidR="003E3ED9" w:rsidRPr="00F60B42" w:rsidRDefault="003E3ED9" w:rsidP="003E3ED9">
      <w:pPr>
        <w:tabs>
          <w:tab w:val="right" w:pos="9072"/>
        </w:tabs>
        <w:jc w:val="both"/>
        <w:rPr>
          <w:rFonts w:cs="Arial"/>
          <w:szCs w:val="20"/>
        </w:rPr>
      </w:pPr>
      <w:r w:rsidRPr="00830439">
        <w:rPr>
          <w:rFonts w:cs="Arial"/>
          <w:szCs w:val="20"/>
        </w:rPr>
        <w:t>FI omogoča dodatno podporo, usmerjeno h končnim prejemnikom s potencialno večjim finančnim učinkom kot ga imajo nepovratna sredstva zaradi sposobnosti, da privlačijo dodatna sredstva iz javnega ali zasebnega sektorja in tako večkratno povečajo učinke ESIF ter nacionalnih/ regionalnih prispevkov (npr. vsak investiran evro s strani OP 2014-2020 ustvarja večkratni učinek, ki povečuje sredstva, ki so na voljo končnim prejemnikom). Na podlagi objavljenih raziskav</w:t>
      </w:r>
      <w:r w:rsidRPr="00830439">
        <w:rPr>
          <w:rFonts w:cs="Arial"/>
          <w:szCs w:val="20"/>
          <w:vertAlign w:val="superscript"/>
        </w:rPr>
        <w:footnoteReference w:id="22"/>
      </w:r>
      <w:r w:rsidRPr="00830439">
        <w:rPr>
          <w:rFonts w:cs="Arial"/>
          <w:szCs w:val="20"/>
        </w:rPr>
        <w:t xml:space="preserve"> je takšen učinek vzvoda še bolj pomemben za majhne države, kot je Slovenija, torej tradicionalno manj privlačne za mednarodne naložbe.</w:t>
      </w:r>
    </w:p>
    <w:p w14:paraId="1E0857FF" w14:textId="77777777" w:rsidR="003E3ED9" w:rsidRPr="00F60B42" w:rsidRDefault="003E3ED9" w:rsidP="003E3ED9">
      <w:pPr>
        <w:tabs>
          <w:tab w:val="right" w:pos="9072"/>
        </w:tabs>
        <w:jc w:val="both"/>
        <w:rPr>
          <w:rFonts w:cs="Arial"/>
          <w:szCs w:val="20"/>
        </w:rPr>
      </w:pPr>
    </w:p>
    <w:p w14:paraId="412482CA" w14:textId="77777777" w:rsidR="003E3ED9" w:rsidRPr="00830439" w:rsidRDefault="003E3ED9" w:rsidP="003E3ED9">
      <w:pPr>
        <w:tabs>
          <w:tab w:val="right" w:pos="9072"/>
        </w:tabs>
        <w:jc w:val="both"/>
        <w:rPr>
          <w:rFonts w:cs="Arial"/>
          <w:szCs w:val="20"/>
        </w:rPr>
      </w:pPr>
      <w:r w:rsidRPr="00830439">
        <w:rPr>
          <w:rFonts w:cs="Arial"/>
          <w:szCs w:val="20"/>
        </w:rPr>
        <w:t>Učinek vzvoda vsakega posameznega FI je odvisen od vrste instrumenta, področja in tudi drugih pogojev.</w:t>
      </w:r>
    </w:p>
    <w:p w14:paraId="30BA5F38" w14:textId="77777777" w:rsidR="003E3ED9" w:rsidRPr="00830439" w:rsidRDefault="003E3ED9" w:rsidP="003E3ED9">
      <w:pPr>
        <w:tabs>
          <w:tab w:val="right" w:pos="9072"/>
        </w:tabs>
        <w:jc w:val="both"/>
        <w:rPr>
          <w:rFonts w:cs="Arial"/>
          <w:szCs w:val="20"/>
        </w:rPr>
      </w:pPr>
    </w:p>
    <w:p w14:paraId="78E3A708" w14:textId="77777777" w:rsidR="003E3ED9" w:rsidRPr="00830439" w:rsidRDefault="003E3ED9" w:rsidP="003E3ED9">
      <w:pPr>
        <w:tabs>
          <w:tab w:val="right" w:pos="9072"/>
        </w:tabs>
        <w:jc w:val="both"/>
        <w:rPr>
          <w:rFonts w:cs="Arial"/>
          <w:szCs w:val="20"/>
        </w:rPr>
      </w:pPr>
      <w:r w:rsidRPr="00830439">
        <w:rPr>
          <w:rFonts w:cs="Arial"/>
          <w:szCs w:val="20"/>
        </w:rPr>
        <w:t>Na podlagi Predhodne ocene FI so predvideni finančni vzvodi predstavljeni v spodnji tabeli.</w:t>
      </w:r>
    </w:p>
    <w:p w14:paraId="508BC6E1" w14:textId="77777777" w:rsidR="003E3ED9" w:rsidRPr="00830439" w:rsidRDefault="003E3ED9" w:rsidP="003E3ED9">
      <w:pPr>
        <w:tabs>
          <w:tab w:val="right" w:pos="9072"/>
        </w:tabs>
        <w:jc w:val="both"/>
        <w:rPr>
          <w:rFonts w:cs="Arial"/>
          <w:szCs w:val="20"/>
        </w:rPr>
      </w:pPr>
    </w:p>
    <w:p w14:paraId="1D599203" w14:textId="77777777" w:rsidR="003E3ED9" w:rsidRPr="00F60B42" w:rsidRDefault="003E3ED9" w:rsidP="003E3ED9">
      <w:pPr>
        <w:tabs>
          <w:tab w:val="right" w:pos="9072"/>
        </w:tabs>
        <w:rPr>
          <w:rFonts w:cs="Arial"/>
          <w:szCs w:val="20"/>
        </w:rPr>
      </w:pPr>
      <w:bookmarkStart w:id="55" w:name="_Toc132097865"/>
      <w:r w:rsidRPr="00830439">
        <w:rPr>
          <w:rFonts w:cs="Arial"/>
          <w:szCs w:val="20"/>
        </w:rPr>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14</w:t>
      </w:r>
      <w:r w:rsidRPr="00F60B42">
        <w:rPr>
          <w:rFonts w:cs="Arial"/>
          <w:szCs w:val="20"/>
        </w:rPr>
        <w:fldChar w:fldCharType="end"/>
      </w:r>
      <w:r w:rsidRPr="00830439">
        <w:rPr>
          <w:rFonts w:cs="Arial"/>
          <w:szCs w:val="20"/>
        </w:rPr>
        <w:t>: Pričakovani finančni vzvod</w:t>
      </w:r>
      <w:bookmarkEnd w:id="55"/>
    </w:p>
    <w:tbl>
      <w:tblPr>
        <w:tblStyle w:val="Tabelamrea"/>
        <w:tblW w:w="5000" w:type="pct"/>
        <w:tblLook w:val="04A0" w:firstRow="1" w:lastRow="0" w:firstColumn="1" w:lastColumn="0" w:noHBand="0" w:noVBand="1"/>
      </w:tblPr>
      <w:tblGrid>
        <w:gridCol w:w="1469"/>
        <w:gridCol w:w="2599"/>
        <w:gridCol w:w="2422"/>
        <w:gridCol w:w="1998"/>
      </w:tblGrid>
      <w:tr w:rsidR="003E3ED9" w:rsidRPr="00830439" w14:paraId="1B9A377B" w14:textId="77777777" w:rsidTr="00E8716B">
        <w:tc>
          <w:tcPr>
            <w:tcW w:w="865" w:type="pct"/>
            <w:shd w:val="clear" w:color="auto" w:fill="FFFFFF"/>
          </w:tcPr>
          <w:p w14:paraId="104342A0" w14:textId="77777777" w:rsidR="003E3ED9" w:rsidRPr="00F60B42" w:rsidRDefault="003E3ED9" w:rsidP="00E8716B">
            <w:pPr>
              <w:keepNext/>
              <w:keepLines/>
              <w:widowControl w:val="0"/>
              <w:autoSpaceDE w:val="0"/>
              <w:autoSpaceDN w:val="0"/>
              <w:adjustRightInd w:val="0"/>
              <w:jc w:val="both"/>
              <w:rPr>
                <w:rFonts w:eastAsia="Calibri" w:cs="Arial"/>
                <w:b/>
                <w:color w:val="000000"/>
              </w:rPr>
            </w:pPr>
            <w:r w:rsidRPr="00F60B42">
              <w:rPr>
                <w:rFonts w:eastAsia="Calibri" w:cs="Arial"/>
                <w:b/>
                <w:color w:val="000000"/>
              </w:rPr>
              <w:t>Področje</w:t>
            </w:r>
          </w:p>
        </w:tc>
        <w:tc>
          <w:tcPr>
            <w:tcW w:w="1531" w:type="pct"/>
          </w:tcPr>
          <w:p w14:paraId="7F5FBD2D" w14:textId="77777777" w:rsidR="003E3ED9" w:rsidRPr="00830439" w:rsidRDefault="003E3ED9" w:rsidP="00E8716B">
            <w:pPr>
              <w:keepNext/>
              <w:keepLines/>
              <w:widowControl w:val="0"/>
              <w:autoSpaceDE w:val="0"/>
              <w:autoSpaceDN w:val="0"/>
              <w:adjustRightInd w:val="0"/>
              <w:jc w:val="both"/>
              <w:rPr>
                <w:rFonts w:eastAsia="Calibri" w:cs="Arial"/>
                <w:b/>
                <w:color w:val="000000"/>
              </w:rPr>
            </w:pPr>
            <w:r w:rsidRPr="00830439">
              <w:rPr>
                <w:rFonts w:eastAsia="Calibri" w:cs="Arial"/>
                <w:b/>
                <w:color w:val="000000"/>
              </w:rPr>
              <w:t>Finančni instrument</w:t>
            </w:r>
          </w:p>
        </w:tc>
        <w:tc>
          <w:tcPr>
            <w:tcW w:w="1427" w:type="pct"/>
          </w:tcPr>
          <w:p w14:paraId="16E96B60" w14:textId="77777777" w:rsidR="003E3ED9" w:rsidRPr="00830439" w:rsidRDefault="003E3ED9" w:rsidP="00E8716B">
            <w:pPr>
              <w:keepNext/>
              <w:keepLines/>
              <w:widowControl w:val="0"/>
              <w:autoSpaceDE w:val="0"/>
              <w:autoSpaceDN w:val="0"/>
              <w:adjustRightInd w:val="0"/>
              <w:jc w:val="both"/>
              <w:rPr>
                <w:rFonts w:eastAsia="Calibri" w:cs="Arial"/>
                <w:b/>
                <w:color w:val="000000"/>
              </w:rPr>
            </w:pPr>
            <w:r w:rsidRPr="00830439">
              <w:rPr>
                <w:rFonts w:eastAsia="Calibri" w:cs="Arial"/>
                <w:b/>
                <w:color w:val="000000"/>
              </w:rPr>
              <w:t>Finančni vzvod glede na Predhodno oceno FI</w:t>
            </w:r>
          </w:p>
          <w:p w14:paraId="13C8F774" w14:textId="77777777" w:rsidR="003E3ED9" w:rsidRPr="00830439" w:rsidRDefault="003E3ED9" w:rsidP="00E8716B">
            <w:pPr>
              <w:keepNext/>
              <w:keepLines/>
              <w:widowControl w:val="0"/>
              <w:autoSpaceDE w:val="0"/>
              <w:autoSpaceDN w:val="0"/>
              <w:adjustRightInd w:val="0"/>
              <w:jc w:val="both"/>
              <w:rPr>
                <w:rFonts w:eastAsia="Calibri" w:cs="Arial"/>
                <w:b/>
                <w:color w:val="000000"/>
              </w:rPr>
            </w:pPr>
          </w:p>
        </w:tc>
        <w:tc>
          <w:tcPr>
            <w:tcW w:w="1177" w:type="pct"/>
            <w:shd w:val="clear" w:color="auto" w:fill="B9D7E3"/>
          </w:tcPr>
          <w:p w14:paraId="1FC9CBC0" w14:textId="77777777" w:rsidR="003E3ED9" w:rsidRPr="00830439" w:rsidRDefault="003E3ED9" w:rsidP="00E8716B">
            <w:pPr>
              <w:keepNext/>
              <w:keepLines/>
              <w:widowControl w:val="0"/>
              <w:autoSpaceDE w:val="0"/>
              <w:autoSpaceDN w:val="0"/>
              <w:adjustRightInd w:val="0"/>
              <w:jc w:val="both"/>
              <w:rPr>
                <w:rFonts w:eastAsia="Calibri" w:cs="Arial"/>
                <w:b/>
                <w:color w:val="000000"/>
              </w:rPr>
            </w:pPr>
            <w:r w:rsidRPr="00830439">
              <w:rPr>
                <w:rFonts w:eastAsia="Calibri" w:cs="Arial"/>
                <w:b/>
                <w:color w:val="000000"/>
              </w:rPr>
              <w:t>Pričakovani finančni vzvod</w:t>
            </w:r>
          </w:p>
        </w:tc>
      </w:tr>
      <w:tr w:rsidR="003E3ED9" w:rsidRPr="00830439" w14:paraId="49D9FDA3" w14:textId="77777777" w:rsidTr="00E8716B">
        <w:tc>
          <w:tcPr>
            <w:tcW w:w="865" w:type="pct"/>
            <w:vMerge w:val="restart"/>
          </w:tcPr>
          <w:p w14:paraId="064F1C0A" w14:textId="77777777" w:rsidR="003E3ED9" w:rsidRPr="00F60B42" w:rsidRDefault="003E3ED9" w:rsidP="00E8716B">
            <w:pPr>
              <w:autoSpaceDE w:val="0"/>
              <w:autoSpaceDN w:val="0"/>
              <w:adjustRightInd w:val="0"/>
              <w:jc w:val="both"/>
              <w:rPr>
                <w:rFonts w:eastAsia="Calibri" w:cs="Arial"/>
                <w:color w:val="000000"/>
              </w:rPr>
            </w:pPr>
            <w:r w:rsidRPr="00830439">
              <w:rPr>
                <w:rFonts w:eastAsia="Calibri" w:cs="Arial"/>
                <w:color w:val="000000"/>
              </w:rPr>
              <w:t>MSP</w:t>
            </w:r>
          </w:p>
        </w:tc>
        <w:tc>
          <w:tcPr>
            <w:tcW w:w="1531" w:type="pct"/>
          </w:tcPr>
          <w:p w14:paraId="23F36182" w14:textId="77777777" w:rsidR="003E3ED9" w:rsidRPr="00F60B42" w:rsidRDefault="003E3ED9" w:rsidP="00E8716B">
            <w:pPr>
              <w:autoSpaceDE w:val="0"/>
              <w:autoSpaceDN w:val="0"/>
              <w:adjustRightInd w:val="0"/>
              <w:jc w:val="both"/>
              <w:rPr>
                <w:rFonts w:eastAsia="Calibri" w:cs="Arial"/>
                <w:color w:val="000000"/>
              </w:rPr>
            </w:pPr>
            <w:r w:rsidRPr="00F60B42">
              <w:rPr>
                <w:rFonts w:eastAsia="Calibri" w:cs="Arial"/>
                <w:color w:val="000000"/>
              </w:rPr>
              <w:t>Mikrokrediti</w:t>
            </w:r>
          </w:p>
        </w:tc>
        <w:tc>
          <w:tcPr>
            <w:tcW w:w="1427" w:type="pct"/>
          </w:tcPr>
          <w:p w14:paraId="4AF082B4"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 – 2,5</w:t>
            </w:r>
          </w:p>
        </w:tc>
        <w:tc>
          <w:tcPr>
            <w:tcW w:w="1177" w:type="pct"/>
            <w:shd w:val="clear" w:color="auto" w:fill="B9D7E3"/>
          </w:tcPr>
          <w:p w14:paraId="07D3225D"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w:t>
            </w:r>
          </w:p>
        </w:tc>
      </w:tr>
      <w:tr w:rsidR="003E3ED9" w:rsidRPr="00830439" w14:paraId="62B1EE90" w14:textId="77777777" w:rsidTr="00E8716B">
        <w:tc>
          <w:tcPr>
            <w:tcW w:w="865" w:type="pct"/>
            <w:vMerge/>
          </w:tcPr>
          <w:p w14:paraId="4AE4245D" w14:textId="77777777" w:rsidR="003E3ED9" w:rsidRPr="00830439" w:rsidRDefault="003E3ED9" w:rsidP="00E8716B">
            <w:pPr>
              <w:autoSpaceDE w:val="0"/>
              <w:autoSpaceDN w:val="0"/>
              <w:adjustRightInd w:val="0"/>
              <w:jc w:val="both"/>
              <w:rPr>
                <w:rFonts w:eastAsia="Calibri" w:cs="Arial"/>
                <w:color w:val="000000"/>
              </w:rPr>
            </w:pPr>
          </w:p>
        </w:tc>
        <w:tc>
          <w:tcPr>
            <w:tcW w:w="1531" w:type="pct"/>
          </w:tcPr>
          <w:p w14:paraId="2D53EEEF" w14:textId="77777777" w:rsidR="003E3ED9" w:rsidRPr="00830439" w:rsidRDefault="003E3ED9" w:rsidP="00E8716B">
            <w:pPr>
              <w:autoSpaceDE w:val="0"/>
              <w:autoSpaceDN w:val="0"/>
              <w:adjustRightInd w:val="0"/>
              <w:jc w:val="both"/>
              <w:rPr>
                <w:rFonts w:eastAsia="Calibri" w:cs="Arial"/>
                <w:color w:val="000000"/>
              </w:rPr>
            </w:pPr>
            <w:proofErr w:type="spellStart"/>
            <w:r w:rsidRPr="00830439">
              <w:rPr>
                <w:rFonts w:eastAsia="Calibri" w:cs="Arial"/>
                <w:color w:val="000000"/>
              </w:rPr>
              <w:t>Portfeljske</w:t>
            </w:r>
            <w:proofErr w:type="spellEnd"/>
            <w:r w:rsidRPr="00830439">
              <w:rPr>
                <w:rFonts w:eastAsia="Calibri" w:cs="Arial"/>
                <w:color w:val="000000"/>
              </w:rPr>
              <w:t xml:space="preserve"> garancije</w:t>
            </w:r>
          </w:p>
        </w:tc>
        <w:tc>
          <w:tcPr>
            <w:tcW w:w="1427" w:type="pct"/>
          </w:tcPr>
          <w:p w14:paraId="080216ED"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1,5 - 5</w:t>
            </w:r>
          </w:p>
        </w:tc>
        <w:tc>
          <w:tcPr>
            <w:tcW w:w="1177" w:type="pct"/>
            <w:shd w:val="clear" w:color="auto" w:fill="B9D7E3"/>
          </w:tcPr>
          <w:p w14:paraId="53363C3E"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w:t>
            </w:r>
          </w:p>
        </w:tc>
      </w:tr>
      <w:tr w:rsidR="003E3ED9" w:rsidRPr="00830439" w14:paraId="1B3B985A" w14:textId="77777777" w:rsidTr="00E8716B">
        <w:tc>
          <w:tcPr>
            <w:tcW w:w="865" w:type="pct"/>
            <w:vMerge/>
          </w:tcPr>
          <w:p w14:paraId="5F19F48F" w14:textId="77777777" w:rsidR="003E3ED9" w:rsidRPr="00830439" w:rsidRDefault="003E3ED9" w:rsidP="00E8716B">
            <w:pPr>
              <w:autoSpaceDE w:val="0"/>
              <w:autoSpaceDN w:val="0"/>
              <w:adjustRightInd w:val="0"/>
              <w:jc w:val="both"/>
              <w:rPr>
                <w:rFonts w:eastAsia="Calibri" w:cs="Arial"/>
                <w:color w:val="000000"/>
              </w:rPr>
            </w:pPr>
          </w:p>
        </w:tc>
        <w:tc>
          <w:tcPr>
            <w:tcW w:w="1531" w:type="pct"/>
          </w:tcPr>
          <w:p w14:paraId="01C80186"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Lastniško financiranje</w:t>
            </w:r>
          </w:p>
        </w:tc>
        <w:tc>
          <w:tcPr>
            <w:tcW w:w="1427" w:type="pct"/>
          </w:tcPr>
          <w:p w14:paraId="70EF108C" w14:textId="77777777" w:rsidR="003E3ED9" w:rsidRPr="00830439" w:rsidRDefault="003E3ED9" w:rsidP="00E8716B">
            <w:pPr>
              <w:autoSpaceDE w:val="0"/>
              <w:autoSpaceDN w:val="0"/>
              <w:adjustRightInd w:val="0"/>
              <w:rPr>
                <w:rFonts w:eastAsia="Calibri" w:cs="Arial"/>
                <w:color w:val="000000"/>
              </w:rPr>
            </w:pPr>
            <w:r w:rsidRPr="00830439">
              <w:rPr>
                <w:rFonts w:eastAsia="Calibri" w:cs="Arial"/>
                <w:color w:val="000000"/>
              </w:rPr>
              <w:t>Odvisno od stopnje razvitosti podjetja</w:t>
            </w:r>
          </w:p>
        </w:tc>
        <w:tc>
          <w:tcPr>
            <w:tcW w:w="1177" w:type="pct"/>
            <w:shd w:val="clear" w:color="auto" w:fill="B9D7E3"/>
          </w:tcPr>
          <w:p w14:paraId="1E5AC4C6" w14:textId="77777777" w:rsidR="003E3ED9" w:rsidRPr="00830439" w:rsidRDefault="003E3ED9" w:rsidP="00E8716B">
            <w:pPr>
              <w:autoSpaceDE w:val="0"/>
              <w:autoSpaceDN w:val="0"/>
              <w:adjustRightInd w:val="0"/>
              <w:rPr>
                <w:rFonts w:eastAsia="Calibri" w:cs="Arial"/>
                <w:color w:val="000000"/>
              </w:rPr>
            </w:pPr>
            <w:r w:rsidRPr="00830439">
              <w:rPr>
                <w:rFonts w:eastAsia="Calibri" w:cs="Arial"/>
                <w:color w:val="000000"/>
              </w:rPr>
              <w:t>Odvisno od stopnje razvitosti podjetja</w:t>
            </w:r>
          </w:p>
        </w:tc>
      </w:tr>
      <w:tr w:rsidR="003E3ED9" w:rsidRPr="00830439" w14:paraId="16D10C1D" w14:textId="77777777" w:rsidTr="00E8716B">
        <w:tc>
          <w:tcPr>
            <w:tcW w:w="865" w:type="pct"/>
            <w:vMerge w:val="restart"/>
          </w:tcPr>
          <w:p w14:paraId="585085EB" w14:textId="77777777" w:rsidR="003E3ED9" w:rsidRPr="00F60B42" w:rsidRDefault="003E3ED9" w:rsidP="00E8716B">
            <w:pPr>
              <w:autoSpaceDE w:val="0"/>
              <w:autoSpaceDN w:val="0"/>
              <w:adjustRightInd w:val="0"/>
              <w:jc w:val="both"/>
              <w:rPr>
                <w:rFonts w:eastAsia="Calibri" w:cs="Arial"/>
                <w:color w:val="000000"/>
              </w:rPr>
            </w:pPr>
            <w:r w:rsidRPr="00830439">
              <w:rPr>
                <w:rFonts w:eastAsia="Calibri" w:cs="Arial"/>
                <w:color w:val="000000"/>
              </w:rPr>
              <w:lastRenderedPageBreak/>
              <w:t>RRI</w:t>
            </w:r>
          </w:p>
        </w:tc>
        <w:tc>
          <w:tcPr>
            <w:tcW w:w="1531" w:type="pct"/>
          </w:tcPr>
          <w:p w14:paraId="242E5E51" w14:textId="77777777" w:rsidR="003E3ED9" w:rsidRPr="00F60B42" w:rsidRDefault="003E3ED9" w:rsidP="00E8716B">
            <w:pPr>
              <w:autoSpaceDE w:val="0"/>
              <w:autoSpaceDN w:val="0"/>
              <w:adjustRightInd w:val="0"/>
              <w:jc w:val="both"/>
              <w:rPr>
                <w:rFonts w:eastAsia="Calibri" w:cs="Arial"/>
                <w:color w:val="000000"/>
              </w:rPr>
            </w:pPr>
            <w:r w:rsidRPr="00F60B42">
              <w:rPr>
                <w:rFonts w:eastAsia="Calibri" w:cs="Arial"/>
                <w:color w:val="000000"/>
              </w:rPr>
              <w:t>Posojila</w:t>
            </w:r>
          </w:p>
        </w:tc>
        <w:tc>
          <w:tcPr>
            <w:tcW w:w="1427" w:type="pct"/>
          </w:tcPr>
          <w:p w14:paraId="21E50A04"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 – 2,5</w:t>
            </w:r>
          </w:p>
        </w:tc>
        <w:tc>
          <w:tcPr>
            <w:tcW w:w="1177" w:type="pct"/>
            <w:shd w:val="clear" w:color="auto" w:fill="B9D7E3"/>
          </w:tcPr>
          <w:p w14:paraId="6ABE04F5"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w:t>
            </w:r>
          </w:p>
        </w:tc>
      </w:tr>
      <w:tr w:rsidR="003E3ED9" w:rsidRPr="00830439" w14:paraId="6A883ED4" w14:textId="77777777" w:rsidTr="00E8716B">
        <w:tc>
          <w:tcPr>
            <w:tcW w:w="865" w:type="pct"/>
            <w:vMerge/>
          </w:tcPr>
          <w:p w14:paraId="6CCA7798" w14:textId="77777777" w:rsidR="003E3ED9" w:rsidRPr="00830439" w:rsidRDefault="003E3ED9" w:rsidP="00E8716B">
            <w:pPr>
              <w:autoSpaceDE w:val="0"/>
              <w:autoSpaceDN w:val="0"/>
              <w:adjustRightInd w:val="0"/>
              <w:jc w:val="both"/>
              <w:rPr>
                <w:rFonts w:eastAsia="Calibri" w:cs="Arial"/>
                <w:color w:val="000000"/>
              </w:rPr>
            </w:pPr>
          </w:p>
        </w:tc>
        <w:tc>
          <w:tcPr>
            <w:tcW w:w="1531" w:type="pct"/>
          </w:tcPr>
          <w:p w14:paraId="2E5AF1DD" w14:textId="77777777" w:rsidR="003E3ED9" w:rsidRPr="00830439" w:rsidRDefault="003E3ED9" w:rsidP="00E8716B">
            <w:pPr>
              <w:autoSpaceDE w:val="0"/>
              <w:autoSpaceDN w:val="0"/>
              <w:adjustRightInd w:val="0"/>
              <w:jc w:val="both"/>
              <w:rPr>
                <w:rFonts w:eastAsia="Calibri" w:cs="Arial"/>
                <w:color w:val="000000"/>
              </w:rPr>
            </w:pPr>
            <w:proofErr w:type="spellStart"/>
            <w:r w:rsidRPr="00830439">
              <w:rPr>
                <w:rFonts w:eastAsia="Calibri" w:cs="Arial"/>
                <w:color w:val="000000"/>
              </w:rPr>
              <w:t>Portfeljske</w:t>
            </w:r>
            <w:proofErr w:type="spellEnd"/>
            <w:r w:rsidRPr="00830439">
              <w:rPr>
                <w:rFonts w:eastAsia="Calibri" w:cs="Arial"/>
                <w:color w:val="000000"/>
              </w:rPr>
              <w:t xml:space="preserve"> garancije</w:t>
            </w:r>
          </w:p>
        </w:tc>
        <w:tc>
          <w:tcPr>
            <w:tcW w:w="1427" w:type="pct"/>
          </w:tcPr>
          <w:p w14:paraId="71FD77A2"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w:t>
            </w:r>
          </w:p>
        </w:tc>
        <w:tc>
          <w:tcPr>
            <w:tcW w:w="1177" w:type="pct"/>
            <w:shd w:val="clear" w:color="auto" w:fill="B9D7E3"/>
          </w:tcPr>
          <w:p w14:paraId="23E38594"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w:t>
            </w:r>
          </w:p>
        </w:tc>
      </w:tr>
      <w:tr w:rsidR="003E3ED9" w:rsidRPr="00830439" w14:paraId="6997E8AF" w14:textId="77777777" w:rsidTr="00E8716B">
        <w:tc>
          <w:tcPr>
            <w:tcW w:w="865" w:type="pct"/>
          </w:tcPr>
          <w:p w14:paraId="07DF3079" w14:textId="77777777" w:rsidR="003E3ED9" w:rsidRPr="00F60B42" w:rsidRDefault="003E3ED9" w:rsidP="00E8716B">
            <w:pPr>
              <w:autoSpaceDE w:val="0"/>
              <w:autoSpaceDN w:val="0"/>
              <w:adjustRightInd w:val="0"/>
              <w:jc w:val="both"/>
              <w:rPr>
                <w:rFonts w:eastAsia="Calibri" w:cs="Arial"/>
                <w:color w:val="000000"/>
              </w:rPr>
            </w:pPr>
            <w:r w:rsidRPr="00830439">
              <w:rPr>
                <w:rFonts w:eastAsia="Calibri" w:cs="Arial"/>
                <w:color w:val="000000"/>
              </w:rPr>
              <w:t xml:space="preserve">Energetska </w:t>
            </w:r>
            <w:r w:rsidRPr="00F60B42">
              <w:rPr>
                <w:rFonts w:eastAsia="Calibri" w:cs="Arial"/>
                <w:color w:val="000000"/>
              </w:rPr>
              <w:t>učinkovitost</w:t>
            </w:r>
          </w:p>
        </w:tc>
        <w:tc>
          <w:tcPr>
            <w:tcW w:w="1531" w:type="pct"/>
          </w:tcPr>
          <w:p w14:paraId="18534330" w14:textId="77777777" w:rsidR="003E3ED9" w:rsidRPr="00830439" w:rsidRDefault="003E3ED9" w:rsidP="00E8716B">
            <w:pPr>
              <w:autoSpaceDE w:val="0"/>
              <w:autoSpaceDN w:val="0"/>
              <w:adjustRightInd w:val="0"/>
              <w:rPr>
                <w:rFonts w:eastAsia="Calibri" w:cs="Arial"/>
                <w:color w:val="000000"/>
              </w:rPr>
            </w:pPr>
            <w:r w:rsidRPr="00F60B42">
              <w:rPr>
                <w:rFonts w:eastAsia="Calibri" w:cs="Arial"/>
                <w:color w:val="000000"/>
              </w:rPr>
              <w:t>Posojila, garancijske sheme, lastniško financiranje</w:t>
            </w:r>
            <w:r w:rsidRPr="00830439">
              <w:rPr>
                <w:rFonts w:eastAsia="Calibri" w:cs="Arial"/>
                <w:color w:val="000000"/>
                <w:vertAlign w:val="superscript"/>
              </w:rPr>
              <w:footnoteReference w:id="23"/>
            </w:r>
          </w:p>
        </w:tc>
        <w:tc>
          <w:tcPr>
            <w:tcW w:w="1427" w:type="pct"/>
          </w:tcPr>
          <w:p w14:paraId="4D4548E0" w14:textId="77777777" w:rsidR="003E3ED9" w:rsidRPr="00F60B42" w:rsidRDefault="003E3ED9" w:rsidP="00E8716B">
            <w:pPr>
              <w:autoSpaceDE w:val="0"/>
              <w:autoSpaceDN w:val="0"/>
              <w:adjustRightInd w:val="0"/>
              <w:jc w:val="both"/>
              <w:rPr>
                <w:rFonts w:eastAsia="Calibri" w:cs="Arial"/>
                <w:color w:val="000000"/>
              </w:rPr>
            </w:pPr>
            <w:r w:rsidRPr="00F60B42">
              <w:rPr>
                <w:rFonts w:eastAsia="Calibri" w:cs="Arial"/>
                <w:color w:val="000000"/>
              </w:rPr>
              <w:t>1,5</w:t>
            </w:r>
          </w:p>
        </w:tc>
        <w:tc>
          <w:tcPr>
            <w:tcW w:w="1177" w:type="pct"/>
            <w:shd w:val="clear" w:color="auto" w:fill="B9D7E3"/>
          </w:tcPr>
          <w:p w14:paraId="76099B4E" w14:textId="77777777" w:rsidR="003E3ED9" w:rsidRPr="00F60B42" w:rsidRDefault="003E3ED9" w:rsidP="00E8716B">
            <w:pPr>
              <w:autoSpaceDE w:val="0"/>
              <w:autoSpaceDN w:val="0"/>
              <w:adjustRightInd w:val="0"/>
              <w:jc w:val="both"/>
              <w:rPr>
                <w:rFonts w:eastAsia="Calibri" w:cs="Arial"/>
                <w:color w:val="000000"/>
              </w:rPr>
            </w:pPr>
            <w:r w:rsidRPr="00F60B42">
              <w:rPr>
                <w:rFonts w:eastAsia="Calibri" w:cs="Arial"/>
                <w:color w:val="000000"/>
              </w:rPr>
              <w:t>2,27</w:t>
            </w:r>
          </w:p>
        </w:tc>
      </w:tr>
      <w:tr w:rsidR="003E3ED9" w:rsidRPr="00830439" w14:paraId="43F7B7E8" w14:textId="77777777" w:rsidTr="00E8716B">
        <w:tc>
          <w:tcPr>
            <w:tcW w:w="865" w:type="pct"/>
          </w:tcPr>
          <w:p w14:paraId="03C66A67" w14:textId="77777777" w:rsidR="003E3ED9" w:rsidRPr="00F60B42" w:rsidRDefault="003E3ED9" w:rsidP="00E8716B">
            <w:pPr>
              <w:autoSpaceDE w:val="0"/>
              <w:autoSpaceDN w:val="0"/>
              <w:adjustRightInd w:val="0"/>
              <w:jc w:val="both"/>
              <w:rPr>
                <w:rFonts w:eastAsia="Calibri" w:cs="Arial"/>
                <w:color w:val="000000"/>
              </w:rPr>
            </w:pPr>
            <w:r w:rsidRPr="00830439">
              <w:rPr>
                <w:rFonts w:eastAsia="Calibri" w:cs="Arial"/>
                <w:color w:val="000000"/>
              </w:rPr>
              <w:t>Urbani razvoj</w:t>
            </w:r>
          </w:p>
        </w:tc>
        <w:tc>
          <w:tcPr>
            <w:tcW w:w="1531" w:type="pct"/>
          </w:tcPr>
          <w:p w14:paraId="6DECA950" w14:textId="77777777" w:rsidR="003E3ED9" w:rsidRPr="00F60B42" w:rsidRDefault="003E3ED9" w:rsidP="00E8716B">
            <w:pPr>
              <w:autoSpaceDE w:val="0"/>
              <w:autoSpaceDN w:val="0"/>
              <w:adjustRightInd w:val="0"/>
              <w:jc w:val="both"/>
              <w:rPr>
                <w:rFonts w:eastAsia="Calibri" w:cs="Arial"/>
                <w:color w:val="000000"/>
              </w:rPr>
            </w:pPr>
            <w:r w:rsidRPr="00F60B42">
              <w:rPr>
                <w:rFonts w:eastAsia="Calibri" w:cs="Arial"/>
                <w:color w:val="000000"/>
              </w:rPr>
              <w:t>Posojila</w:t>
            </w:r>
          </w:p>
        </w:tc>
        <w:tc>
          <w:tcPr>
            <w:tcW w:w="1427" w:type="pct"/>
          </w:tcPr>
          <w:p w14:paraId="2B284F3C"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1,5-2,5</w:t>
            </w:r>
          </w:p>
        </w:tc>
        <w:tc>
          <w:tcPr>
            <w:tcW w:w="1177" w:type="pct"/>
            <w:shd w:val="clear" w:color="auto" w:fill="B9D7E3"/>
          </w:tcPr>
          <w:p w14:paraId="44747D4C" w14:textId="77777777" w:rsidR="003E3ED9" w:rsidRPr="00830439" w:rsidRDefault="003E3ED9" w:rsidP="00E8716B">
            <w:pPr>
              <w:autoSpaceDE w:val="0"/>
              <w:autoSpaceDN w:val="0"/>
              <w:adjustRightInd w:val="0"/>
              <w:jc w:val="both"/>
              <w:rPr>
                <w:rFonts w:eastAsia="Calibri" w:cs="Arial"/>
                <w:color w:val="000000"/>
              </w:rPr>
            </w:pPr>
            <w:r w:rsidRPr="00830439">
              <w:rPr>
                <w:rFonts w:eastAsia="Calibri" w:cs="Arial"/>
                <w:color w:val="000000"/>
              </w:rPr>
              <w:t>1,5</w:t>
            </w:r>
          </w:p>
        </w:tc>
      </w:tr>
    </w:tbl>
    <w:p w14:paraId="11571D52" w14:textId="77777777" w:rsidR="003E3ED9" w:rsidRPr="00830439" w:rsidRDefault="003E3ED9" w:rsidP="003E3ED9">
      <w:pPr>
        <w:tabs>
          <w:tab w:val="right" w:pos="9072"/>
        </w:tabs>
        <w:rPr>
          <w:rFonts w:cs="Arial"/>
          <w:szCs w:val="20"/>
        </w:rPr>
      </w:pPr>
    </w:p>
    <w:p w14:paraId="560C84B1" w14:textId="77777777" w:rsidR="003E3ED9" w:rsidRPr="00F60B42" w:rsidRDefault="003E3ED9" w:rsidP="003E3ED9">
      <w:pPr>
        <w:tabs>
          <w:tab w:val="right" w:pos="9072"/>
        </w:tabs>
        <w:jc w:val="both"/>
        <w:rPr>
          <w:rFonts w:cs="Arial"/>
          <w:szCs w:val="20"/>
        </w:rPr>
      </w:pPr>
      <w:r w:rsidRPr="00F60B42">
        <w:rPr>
          <w:rFonts w:cs="Arial"/>
          <w:szCs w:val="20"/>
        </w:rPr>
        <w:t>Spodnja slika prikazuje mehanizem, ki dovoljuje nastanek vzvoda.</w:t>
      </w:r>
    </w:p>
    <w:p w14:paraId="394B5317" w14:textId="77777777" w:rsidR="003E3ED9" w:rsidRPr="00830439" w:rsidRDefault="003E3ED9" w:rsidP="003E3ED9">
      <w:pPr>
        <w:tabs>
          <w:tab w:val="right" w:pos="9072"/>
        </w:tabs>
        <w:rPr>
          <w:rFonts w:cs="Arial"/>
          <w:szCs w:val="20"/>
        </w:rPr>
      </w:pPr>
    </w:p>
    <w:p w14:paraId="19BF7C90" w14:textId="77777777" w:rsidR="003E3ED9" w:rsidRPr="00F60B42" w:rsidRDefault="003E3ED9" w:rsidP="003E3ED9">
      <w:pPr>
        <w:tabs>
          <w:tab w:val="right" w:pos="9072"/>
        </w:tabs>
        <w:rPr>
          <w:rFonts w:cs="Arial"/>
          <w:szCs w:val="20"/>
        </w:rPr>
      </w:pPr>
      <w:bookmarkStart w:id="56" w:name="_Toc132097851"/>
      <w:r w:rsidRPr="00830439">
        <w:rPr>
          <w:rFonts w:cs="Arial"/>
          <w:szCs w:val="20"/>
        </w:rPr>
        <w:t xml:space="preserve">Slika </w:t>
      </w:r>
      <w:r w:rsidRPr="00F60B42">
        <w:rPr>
          <w:rFonts w:cs="Arial"/>
          <w:szCs w:val="20"/>
        </w:rPr>
        <w:fldChar w:fldCharType="begin"/>
      </w:r>
      <w:r w:rsidRPr="00830439">
        <w:rPr>
          <w:rFonts w:cs="Arial"/>
          <w:szCs w:val="20"/>
        </w:rPr>
        <w:instrText xml:space="preserve"> SEQ Slika \* ARABIC </w:instrText>
      </w:r>
      <w:r w:rsidRPr="00F60B42">
        <w:rPr>
          <w:rFonts w:cs="Arial"/>
          <w:szCs w:val="20"/>
        </w:rPr>
        <w:fldChar w:fldCharType="separate"/>
      </w:r>
      <w:r>
        <w:rPr>
          <w:rFonts w:cs="Arial"/>
          <w:noProof/>
          <w:szCs w:val="20"/>
        </w:rPr>
        <w:t>4</w:t>
      </w:r>
      <w:r w:rsidRPr="00F60B42">
        <w:rPr>
          <w:rFonts w:cs="Arial"/>
          <w:szCs w:val="20"/>
        </w:rPr>
        <w:fldChar w:fldCharType="end"/>
      </w:r>
      <w:r w:rsidRPr="00830439">
        <w:rPr>
          <w:rFonts w:cs="Arial"/>
          <w:szCs w:val="20"/>
        </w:rPr>
        <w:t xml:space="preserve">: Pretok sredstev in stopnja dodatnih javnih </w:t>
      </w:r>
      <w:r w:rsidRPr="00F60B42">
        <w:rPr>
          <w:rFonts w:cs="Arial"/>
          <w:szCs w:val="20"/>
        </w:rPr>
        <w:t>in zasebnih sredstev, ki zagotavljajo spodbudo za FI</w:t>
      </w:r>
      <w:bookmarkEnd w:id="56"/>
    </w:p>
    <w:p w14:paraId="621A66AB" w14:textId="77777777" w:rsidR="003E3ED9" w:rsidRPr="002A1F16" w:rsidRDefault="003E3ED9" w:rsidP="003E3ED9">
      <w:pPr>
        <w:spacing w:after="75"/>
        <w:ind w:right="891"/>
        <w:jc w:val="center"/>
        <w:rPr>
          <w:rFonts w:cs="Arial"/>
          <w:szCs w:val="20"/>
        </w:rPr>
      </w:pPr>
      <w:r w:rsidRPr="002A1F16">
        <w:rPr>
          <w:rFonts w:cs="Arial"/>
          <w:noProof/>
          <w:szCs w:val="20"/>
          <w:lang w:eastAsia="sl-SI"/>
        </w:rPr>
        <w:drawing>
          <wp:inline distT="0" distB="0" distL="0" distR="0" wp14:anchorId="5B607C30" wp14:editId="1F8924D7">
            <wp:extent cx="3733800" cy="2276475"/>
            <wp:effectExtent l="0" t="0" r="0" b="9525"/>
            <wp:docPr id="6" name="Picture 24270"/>
            <wp:cNvGraphicFramePr/>
            <a:graphic xmlns:a="http://schemas.openxmlformats.org/drawingml/2006/main">
              <a:graphicData uri="http://schemas.openxmlformats.org/drawingml/2006/picture">
                <pic:pic xmlns:pic="http://schemas.openxmlformats.org/drawingml/2006/picture">
                  <pic:nvPicPr>
                    <pic:cNvPr id="24270" name="Picture 242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00" cy="2276475"/>
                    </a:xfrm>
                    <a:prstGeom prst="rect">
                      <a:avLst/>
                    </a:prstGeom>
                  </pic:spPr>
                </pic:pic>
              </a:graphicData>
            </a:graphic>
          </wp:inline>
        </w:drawing>
      </w:r>
      <w:r w:rsidRPr="002A1F16">
        <w:rPr>
          <w:rFonts w:cs="Arial"/>
          <w:szCs w:val="20"/>
        </w:rPr>
        <w:t xml:space="preserve"> </w:t>
      </w:r>
    </w:p>
    <w:p w14:paraId="29E19D77" w14:textId="77777777" w:rsidR="003E3ED9" w:rsidRPr="00F60B42" w:rsidRDefault="003E3ED9" w:rsidP="003E3ED9">
      <w:pPr>
        <w:tabs>
          <w:tab w:val="right" w:pos="9072"/>
        </w:tabs>
        <w:rPr>
          <w:rFonts w:cs="Arial"/>
          <w:szCs w:val="20"/>
        </w:rPr>
      </w:pPr>
      <w:r w:rsidRPr="00830439">
        <w:rPr>
          <w:rFonts w:cs="Arial"/>
          <w:szCs w:val="20"/>
        </w:rPr>
        <w:t>Vir: Predhodna ocena FI, 2015</w:t>
      </w:r>
    </w:p>
    <w:p w14:paraId="4F62B4EC" w14:textId="77777777" w:rsidR="003E3ED9" w:rsidRPr="004005A5" w:rsidRDefault="003E3ED9" w:rsidP="003E3ED9">
      <w:pPr>
        <w:spacing w:before="240" w:after="120"/>
        <w:ind w:left="2"/>
        <w:outlineLvl w:val="0"/>
        <w:rPr>
          <w:rFonts w:cs="Arial"/>
          <w:b/>
          <w:color w:val="AACDDB"/>
          <w:szCs w:val="20"/>
        </w:rPr>
      </w:pPr>
      <w:bookmarkStart w:id="57" w:name="_Toc54857929"/>
      <w:bookmarkStart w:id="58" w:name="_Toc132097839"/>
      <w:r w:rsidRPr="00F60B42">
        <w:rPr>
          <w:rFonts w:cs="Arial"/>
          <w:b/>
          <w:color w:val="AACDDB"/>
          <w:szCs w:val="20"/>
        </w:rPr>
        <w:t>9.2 Upravljavska provizija sklada skladov in finančnih posrednik</w:t>
      </w:r>
      <w:r w:rsidRPr="004005A5">
        <w:rPr>
          <w:rFonts w:cs="Arial"/>
          <w:b/>
          <w:color w:val="AACDDB"/>
          <w:szCs w:val="20"/>
        </w:rPr>
        <w:t>ov</w:t>
      </w:r>
      <w:bookmarkEnd w:id="57"/>
      <w:bookmarkEnd w:id="58"/>
    </w:p>
    <w:p w14:paraId="18C3A1A5" w14:textId="77777777" w:rsidR="003E3ED9" w:rsidRPr="00830439" w:rsidRDefault="003E3ED9" w:rsidP="003E3ED9">
      <w:pPr>
        <w:tabs>
          <w:tab w:val="right" w:pos="9072"/>
        </w:tabs>
        <w:jc w:val="both"/>
        <w:rPr>
          <w:rFonts w:cs="Arial"/>
          <w:szCs w:val="20"/>
        </w:rPr>
      </w:pPr>
      <w:r w:rsidRPr="00830439">
        <w:rPr>
          <w:rFonts w:cs="Arial"/>
          <w:szCs w:val="20"/>
        </w:rPr>
        <w:t>Upravljavcu sklada skladov od vključno dneva sklenitve sporazuma o financiranju s PO pripada upravljavska provizija skladno s 13. členom Delegirane uredbo Komisije (EU) št. 480/2014 v določnem odstotku od zneskov v sporazumu o financiranju.</w:t>
      </w:r>
    </w:p>
    <w:p w14:paraId="241CFD9A" w14:textId="77777777" w:rsidR="003E3ED9" w:rsidRPr="00830439" w:rsidRDefault="003E3ED9" w:rsidP="003E3ED9">
      <w:pPr>
        <w:tabs>
          <w:tab w:val="right" w:pos="9072"/>
        </w:tabs>
        <w:jc w:val="both"/>
        <w:rPr>
          <w:rFonts w:cs="Arial"/>
          <w:szCs w:val="20"/>
        </w:rPr>
      </w:pPr>
    </w:p>
    <w:p w14:paraId="0739BB70" w14:textId="77777777" w:rsidR="003E3ED9" w:rsidRPr="00830439" w:rsidRDefault="003E3ED9" w:rsidP="003E3ED9">
      <w:pPr>
        <w:tabs>
          <w:tab w:val="right" w:pos="9072"/>
        </w:tabs>
        <w:jc w:val="both"/>
        <w:rPr>
          <w:rFonts w:cs="Arial"/>
          <w:szCs w:val="20"/>
        </w:rPr>
      </w:pPr>
      <w:r w:rsidRPr="00830439">
        <w:rPr>
          <w:rFonts w:cs="Arial"/>
          <w:szCs w:val="20"/>
        </w:rPr>
        <w:t>Upravljavska provizija se bo določila v sporazumu o financiranju skladno z 12., 13. in 14. členom Delegirane uredbe Komisije (EU) št. 480/2014.</w:t>
      </w:r>
    </w:p>
    <w:p w14:paraId="4CD87DE5" w14:textId="77777777" w:rsidR="003E3ED9" w:rsidRPr="00830439" w:rsidRDefault="003E3ED9" w:rsidP="003E3ED9">
      <w:pPr>
        <w:tabs>
          <w:tab w:val="right" w:pos="9072"/>
        </w:tabs>
        <w:jc w:val="both"/>
        <w:rPr>
          <w:rFonts w:cs="Arial"/>
          <w:szCs w:val="20"/>
        </w:rPr>
      </w:pPr>
    </w:p>
    <w:p w14:paraId="28629B9A" w14:textId="77777777" w:rsidR="003E3ED9" w:rsidRPr="00830439" w:rsidRDefault="003E3ED9" w:rsidP="003E3ED9">
      <w:pPr>
        <w:tabs>
          <w:tab w:val="right" w:pos="9072"/>
        </w:tabs>
        <w:jc w:val="both"/>
        <w:rPr>
          <w:rFonts w:cs="Arial"/>
          <w:szCs w:val="20"/>
        </w:rPr>
      </w:pPr>
      <w:r w:rsidRPr="00830439">
        <w:rPr>
          <w:rFonts w:cs="Arial"/>
          <w:szCs w:val="20"/>
        </w:rPr>
        <w:t>Upravljavska provizija krije organizacijske in infrastrukturne ter operativne stroške upravljavca sklada skladov, potrebne za izvajanje njegovih nalog v zvezi z izvajanjem sklada skladov.</w:t>
      </w:r>
    </w:p>
    <w:p w14:paraId="69F81B84" w14:textId="77777777" w:rsidR="003E3ED9" w:rsidRPr="00830439" w:rsidRDefault="003E3ED9" w:rsidP="003E3ED9">
      <w:pPr>
        <w:tabs>
          <w:tab w:val="right" w:pos="9072"/>
        </w:tabs>
        <w:jc w:val="both"/>
        <w:rPr>
          <w:rFonts w:cs="Arial"/>
          <w:szCs w:val="20"/>
        </w:rPr>
      </w:pPr>
    </w:p>
    <w:p w14:paraId="6E44761C" w14:textId="77777777" w:rsidR="003E3ED9" w:rsidRPr="00830439" w:rsidRDefault="003E3ED9" w:rsidP="003E3ED9">
      <w:pPr>
        <w:tabs>
          <w:tab w:val="right" w:pos="9072"/>
        </w:tabs>
        <w:jc w:val="both"/>
        <w:rPr>
          <w:rFonts w:cs="Arial"/>
          <w:szCs w:val="20"/>
        </w:rPr>
      </w:pPr>
      <w:r w:rsidRPr="00830439">
        <w:rPr>
          <w:rFonts w:cs="Arial"/>
          <w:szCs w:val="20"/>
        </w:rPr>
        <w:t>Do upravljavske provizije so upravičeni tudi finančni posredniki po Delegirani uredbi Komisije (EU) št. 480/2014.</w:t>
      </w:r>
      <w:r w:rsidRPr="00830439" w:rsidDel="000154F0">
        <w:rPr>
          <w:rFonts w:cs="Arial"/>
          <w:szCs w:val="20"/>
        </w:rPr>
        <w:t xml:space="preserve"> </w:t>
      </w:r>
      <w:r w:rsidRPr="00830439">
        <w:rPr>
          <w:rFonts w:cs="Arial"/>
          <w:szCs w:val="20"/>
        </w:rPr>
        <w:t>Takšno provizijo in nadomestilo dogovorita finančni posrednik in upravljavec sklada skladov v medsebojni pogodbi, pri čemer le-ta ne presega pragov iz 13. člena Delegirane uredbe Komisije (EU) 480/2014.</w:t>
      </w:r>
    </w:p>
    <w:p w14:paraId="5374043C" w14:textId="77777777" w:rsidR="003E3ED9" w:rsidRPr="00830439" w:rsidRDefault="003E3ED9" w:rsidP="003E3ED9">
      <w:pPr>
        <w:tabs>
          <w:tab w:val="right" w:pos="9072"/>
        </w:tabs>
        <w:jc w:val="both"/>
        <w:rPr>
          <w:rFonts w:cs="Arial"/>
          <w:szCs w:val="20"/>
        </w:rPr>
      </w:pPr>
      <w:r w:rsidRPr="00830439">
        <w:rPr>
          <w:rFonts w:cs="Arial"/>
          <w:szCs w:val="20"/>
        </w:rPr>
        <w:t>Sredstva ESIF dodeljena za operacijo Sklad skladov uporabljena za upravljavsko provizijo vplivajo na obseg sredstev ESIF za končne prejemnike.</w:t>
      </w:r>
    </w:p>
    <w:p w14:paraId="24D35993" w14:textId="77777777" w:rsidR="003E3ED9" w:rsidRPr="002A1F16" w:rsidRDefault="003E3ED9" w:rsidP="003E3ED9">
      <w:pPr>
        <w:spacing w:before="240" w:after="120"/>
        <w:ind w:left="2"/>
        <w:outlineLvl w:val="0"/>
        <w:rPr>
          <w:rFonts w:cs="Arial"/>
          <w:b/>
          <w:color w:val="AACDDB"/>
          <w:szCs w:val="20"/>
        </w:rPr>
      </w:pPr>
      <w:bookmarkStart w:id="59" w:name="_Toc54857930"/>
      <w:bookmarkStart w:id="60" w:name="_Toc132097840"/>
      <w:r w:rsidRPr="002A1F16">
        <w:rPr>
          <w:rFonts w:cs="Arial"/>
          <w:b/>
          <w:color w:val="AACDDB"/>
          <w:szCs w:val="20"/>
        </w:rPr>
        <w:t>9.3 Hranjenje dokumentacije</w:t>
      </w:r>
      <w:bookmarkEnd w:id="59"/>
      <w:bookmarkEnd w:id="60"/>
    </w:p>
    <w:p w14:paraId="5B2025D5" w14:textId="77777777" w:rsidR="003E3ED9" w:rsidRPr="00830439" w:rsidRDefault="003E3ED9" w:rsidP="003E3ED9">
      <w:pPr>
        <w:tabs>
          <w:tab w:val="right" w:pos="9072"/>
        </w:tabs>
        <w:jc w:val="both"/>
        <w:rPr>
          <w:rFonts w:cs="Arial"/>
          <w:szCs w:val="20"/>
        </w:rPr>
      </w:pPr>
      <w:r w:rsidRPr="00830439">
        <w:rPr>
          <w:rFonts w:cs="Arial"/>
          <w:szCs w:val="20"/>
        </w:rPr>
        <w:lastRenderedPageBreak/>
        <w:t>Upravljavec sklada skladov je dolžan hraniti vse dokumente v zvezi z nalaganjem sredstev evropske kohezijske politike najmanj 10 let po zaključku izvajanja FI. Podrobneje je določeno v sporazumu o financiranju.</w:t>
      </w:r>
    </w:p>
    <w:p w14:paraId="7B583684" w14:textId="77777777" w:rsidR="003E3ED9" w:rsidRPr="00830439" w:rsidRDefault="003E3ED9" w:rsidP="003E3ED9">
      <w:pPr>
        <w:tabs>
          <w:tab w:val="right" w:pos="9072"/>
        </w:tabs>
        <w:jc w:val="both"/>
        <w:rPr>
          <w:rFonts w:cs="Arial"/>
          <w:szCs w:val="20"/>
        </w:rPr>
      </w:pPr>
    </w:p>
    <w:p w14:paraId="02305381" w14:textId="77777777" w:rsidR="003E3ED9" w:rsidRPr="00830439" w:rsidRDefault="003E3ED9" w:rsidP="003E3ED9">
      <w:pPr>
        <w:tabs>
          <w:tab w:val="right" w:pos="9072"/>
        </w:tabs>
        <w:jc w:val="both"/>
        <w:rPr>
          <w:rFonts w:cs="Arial"/>
          <w:szCs w:val="20"/>
        </w:rPr>
      </w:pPr>
      <w:r w:rsidRPr="00830439">
        <w:rPr>
          <w:rFonts w:cs="Arial"/>
          <w:szCs w:val="20"/>
        </w:rPr>
        <w:t>Vsi deležniki vključeni v izvajanje FI (upravljavec sklada skladov, finančni posredniki, PO, sodelujoča ministrstva in drugi) hranijo vso dokumentacijo in omogočajo kontrolo izvajanja nadzora nad porabo sredstev ter vpogled v celotno dokumentacijo kontrolnim in revizijskim organom (Računskemu sodišču RS, Uradu RS za nadzor proračuna, OU, PO, Ministrstvu za finance, Organu za potrjevanje in predstavnikom Evropske komisije ter Evropskega računskega sodišča ter ostalim institucijam, vključenim v izvajanje evropske kohezijske politike), vsaj do 31. 12. 2027 oz. 10 let po zaključku FI.</w:t>
      </w:r>
    </w:p>
    <w:p w14:paraId="13001E8F" w14:textId="77777777" w:rsidR="003E3ED9" w:rsidRPr="00830439" w:rsidRDefault="003E3ED9" w:rsidP="003E3ED9">
      <w:pPr>
        <w:tabs>
          <w:tab w:val="right" w:pos="9072"/>
        </w:tabs>
        <w:jc w:val="both"/>
        <w:rPr>
          <w:rFonts w:cs="Arial"/>
          <w:szCs w:val="20"/>
        </w:rPr>
      </w:pPr>
    </w:p>
    <w:p w14:paraId="06A10B41" w14:textId="77777777" w:rsidR="003E3ED9" w:rsidRPr="00830439" w:rsidRDefault="003E3ED9" w:rsidP="003E3ED9">
      <w:pPr>
        <w:tabs>
          <w:tab w:val="right" w:pos="9072"/>
        </w:tabs>
        <w:jc w:val="both"/>
        <w:rPr>
          <w:rFonts w:cs="Arial"/>
          <w:szCs w:val="20"/>
        </w:rPr>
      </w:pPr>
      <w:r w:rsidRPr="00830439">
        <w:rPr>
          <w:rFonts w:cs="Arial"/>
          <w:szCs w:val="20"/>
        </w:rPr>
        <w:t>Upravljavec sklada skladov je dolžan hraniti vse dokumente v zvezi z izvajanjem FI. Natančnejši obseg dokumentacije se določi v okviru sporazuma o financiranju.</w:t>
      </w:r>
    </w:p>
    <w:p w14:paraId="6B3962AD" w14:textId="77777777" w:rsidR="003E3ED9" w:rsidRPr="00830439" w:rsidRDefault="003E3ED9" w:rsidP="003E3ED9">
      <w:pPr>
        <w:tabs>
          <w:tab w:val="right" w:pos="9072"/>
        </w:tabs>
        <w:jc w:val="both"/>
        <w:rPr>
          <w:rFonts w:cs="Arial"/>
          <w:szCs w:val="20"/>
        </w:rPr>
      </w:pPr>
    </w:p>
    <w:p w14:paraId="138B6B2E" w14:textId="77777777" w:rsidR="003E3ED9" w:rsidRPr="00830439" w:rsidRDefault="003E3ED9" w:rsidP="003E3ED9">
      <w:pPr>
        <w:tabs>
          <w:tab w:val="right" w:pos="9072"/>
        </w:tabs>
        <w:jc w:val="both"/>
        <w:rPr>
          <w:rFonts w:cs="Arial"/>
          <w:szCs w:val="20"/>
        </w:rPr>
      </w:pPr>
      <w:r w:rsidRPr="00830439">
        <w:rPr>
          <w:rFonts w:cs="Arial"/>
          <w:szCs w:val="20"/>
        </w:rPr>
        <w:t>Prav tako so končni prejemniki dolžni hraniti vse dokumente v zvezi s sredstvi evropske kohezijske politike. Ti dokumenti lahko obsegajo:</w:t>
      </w:r>
    </w:p>
    <w:p w14:paraId="669B7F94" w14:textId="77777777" w:rsidR="003E3ED9" w:rsidRPr="00830439" w:rsidRDefault="003E3ED9" w:rsidP="003E3ED9">
      <w:pPr>
        <w:numPr>
          <w:ilvl w:val="0"/>
          <w:numId w:val="58"/>
        </w:numPr>
        <w:tabs>
          <w:tab w:val="right" w:pos="9072"/>
        </w:tabs>
        <w:spacing w:line="240" w:lineRule="atLeast"/>
        <w:contextualSpacing/>
        <w:jc w:val="both"/>
        <w:rPr>
          <w:rFonts w:eastAsia="Calibri" w:cs="Arial"/>
          <w:szCs w:val="20"/>
        </w:rPr>
      </w:pPr>
      <w:r w:rsidRPr="00830439">
        <w:rPr>
          <w:rFonts w:eastAsia="Calibri" w:cs="Arial"/>
          <w:szCs w:val="20"/>
        </w:rPr>
        <w:t>prijavne obrazce s spremljajočimi dokumenti, vključno s poslovnimi načrti in preteklimi letnimi izkazi,</w:t>
      </w:r>
    </w:p>
    <w:p w14:paraId="767A2F9F" w14:textId="77777777" w:rsidR="003E3ED9" w:rsidRPr="00830439" w:rsidRDefault="003E3ED9" w:rsidP="003E3ED9">
      <w:pPr>
        <w:numPr>
          <w:ilvl w:val="0"/>
          <w:numId w:val="58"/>
        </w:numPr>
        <w:tabs>
          <w:tab w:val="right" w:pos="9072"/>
        </w:tabs>
        <w:spacing w:line="240" w:lineRule="atLeast"/>
        <w:contextualSpacing/>
        <w:jc w:val="both"/>
        <w:rPr>
          <w:rFonts w:eastAsia="Calibri" w:cs="Arial"/>
          <w:szCs w:val="20"/>
        </w:rPr>
      </w:pPr>
      <w:r w:rsidRPr="00830439">
        <w:rPr>
          <w:rFonts w:eastAsia="Calibri" w:cs="Arial"/>
          <w:szCs w:val="20"/>
        </w:rPr>
        <w:t>letna poročila, poslovna poročila in morebitna druga poročila.</w:t>
      </w:r>
    </w:p>
    <w:p w14:paraId="4881E551" w14:textId="77777777" w:rsidR="003E3ED9" w:rsidRPr="00830439" w:rsidRDefault="003E3ED9" w:rsidP="003E3ED9">
      <w:pPr>
        <w:tabs>
          <w:tab w:val="right" w:pos="9072"/>
        </w:tabs>
        <w:jc w:val="both"/>
        <w:rPr>
          <w:rFonts w:cs="Arial"/>
          <w:szCs w:val="20"/>
        </w:rPr>
      </w:pPr>
      <w:r w:rsidRPr="00830439">
        <w:rPr>
          <w:rFonts w:cs="Arial"/>
          <w:szCs w:val="20"/>
        </w:rPr>
        <w:t>Končni prejemniki so dolžni predhodno navedeno dokumentacijo in evidence, na pisno zahtevo, posredovati pristojnim državnim organom in organom Evropske komisije.</w:t>
      </w:r>
    </w:p>
    <w:p w14:paraId="3A472653" w14:textId="77777777" w:rsidR="003E3ED9" w:rsidRPr="002A1F16" w:rsidRDefault="003E3ED9" w:rsidP="003E3ED9">
      <w:pPr>
        <w:spacing w:before="240" w:after="120"/>
        <w:ind w:left="2"/>
        <w:outlineLvl w:val="0"/>
        <w:rPr>
          <w:rFonts w:cs="Arial"/>
          <w:b/>
          <w:color w:val="AACDDB"/>
          <w:szCs w:val="20"/>
        </w:rPr>
      </w:pPr>
      <w:bookmarkStart w:id="61" w:name="_Toc54857931"/>
      <w:bookmarkStart w:id="62" w:name="_Toc132097841"/>
      <w:r w:rsidRPr="002A1F16">
        <w:rPr>
          <w:rFonts w:cs="Arial"/>
          <w:b/>
          <w:color w:val="AACDDB"/>
          <w:szCs w:val="20"/>
        </w:rPr>
        <w:t>9.4 Spremljanje državnih pomoči</w:t>
      </w:r>
      <w:bookmarkEnd w:id="61"/>
      <w:bookmarkEnd w:id="62"/>
    </w:p>
    <w:p w14:paraId="56960615" w14:textId="77777777" w:rsidR="003E3ED9" w:rsidRPr="00830439" w:rsidRDefault="003E3ED9" w:rsidP="003E3ED9">
      <w:pPr>
        <w:tabs>
          <w:tab w:val="right" w:pos="9072"/>
        </w:tabs>
        <w:jc w:val="both"/>
        <w:rPr>
          <w:rFonts w:cs="Arial"/>
          <w:szCs w:val="20"/>
        </w:rPr>
      </w:pPr>
      <w:r w:rsidRPr="00830439">
        <w:rPr>
          <w:rFonts w:cs="Arial"/>
          <w:szCs w:val="20"/>
        </w:rPr>
        <w:t xml:space="preserve">Državne pomoči se pri izvajanju finančnih instrumentov lahko pojavijo na več ravneh: na ravni sklada skladov, finančnih posrednikov in zasebnih investitorjev ter končnih prejemnikov. Pri zasnovi sistema izvajanja FI v Republiki Sloveniji se zasleduje cilj, da se pogoji opredelijo na način, da do državne pomoči na ravni sklada skladov ter finančnih posrednikov in zasebnih investitorjev ne bi prišlo. Slednje bo opredeljeno v sporazumih o financiranju. Na ravni končnih upravičencev se bodo FI izvajali skladno s pravili državnih pomoči oz. de </w:t>
      </w:r>
      <w:proofErr w:type="spellStart"/>
      <w:r w:rsidRPr="00830439">
        <w:rPr>
          <w:rFonts w:cs="Arial"/>
          <w:szCs w:val="20"/>
        </w:rPr>
        <w:t>minimis</w:t>
      </w:r>
      <w:proofErr w:type="spellEnd"/>
      <w:r w:rsidRPr="00830439">
        <w:rPr>
          <w:rFonts w:cs="Arial"/>
          <w:szCs w:val="20"/>
        </w:rPr>
        <w:t xml:space="preserve"> pomoči. V tem primeru se bodo uporabile obstoječe sheme državnih oz. de </w:t>
      </w:r>
      <w:proofErr w:type="spellStart"/>
      <w:r w:rsidRPr="00830439">
        <w:rPr>
          <w:rFonts w:cs="Arial"/>
          <w:szCs w:val="20"/>
        </w:rPr>
        <w:t>minimis</w:t>
      </w:r>
      <w:proofErr w:type="spellEnd"/>
      <w:r w:rsidRPr="00830439">
        <w:rPr>
          <w:rFonts w:cs="Arial"/>
          <w:szCs w:val="20"/>
        </w:rPr>
        <w:t xml:space="preserve"> pomoči ali se bo priglasila nova državna oz. de </w:t>
      </w:r>
      <w:proofErr w:type="spellStart"/>
      <w:r w:rsidRPr="00830439">
        <w:rPr>
          <w:rFonts w:cs="Arial"/>
          <w:szCs w:val="20"/>
        </w:rPr>
        <w:t>minimis</w:t>
      </w:r>
      <w:proofErr w:type="spellEnd"/>
      <w:r w:rsidRPr="00830439">
        <w:rPr>
          <w:rFonts w:cs="Arial"/>
          <w:szCs w:val="20"/>
        </w:rPr>
        <w:t xml:space="preserve"> pomoč. Podrobneje bodo pogoji glede državnih pomoči opredeljeni v sporazumu o financiranju.</w:t>
      </w:r>
    </w:p>
    <w:p w14:paraId="54743BDA" w14:textId="77777777" w:rsidR="003E3ED9" w:rsidRPr="00830439" w:rsidRDefault="003E3ED9" w:rsidP="003E3ED9">
      <w:pPr>
        <w:tabs>
          <w:tab w:val="right" w:pos="9072"/>
        </w:tabs>
        <w:jc w:val="both"/>
        <w:rPr>
          <w:rFonts w:cs="Arial"/>
          <w:szCs w:val="20"/>
        </w:rPr>
      </w:pPr>
    </w:p>
    <w:p w14:paraId="0A290D70" w14:textId="77777777" w:rsidR="003E3ED9" w:rsidRPr="00830439" w:rsidRDefault="003E3ED9" w:rsidP="003E3ED9">
      <w:pPr>
        <w:tabs>
          <w:tab w:val="right" w:pos="9072"/>
        </w:tabs>
        <w:jc w:val="both"/>
        <w:rPr>
          <w:rFonts w:cs="Arial"/>
          <w:szCs w:val="20"/>
        </w:rPr>
      </w:pPr>
      <w:r w:rsidRPr="00830439">
        <w:rPr>
          <w:rFonts w:cs="Arial"/>
          <w:szCs w:val="20"/>
        </w:rPr>
        <w:t xml:space="preserve">Upravljavec sklada skladov spremlja državne in de </w:t>
      </w:r>
      <w:proofErr w:type="spellStart"/>
      <w:r w:rsidRPr="00830439">
        <w:rPr>
          <w:rFonts w:cs="Arial"/>
          <w:szCs w:val="20"/>
        </w:rPr>
        <w:t>minimis</w:t>
      </w:r>
      <w:proofErr w:type="spellEnd"/>
      <w:r w:rsidRPr="00830439">
        <w:rPr>
          <w:rFonts w:cs="Arial"/>
          <w:szCs w:val="20"/>
        </w:rPr>
        <w:t xml:space="preserve"> pomoči na vseh nivojih (na nivoju finančnih posrednikov in zasebne investitorje ter končnih prejemnikov) ter o tem poroča Ministrstvu za finance skladno z Zakonom o spremljanju državnih pomoči (Uradni list RS, št. 37/04).</w:t>
      </w:r>
    </w:p>
    <w:p w14:paraId="63F54319" w14:textId="77777777" w:rsidR="003E3ED9" w:rsidRPr="002A1F16" w:rsidRDefault="003E3ED9" w:rsidP="003E3ED9">
      <w:pPr>
        <w:spacing w:before="240" w:after="120"/>
        <w:ind w:left="2"/>
        <w:outlineLvl w:val="0"/>
        <w:rPr>
          <w:rFonts w:cs="Arial"/>
          <w:b/>
          <w:color w:val="AACDDB"/>
          <w:szCs w:val="20"/>
        </w:rPr>
      </w:pPr>
      <w:bookmarkStart w:id="63" w:name="_Toc132097842"/>
      <w:r w:rsidRPr="002A1F16">
        <w:rPr>
          <w:rFonts w:cs="Arial"/>
          <w:b/>
          <w:color w:val="AACDDB"/>
          <w:szCs w:val="20"/>
        </w:rPr>
        <w:t>9.5 Spremljanje ciljev in kazalnikov</w:t>
      </w:r>
      <w:bookmarkEnd w:id="63"/>
    </w:p>
    <w:p w14:paraId="531C05E0" w14:textId="77777777" w:rsidR="003E3ED9" w:rsidRPr="00830439" w:rsidRDefault="003E3ED9" w:rsidP="003E3ED9">
      <w:pPr>
        <w:tabs>
          <w:tab w:val="right" w:pos="9072"/>
        </w:tabs>
        <w:jc w:val="both"/>
        <w:rPr>
          <w:rFonts w:cs="Arial"/>
          <w:szCs w:val="20"/>
        </w:rPr>
      </w:pPr>
      <w:r w:rsidRPr="00830439">
        <w:rPr>
          <w:rFonts w:cs="Arial"/>
          <w:szCs w:val="20"/>
        </w:rPr>
        <w:t>Upravljavec sklada skladov je dolžan spremljati izvajanje vsebin, slediti ciljem, spremljati izpolnjevanje kazalnikov in o doseganju njihovih ciljnih vrednosti poročati PO skladno s prednostnimi naložbami OP 2014-2020, ki ga potrdi OU.</w:t>
      </w:r>
    </w:p>
    <w:p w14:paraId="751A3C83" w14:textId="77777777" w:rsidR="003E3ED9" w:rsidRPr="00830439" w:rsidRDefault="003E3ED9" w:rsidP="003E3ED9">
      <w:pPr>
        <w:tabs>
          <w:tab w:val="right" w:pos="9072"/>
        </w:tabs>
        <w:jc w:val="both"/>
        <w:rPr>
          <w:rFonts w:cs="Arial"/>
          <w:szCs w:val="20"/>
        </w:rPr>
      </w:pPr>
    </w:p>
    <w:p w14:paraId="0A905B23" w14:textId="77777777" w:rsidR="003E3ED9" w:rsidRPr="00830439" w:rsidRDefault="003E3ED9" w:rsidP="003E3ED9">
      <w:pPr>
        <w:tabs>
          <w:tab w:val="right" w:pos="9072"/>
        </w:tabs>
        <w:jc w:val="both"/>
        <w:rPr>
          <w:rFonts w:cs="Arial"/>
          <w:szCs w:val="20"/>
        </w:rPr>
      </w:pPr>
      <w:r w:rsidRPr="00830439">
        <w:rPr>
          <w:rFonts w:cs="Arial"/>
          <w:szCs w:val="20"/>
        </w:rPr>
        <w:t>V spodnji tabeli so predstavljeni kazalniki po posameznih področjih iz OP 2014-2020: MSP, RRI, energetska učinkovitost in urbani razvoj. Vrednosti kazalnikov so okvirne, v sporazumu o financiranju pa bodo podrobneje opredeljene, prav tako pa tudi vsebina, dinamika poročanja, način izračuna, način zajema ipd.</w:t>
      </w:r>
    </w:p>
    <w:p w14:paraId="5F0516C5" w14:textId="77777777" w:rsidR="003E3ED9" w:rsidRPr="00830439" w:rsidRDefault="003E3ED9" w:rsidP="003E3ED9">
      <w:pPr>
        <w:tabs>
          <w:tab w:val="right" w:pos="9072"/>
        </w:tabs>
        <w:jc w:val="both"/>
        <w:rPr>
          <w:rFonts w:cs="Arial"/>
          <w:szCs w:val="20"/>
        </w:rPr>
      </w:pPr>
    </w:p>
    <w:p w14:paraId="6147613A" w14:textId="77777777" w:rsidR="003E3ED9" w:rsidRPr="00830439" w:rsidRDefault="003E3ED9" w:rsidP="003E3ED9">
      <w:pPr>
        <w:tabs>
          <w:tab w:val="right" w:pos="9072"/>
        </w:tabs>
        <w:jc w:val="both"/>
        <w:rPr>
          <w:rFonts w:cs="Arial"/>
          <w:szCs w:val="20"/>
        </w:rPr>
      </w:pPr>
      <w:r w:rsidRPr="00830439">
        <w:rPr>
          <w:rFonts w:cs="Arial"/>
          <w:szCs w:val="20"/>
        </w:rPr>
        <w:t>V sporazumu o financiranju se lahko opredelijo dodatni kazalniki, ki jih je potrebno spremljati (npr. dodana vrednost na zaposlenega v podprtih podjetjih, nova in ohranjena delovna mesta v podprtih podjetjih ipd.).</w:t>
      </w:r>
    </w:p>
    <w:p w14:paraId="0A69C9DC" w14:textId="77777777" w:rsidR="003E3ED9" w:rsidRPr="00830439" w:rsidRDefault="003E3ED9" w:rsidP="003E3ED9">
      <w:pPr>
        <w:tabs>
          <w:tab w:val="right" w:pos="9072"/>
        </w:tabs>
        <w:jc w:val="both"/>
        <w:rPr>
          <w:rFonts w:cs="Arial"/>
          <w:szCs w:val="20"/>
        </w:rPr>
      </w:pPr>
    </w:p>
    <w:p w14:paraId="1771C3F5" w14:textId="77777777" w:rsidR="003E3ED9" w:rsidRPr="00F60B42" w:rsidRDefault="003E3ED9" w:rsidP="003E3ED9">
      <w:pPr>
        <w:keepNext/>
        <w:spacing w:line="240" w:lineRule="auto"/>
        <w:jc w:val="both"/>
        <w:rPr>
          <w:rFonts w:cs="Arial"/>
          <w:szCs w:val="20"/>
        </w:rPr>
      </w:pPr>
      <w:bookmarkStart w:id="64" w:name="_Toc132097866"/>
      <w:r w:rsidRPr="00830439">
        <w:rPr>
          <w:rFonts w:cs="Arial"/>
          <w:szCs w:val="20"/>
        </w:rPr>
        <w:lastRenderedPageBreak/>
        <w:t xml:space="preserve">Tabela </w:t>
      </w:r>
      <w:r w:rsidRPr="00F60B42">
        <w:rPr>
          <w:rFonts w:cs="Arial"/>
          <w:szCs w:val="20"/>
        </w:rPr>
        <w:fldChar w:fldCharType="begin"/>
      </w:r>
      <w:r w:rsidRPr="00830439">
        <w:rPr>
          <w:rFonts w:cs="Arial"/>
          <w:szCs w:val="20"/>
        </w:rPr>
        <w:instrText xml:space="preserve"> SEQ Tabela \* ARABIC </w:instrText>
      </w:r>
      <w:r w:rsidRPr="00F60B42">
        <w:rPr>
          <w:rFonts w:cs="Arial"/>
          <w:szCs w:val="20"/>
        </w:rPr>
        <w:fldChar w:fldCharType="separate"/>
      </w:r>
      <w:r>
        <w:rPr>
          <w:rFonts w:cs="Arial"/>
          <w:noProof/>
          <w:szCs w:val="20"/>
        </w:rPr>
        <w:t>15</w:t>
      </w:r>
      <w:r w:rsidRPr="00F60B42">
        <w:rPr>
          <w:rFonts w:cs="Arial"/>
          <w:szCs w:val="20"/>
        </w:rPr>
        <w:fldChar w:fldCharType="end"/>
      </w:r>
      <w:r w:rsidRPr="00830439">
        <w:rPr>
          <w:rFonts w:cs="Arial"/>
          <w:szCs w:val="20"/>
        </w:rPr>
        <w:t>: Kvantitativni cilji</w:t>
      </w:r>
      <w:r w:rsidRPr="00F60B42">
        <w:rPr>
          <w:rFonts w:cs="Arial"/>
          <w:szCs w:val="20"/>
        </w:rPr>
        <w:t xml:space="preserve"> po prednostnih naložbah in finančnih instrumentih*</w:t>
      </w:r>
      <w:bookmarkEnd w:id="64"/>
    </w:p>
    <w:tbl>
      <w:tblPr>
        <w:tblStyle w:val="Tabelamrea"/>
        <w:tblW w:w="0" w:type="auto"/>
        <w:jc w:val="center"/>
        <w:tblLook w:val="04A0" w:firstRow="1" w:lastRow="0" w:firstColumn="1" w:lastColumn="0" w:noHBand="0" w:noVBand="1"/>
      </w:tblPr>
      <w:tblGrid>
        <w:gridCol w:w="1188"/>
        <w:gridCol w:w="1471"/>
        <w:gridCol w:w="992"/>
        <w:gridCol w:w="702"/>
        <w:gridCol w:w="1302"/>
        <w:gridCol w:w="1561"/>
        <w:gridCol w:w="1272"/>
      </w:tblGrid>
      <w:tr w:rsidR="003E3ED9" w:rsidRPr="00830439" w14:paraId="106F5417" w14:textId="77777777" w:rsidTr="00E8716B">
        <w:trPr>
          <w:jc w:val="center"/>
        </w:trPr>
        <w:tc>
          <w:tcPr>
            <w:tcW w:w="0" w:type="auto"/>
          </w:tcPr>
          <w:p w14:paraId="027748FA" w14:textId="77777777" w:rsidR="003E3ED9" w:rsidRPr="00F60B42" w:rsidRDefault="003E3ED9" w:rsidP="00E8716B">
            <w:pPr>
              <w:suppressAutoHyphens/>
              <w:rPr>
                <w:rFonts w:eastAsia="Calibri" w:cs="Arial"/>
                <w:color w:val="000000"/>
              </w:rPr>
            </w:pPr>
            <w:r w:rsidRPr="00F60B42">
              <w:rPr>
                <w:rFonts w:eastAsia="Calibri" w:cs="Arial"/>
                <w:color w:val="000000"/>
              </w:rPr>
              <w:t>Prednostna naložba</w:t>
            </w:r>
          </w:p>
        </w:tc>
        <w:tc>
          <w:tcPr>
            <w:tcW w:w="0" w:type="auto"/>
          </w:tcPr>
          <w:p w14:paraId="3537506D" w14:textId="77777777" w:rsidR="003E3ED9" w:rsidRPr="00830439" w:rsidRDefault="003E3ED9" w:rsidP="00E8716B">
            <w:pPr>
              <w:suppressAutoHyphens/>
              <w:rPr>
                <w:rFonts w:eastAsia="Calibri" w:cs="Arial"/>
                <w:color w:val="000000"/>
              </w:rPr>
            </w:pPr>
            <w:r w:rsidRPr="00830439">
              <w:rPr>
                <w:rFonts w:eastAsia="Calibri" w:cs="Arial"/>
                <w:color w:val="000000"/>
              </w:rPr>
              <w:t>Finančni instrument</w:t>
            </w:r>
          </w:p>
        </w:tc>
        <w:tc>
          <w:tcPr>
            <w:tcW w:w="0" w:type="auto"/>
          </w:tcPr>
          <w:p w14:paraId="26152285" w14:textId="77777777" w:rsidR="003E3ED9" w:rsidRPr="00830439" w:rsidRDefault="003E3ED9" w:rsidP="00E8716B">
            <w:pPr>
              <w:suppressAutoHyphens/>
              <w:rPr>
                <w:rFonts w:eastAsia="Calibri" w:cs="Arial"/>
                <w:color w:val="000000"/>
              </w:rPr>
            </w:pPr>
            <w:r w:rsidRPr="00830439">
              <w:rPr>
                <w:rFonts w:eastAsia="Calibri" w:cs="Arial"/>
                <w:color w:val="000000"/>
              </w:rPr>
              <w:t xml:space="preserve"> Vrsta kazalnika</w:t>
            </w:r>
          </w:p>
        </w:tc>
        <w:tc>
          <w:tcPr>
            <w:tcW w:w="0" w:type="auto"/>
          </w:tcPr>
          <w:p w14:paraId="13DA0649" w14:textId="77777777" w:rsidR="003E3ED9" w:rsidRPr="00830439" w:rsidRDefault="003E3ED9" w:rsidP="00E8716B">
            <w:pPr>
              <w:suppressAutoHyphens/>
              <w:rPr>
                <w:rFonts w:eastAsia="Calibri" w:cs="Arial"/>
                <w:color w:val="000000"/>
              </w:rPr>
            </w:pPr>
          </w:p>
        </w:tc>
        <w:tc>
          <w:tcPr>
            <w:tcW w:w="0" w:type="auto"/>
          </w:tcPr>
          <w:p w14:paraId="2E2FDA50" w14:textId="77777777" w:rsidR="003E3ED9" w:rsidRPr="00830439" w:rsidRDefault="003E3ED9" w:rsidP="00E8716B">
            <w:pPr>
              <w:suppressAutoHyphens/>
              <w:rPr>
                <w:rFonts w:eastAsia="Calibri" w:cs="Arial"/>
                <w:color w:val="000000"/>
              </w:rPr>
            </w:pPr>
            <w:r w:rsidRPr="00830439">
              <w:rPr>
                <w:rFonts w:eastAsia="Calibri" w:cs="Arial"/>
                <w:color w:val="000000"/>
              </w:rPr>
              <w:t xml:space="preserve"> Kazalnik</w:t>
            </w:r>
          </w:p>
        </w:tc>
        <w:tc>
          <w:tcPr>
            <w:tcW w:w="0" w:type="auto"/>
          </w:tcPr>
          <w:p w14:paraId="7CD706F3" w14:textId="77777777" w:rsidR="003E3ED9" w:rsidRPr="00830439" w:rsidRDefault="003E3ED9" w:rsidP="00E8716B">
            <w:pPr>
              <w:suppressAutoHyphens/>
              <w:rPr>
                <w:rFonts w:eastAsia="Calibri" w:cs="Arial"/>
                <w:color w:val="000000"/>
              </w:rPr>
            </w:pPr>
            <w:r w:rsidRPr="00830439">
              <w:rPr>
                <w:rFonts w:eastAsia="Calibri" w:cs="Arial"/>
                <w:color w:val="000000"/>
              </w:rPr>
              <w:t>Vrednost kazalnika</w:t>
            </w:r>
          </w:p>
        </w:tc>
        <w:tc>
          <w:tcPr>
            <w:tcW w:w="0" w:type="auto"/>
          </w:tcPr>
          <w:p w14:paraId="60329AF3" w14:textId="77777777" w:rsidR="003E3ED9" w:rsidRPr="00830439" w:rsidRDefault="003E3ED9" w:rsidP="00E8716B">
            <w:pPr>
              <w:suppressAutoHyphens/>
              <w:rPr>
                <w:rFonts w:eastAsia="Calibri" w:cs="Arial"/>
                <w:color w:val="000000"/>
              </w:rPr>
            </w:pPr>
            <w:r w:rsidRPr="00830439">
              <w:rPr>
                <w:rFonts w:eastAsia="Calibri" w:cs="Arial"/>
                <w:color w:val="000000"/>
              </w:rPr>
              <w:t>Vrednost kazalnika – prispevek k OP 2014 - 2020</w:t>
            </w:r>
          </w:p>
        </w:tc>
      </w:tr>
      <w:tr w:rsidR="003E3ED9" w:rsidRPr="00830439" w14:paraId="1D3A2C6D" w14:textId="77777777" w:rsidTr="00E8716B">
        <w:trPr>
          <w:jc w:val="center"/>
        </w:trPr>
        <w:tc>
          <w:tcPr>
            <w:tcW w:w="0" w:type="auto"/>
            <w:vMerge w:val="restart"/>
          </w:tcPr>
          <w:p w14:paraId="19F9BAD8" w14:textId="77777777" w:rsidR="003E3ED9" w:rsidRPr="00F60B42" w:rsidRDefault="003E3ED9" w:rsidP="00E8716B">
            <w:pPr>
              <w:suppressAutoHyphens/>
              <w:rPr>
                <w:rFonts w:eastAsia="Calibri" w:cs="Arial"/>
                <w:color w:val="000000"/>
              </w:rPr>
            </w:pPr>
            <w:r w:rsidRPr="00830439">
              <w:rPr>
                <w:rFonts w:eastAsia="Calibri" w:cs="Arial"/>
                <w:color w:val="000000"/>
              </w:rPr>
              <w:t>3.1 MSP</w:t>
            </w:r>
          </w:p>
        </w:tc>
        <w:tc>
          <w:tcPr>
            <w:tcW w:w="0" w:type="auto"/>
            <w:vMerge w:val="restart"/>
          </w:tcPr>
          <w:p w14:paraId="1C81A4B2" w14:textId="77777777" w:rsidR="003E3ED9" w:rsidRPr="00F60B42" w:rsidRDefault="003E3ED9" w:rsidP="00E8716B">
            <w:pPr>
              <w:suppressAutoHyphens/>
              <w:rPr>
                <w:rFonts w:eastAsia="Calibri" w:cs="Arial"/>
                <w:color w:val="000000"/>
              </w:rPr>
            </w:pPr>
            <w:r w:rsidRPr="00F60B42">
              <w:rPr>
                <w:rFonts w:eastAsia="Calibri" w:cs="Arial"/>
                <w:color w:val="000000"/>
              </w:rPr>
              <w:t>Mikrokrediti</w:t>
            </w:r>
          </w:p>
        </w:tc>
        <w:tc>
          <w:tcPr>
            <w:tcW w:w="0" w:type="auto"/>
          </w:tcPr>
          <w:p w14:paraId="34980B4B"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47F612CA" w14:textId="77777777" w:rsidR="003E3ED9" w:rsidRPr="00830439" w:rsidRDefault="003E3ED9" w:rsidP="00E8716B">
            <w:pPr>
              <w:suppressAutoHyphens/>
              <w:rPr>
                <w:rFonts w:eastAsia="Calibri" w:cs="Arial"/>
                <w:color w:val="000000"/>
              </w:rPr>
            </w:pPr>
            <w:r w:rsidRPr="00830439">
              <w:rPr>
                <w:rFonts w:eastAsia="Calibri" w:cs="Arial"/>
                <w:color w:val="000000"/>
              </w:rPr>
              <w:t>CO01</w:t>
            </w:r>
          </w:p>
        </w:tc>
        <w:tc>
          <w:tcPr>
            <w:tcW w:w="0" w:type="auto"/>
          </w:tcPr>
          <w:p w14:paraId="463BA15B" w14:textId="77777777" w:rsidR="003E3ED9" w:rsidRPr="00830439" w:rsidRDefault="003E3ED9" w:rsidP="00E8716B">
            <w:pPr>
              <w:suppressAutoHyphens/>
              <w:rPr>
                <w:rFonts w:eastAsia="Calibri" w:cs="Arial"/>
                <w:color w:val="000000"/>
              </w:rPr>
            </w:pPr>
            <w:r w:rsidRPr="00830439">
              <w:rPr>
                <w:rFonts w:eastAsia="Calibri" w:cs="Arial"/>
                <w:color w:val="000000"/>
              </w:rPr>
              <w:t>Število podprtih podjetij</w:t>
            </w:r>
          </w:p>
        </w:tc>
        <w:tc>
          <w:tcPr>
            <w:tcW w:w="0" w:type="auto"/>
          </w:tcPr>
          <w:p w14:paraId="78A9EEF4" w14:textId="77777777" w:rsidR="003E3ED9" w:rsidRPr="00830439" w:rsidRDefault="003E3ED9" w:rsidP="00E8716B">
            <w:pPr>
              <w:suppressAutoHyphens/>
              <w:rPr>
                <w:rFonts w:eastAsia="Calibri" w:cs="Arial"/>
                <w:color w:val="000000"/>
              </w:rPr>
            </w:pPr>
            <w:r w:rsidRPr="00830439">
              <w:rPr>
                <w:rFonts w:eastAsia="Calibri" w:cs="Arial"/>
                <w:color w:val="000000"/>
              </w:rPr>
              <w:t>40 podjetij/1 mio EUR</w:t>
            </w:r>
          </w:p>
        </w:tc>
        <w:tc>
          <w:tcPr>
            <w:tcW w:w="0" w:type="auto"/>
          </w:tcPr>
          <w:p w14:paraId="2A41111C" w14:textId="77777777" w:rsidR="003E3ED9" w:rsidRPr="00830439" w:rsidRDefault="003E3ED9" w:rsidP="00E8716B">
            <w:pPr>
              <w:suppressAutoHyphens/>
              <w:rPr>
                <w:rFonts w:eastAsia="Calibri" w:cs="Arial"/>
                <w:color w:val="000000"/>
              </w:rPr>
            </w:pPr>
            <w:r w:rsidRPr="00830439">
              <w:rPr>
                <w:rFonts w:eastAsia="Calibri" w:cs="Arial"/>
                <w:color w:val="000000"/>
              </w:rPr>
              <w:t>3.211podjetij</w:t>
            </w:r>
          </w:p>
        </w:tc>
      </w:tr>
      <w:tr w:rsidR="003E3ED9" w:rsidRPr="00830439" w14:paraId="7E642D0E" w14:textId="77777777" w:rsidTr="00E8716B">
        <w:trPr>
          <w:jc w:val="center"/>
        </w:trPr>
        <w:tc>
          <w:tcPr>
            <w:tcW w:w="0" w:type="auto"/>
            <w:vMerge/>
          </w:tcPr>
          <w:p w14:paraId="5BC70F7D" w14:textId="77777777" w:rsidR="003E3ED9" w:rsidRPr="00830439" w:rsidRDefault="003E3ED9" w:rsidP="00E8716B">
            <w:pPr>
              <w:suppressAutoHyphens/>
              <w:rPr>
                <w:rFonts w:eastAsia="Calibri" w:cs="Arial"/>
                <w:color w:val="000000"/>
              </w:rPr>
            </w:pPr>
          </w:p>
        </w:tc>
        <w:tc>
          <w:tcPr>
            <w:tcW w:w="0" w:type="auto"/>
            <w:vMerge/>
          </w:tcPr>
          <w:p w14:paraId="7EAA0998" w14:textId="77777777" w:rsidR="003E3ED9" w:rsidRPr="00830439" w:rsidRDefault="003E3ED9" w:rsidP="00E8716B">
            <w:pPr>
              <w:suppressAutoHyphens/>
              <w:rPr>
                <w:rFonts w:eastAsia="Calibri" w:cs="Arial"/>
                <w:color w:val="000000"/>
              </w:rPr>
            </w:pPr>
          </w:p>
        </w:tc>
        <w:tc>
          <w:tcPr>
            <w:tcW w:w="0" w:type="auto"/>
          </w:tcPr>
          <w:p w14:paraId="5C3F0E98"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7A1FB927" w14:textId="77777777" w:rsidR="003E3ED9" w:rsidRPr="00830439" w:rsidRDefault="003E3ED9" w:rsidP="00E8716B">
            <w:pPr>
              <w:suppressAutoHyphens/>
              <w:rPr>
                <w:rFonts w:eastAsia="Calibri" w:cs="Arial"/>
                <w:color w:val="000000"/>
              </w:rPr>
            </w:pPr>
            <w:r w:rsidRPr="00830439">
              <w:rPr>
                <w:rFonts w:eastAsia="Calibri" w:cs="Arial"/>
                <w:color w:val="000000"/>
              </w:rPr>
              <w:t>CO03</w:t>
            </w:r>
          </w:p>
        </w:tc>
        <w:tc>
          <w:tcPr>
            <w:tcW w:w="0" w:type="auto"/>
          </w:tcPr>
          <w:p w14:paraId="2E0F0880" w14:textId="77777777" w:rsidR="003E3ED9" w:rsidRPr="00830439" w:rsidRDefault="003E3ED9" w:rsidP="00E8716B">
            <w:pPr>
              <w:suppressAutoHyphens/>
              <w:rPr>
                <w:rFonts w:eastAsia="Calibri" w:cs="Arial"/>
                <w:color w:val="000000"/>
              </w:rPr>
            </w:pPr>
            <w:r w:rsidRPr="00830439">
              <w:rPr>
                <w:rFonts w:eastAsia="Calibri" w:cs="Arial"/>
                <w:color w:val="000000"/>
              </w:rPr>
              <w:t>Število podjetij, ki prejmemo finančno podporo, ki niso nepovratna sredstva</w:t>
            </w:r>
          </w:p>
        </w:tc>
        <w:tc>
          <w:tcPr>
            <w:tcW w:w="0" w:type="auto"/>
          </w:tcPr>
          <w:p w14:paraId="11C5EFBE" w14:textId="77777777" w:rsidR="003E3ED9" w:rsidRPr="00830439" w:rsidRDefault="003E3ED9" w:rsidP="00E8716B">
            <w:pPr>
              <w:suppressAutoHyphens/>
              <w:rPr>
                <w:rFonts w:eastAsia="Calibri" w:cs="Arial"/>
                <w:color w:val="000000"/>
              </w:rPr>
            </w:pPr>
            <w:r w:rsidRPr="00830439">
              <w:rPr>
                <w:rFonts w:eastAsia="Calibri" w:cs="Arial"/>
                <w:color w:val="000000"/>
              </w:rPr>
              <w:t>40 podjetij/1 mio EUR</w:t>
            </w:r>
          </w:p>
        </w:tc>
        <w:tc>
          <w:tcPr>
            <w:tcW w:w="0" w:type="auto"/>
          </w:tcPr>
          <w:p w14:paraId="718B0C4F" w14:textId="77777777" w:rsidR="003E3ED9" w:rsidRPr="00830439" w:rsidRDefault="003E3ED9" w:rsidP="00E8716B">
            <w:pPr>
              <w:suppressAutoHyphens/>
              <w:rPr>
                <w:rFonts w:eastAsia="Calibri" w:cs="Arial"/>
                <w:color w:val="000000"/>
              </w:rPr>
            </w:pPr>
            <w:r w:rsidRPr="00830439">
              <w:rPr>
                <w:rFonts w:eastAsia="Calibri" w:cs="Arial"/>
                <w:color w:val="000000"/>
              </w:rPr>
              <w:t>3.211 podjetij</w:t>
            </w:r>
          </w:p>
        </w:tc>
      </w:tr>
      <w:tr w:rsidR="003E3ED9" w:rsidRPr="00830439" w14:paraId="7B27188C" w14:textId="77777777" w:rsidTr="00E8716B">
        <w:trPr>
          <w:jc w:val="center"/>
        </w:trPr>
        <w:tc>
          <w:tcPr>
            <w:tcW w:w="0" w:type="auto"/>
            <w:vMerge/>
          </w:tcPr>
          <w:p w14:paraId="642163C0" w14:textId="77777777" w:rsidR="003E3ED9" w:rsidRPr="00830439" w:rsidRDefault="003E3ED9" w:rsidP="00E8716B">
            <w:pPr>
              <w:suppressAutoHyphens/>
              <w:rPr>
                <w:rFonts w:eastAsia="Calibri" w:cs="Arial"/>
                <w:color w:val="000000"/>
              </w:rPr>
            </w:pPr>
          </w:p>
        </w:tc>
        <w:tc>
          <w:tcPr>
            <w:tcW w:w="0" w:type="auto"/>
            <w:vMerge/>
          </w:tcPr>
          <w:p w14:paraId="6FFCABB7" w14:textId="77777777" w:rsidR="003E3ED9" w:rsidRPr="00830439" w:rsidRDefault="003E3ED9" w:rsidP="00E8716B">
            <w:pPr>
              <w:suppressAutoHyphens/>
              <w:rPr>
                <w:rFonts w:eastAsia="Calibri" w:cs="Arial"/>
                <w:color w:val="000000"/>
              </w:rPr>
            </w:pPr>
          </w:p>
        </w:tc>
        <w:tc>
          <w:tcPr>
            <w:tcW w:w="0" w:type="auto"/>
          </w:tcPr>
          <w:p w14:paraId="4B548C0F"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058DE99A" w14:textId="77777777" w:rsidR="003E3ED9" w:rsidRPr="00830439" w:rsidRDefault="003E3ED9" w:rsidP="00E8716B">
            <w:pPr>
              <w:suppressAutoHyphens/>
              <w:rPr>
                <w:rFonts w:eastAsia="Calibri" w:cs="Arial"/>
                <w:color w:val="000000"/>
              </w:rPr>
            </w:pPr>
            <w:r w:rsidRPr="00830439">
              <w:rPr>
                <w:rFonts w:eastAsia="Calibri" w:cs="Arial"/>
                <w:color w:val="000000"/>
              </w:rPr>
              <w:t>CO08</w:t>
            </w:r>
          </w:p>
        </w:tc>
        <w:tc>
          <w:tcPr>
            <w:tcW w:w="0" w:type="auto"/>
          </w:tcPr>
          <w:p w14:paraId="30477DBB" w14:textId="77777777" w:rsidR="003E3ED9" w:rsidRPr="00830439" w:rsidRDefault="003E3ED9" w:rsidP="00E8716B">
            <w:pPr>
              <w:suppressAutoHyphens/>
              <w:rPr>
                <w:rFonts w:eastAsia="Calibri" w:cs="Arial"/>
                <w:color w:val="000000"/>
              </w:rPr>
            </w:pPr>
            <w:r w:rsidRPr="00830439">
              <w:rPr>
                <w:rFonts w:eastAsia="Calibri" w:cs="Arial"/>
                <w:color w:val="000000"/>
              </w:rPr>
              <w:t>Število novih delovnih mest</w:t>
            </w:r>
          </w:p>
        </w:tc>
        <w:tc>
          <w:tcPr>
            <w:tcW w:w="0" w:type="auto"/>
          </w:tcPr>
          <w:p w14:paraId="41AF3F08" w14:textId="77777777" w:rsidR="003E3ED9" w:rsidRPr="00830439" w:rsidRDefault="003E3ED9" w:rsidP="00E8716B">
            <w:pPr>
              <w:suppressAutoHyphens/>
              <w:rPr>
                <w:rFonts w:eastAsia="Calibri" w:cs="Arial"/>
                <w:color w:val="000000"/>
              </w:rPr>
            </w:pPr>
            <w:r w:rsidRPr="00830439">
              <w:rPr>
                <w:rFonts w:eastAsia="Calibri" w:cs="Arial"/>
                <w:color w:val="000000"/>
              </w:rPr>
              <w:t>1 delovno mesto/1 mio EUR</w:t>
            </w:r>
          </w:p>
        </w:tc>
        <w:tc>
          <w:tcPr>
            <w:tcW w:w="0" w:type="auto"/>
          </w:tcPr>
          <w:p w14:paraId="7B11F669" w14:textId="77777777" w:rsidR="003E3ED9" w:rsidRPr="00830439" w:rsidRDefault="003E3ED9" w:rsidP="00E8716B">
            <w:pPr>
              <w:suppressAutoHyphens/>
              <w:rPr>
                <w:rFonts w:eastAsia="Calibri" w:cs="Arial"/>
                <w:color w:val="000000"/>
              </w:rPr>
            </w:pPr>
            <w:r w:rsidRPr="00830439">
              <w:rPr>
                <w:rFonts w:eastAsia="Calibri" w:cs="Arial"/>
                <w:color w:val="000000"/>
              </w:rPr>
              <w:t>80 delovnih mest</w:t>
            </w:r>
          </w:p>
        </w:tc>
      </w:tr>
      <w:tr w:rsidR="003E3ED9" w:rsidRPr="00830439" w14:paraId="5A7EFF10" w14:textId="77777777" w:rsidTr="00E8716B">
        <w:trPr>
          <w:jc w:val="center"/>
        </w:trPr>
        <w:tc>
          <w:tcPr>
            <w:tcW w:w="0" w:type="auto"/>
            <w:vMerge/>
          </w:tcPr>
          <w:p w14:paraId="25E59D2F" w14:textId="77777777" w:rsidR="003E3ED9" w:rsidRPr="00830439" w:rsidRDefault="003E3ED9" w:rsidP="00E8716B">
            <w:pPr>
              <w:suppressAutoHyphens/>
              <w:rPr>
                <w:rFonts w:eastAsia="Calibri" w:cs="Arial"/>
                <w:color w:val="000000"/>
              </w:rPr>
            </w:pPr>
          </w:p>
        </w:tc>
        <w:tc>
          <w:tcPr>
            <w:tcW w:w="0" w:type="auto"/>
            <w:vMerge w:val="restart"/>
          </w:tcPr>
          <w:p w14:paraId="74CBE452" w14:textId="77777777" w:rsidR="003E3ED9" w:rsidRPr="00830439" w:rsidRDefault="003E3ED9" w:rsidP="00E8716B">
            <w:pPr>
              <w:suppressAutoHyphens/>
              <w:rPr>
                <w:rFonts w:eastAsia="Calibri" w:cs="Arial"/>
                <w:color w:val="000000"/>
              </w:rPr>
            </w:pPr>
            <w:proofErr w:type="spellStart"/>
            <w:r w:rsidRPr="00830439">
              <w:rPr>
                <w:rFonts w:eastAsia="Calibri" w:cs="Arial"/>
                <w:color w:val="000000"/>
              </w:rPr>
              <w:t>Portfeljske</w:t>
            </w:r>
            <w:proofErr w:type="spellEnd"/>
            <w:r w:rsidRPr="00830439">
              <w:rPr>
                <w:rFonts w:eastAsia="Calibri" w:cs="Arial"/>
                <w:color w:val="000000"/>
              </w:rPr>
              <w:t xml:space="preserve"> garancije</w:t>
            </w:r>
          </w:p>
        </w:tc>
        <w:tc>
          <w:tcPr>
            <w:tcW w:w="0" w:type="auto"/>
          </w:tcPr>
          <w:p w14:paraId="4D030C3C"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08F929C0" w14:textId="77777777" w:rsidR="003E3ED9" w:rsidRPr="00830439" w:rsidRDefault="003E3ED9" w:rsidP="00E8716B">
            <w:pPr>
              <w:suppressAutoHyphens/>
              <w:rPr>
                <w:rFonts w:eastAsia="Calibri" w:cs="Arial"/>
                <w:color w:val="000000"/>
              </w:rPr>
            </w:pPr>
            <w:r w:rsidRPr="00830439">
              <w:rPr>
                <w:rFonts w:eastAsia="Calibri" w:cs="Arial"/>
                <w:color w:val="000000"/>
              </w:rPr>
              <w:t>CO01</w:t>
            </w:r>
          </w:p>
        </w:tc>
        <w:tc>
          <w:tcPr>
            <w:tcW w:w="0" w:type="auto"/>
          </w:tcPr>
          <w:p w14:paraId="59C356F5" w14:textId="77777777" w:rsidR="003E3ED9" w:rsidRPr="00830439" w:rsidRDefault="003E3ED9" w:rsidP="00E8716B">
            <w:pPr>
              <w:suppressAutoHyphens/>
              <w:rPr>
                <w:rFonts w:eastAsia="Calibri" w:cs="Arial"/>
                <w:color w:val="000000"/>
              </w:rPr>
            </w:pPr>
            <w:r w:rsidRPr="00830439">
              <w:rPr>
                <w:rFonts w:eastAsia="Calibri" w:cs="Arial"/>
                <w:color w:val="000000"/>
              </w:rPr>
              <w:t>Število podprtih podjetij</w:t>
            </w:r>
          </w:p>
        </w:tc>
        <w:tc>
          <w:tcPr>
            <w:tcW w:w="0" w:type="auto"/>
          </w:tcPr>
          <w:p w14:paraId="35EBD54A" w14:textId="77777777" w:rsidR="003E3ED9" w:rsidRPr="00830439" w:rsidRDefault="003E3ED9" w:rsidP="00E8716B">
            <w:pPr>
              <w:suppressAutoHyphens/>
              <w:rPr>
                <w:rFonts w:eastAsia="Calibri" w:cs="Arial"/>
                <w:color w:val="000000"/>
              </w:rPr>
            </w:pPr>
            <w:r w:rsidRPr="00830439">
              <w:rPr>
                <w:rFonts w:eastAsia="Calibri" w:cs="Arial"/>
                <w:color w:val="000000"/>
              </w:rPr>
              <w:t>6 MSP/1 mio EUR</w:t>
            </w:r>
          </w:p>
        </w:tc>
        <w:tc>
          <w:tcPr>
            <w:tcW w:w="0" w:type="auto"/>
          </w:tcPr>
          <w:p w14:paraId="33623B05" w14:textId="77777777" w:rsidR="003E3ED9" w:rsidRPr="00830439" w:rsidRDefault="003E3ED9" w:rsidP="00E8716B">
            <w:pPr>
              <w:suppressAutoHyphens/>
              <w:rPr>
                <w:rFonts w:eastAsia="Calibri" w:cs="Arial"/>
                <w:color w:val="000000"/>
              </w:rPr>
            </w:pPr>
            <w:r w:rsidRPr="00830439">
              <w:rPr>
                <w:rFonts w:eastAsia="Calibri" w:cs="Arial"/>
                <w:color w:val="000000"/>
              </w:rPr>
              <w:t>520 podjetij</w:t>
            </w:r>
          </w:p>
        </w:tc>
      </w:tr>
      <w:tr w:rsidR="003E3ED9" w:rsidRPr="00830439" w14:paraId="0FBEE3BE" w14:textId="77777777" w:rsidTr="00E8716B">
        <w:trPr>
          <w:jc w:val="center"/>
        </w:trPr>
        <w:tc>
          <w:tcPr>
            <w:tcW w:w="0" w:type="auto"/>
            <w:vMerge/>
          </w:tcPr>
          <w:p w14:paraId="550BF741" w14:textId="77777777" w:rsidR="003E3ED9" w:rsidRPr="00830439" w:rsidRDefault="003E3ED9" w:rsidP="00E8716B">
            <w:pPr>
              <w:suppressAutoHyphens/>
              <w:rPr>
                <w:rFonts w:eastAsia="Calibri" w:cs="Arial"/>
                <w:color w:val="000000"/>
              </w:rPr>
            </w:pPr>
          </w:p>
        </w:tc>
        <w:tc>
          <w:tcPr>
            <w:tcW w:w="0" w:type="auto"/>
            <w:vMerge/>
          </w:tcPr>
          <w:p w14:paraId="47196EC6" w14:textId="77777777" w:rsidR="003E3ED9" w:rsidRPr="00830439" w:rsidRDefault="003E3ED9" w:rsidP="00E8716B">
            <w:pPr>
              <w:suppressAutoHyphens/>
              <w:rPr>
                <w:rFonts w:eastAsia="Calibri" w:cs="Arial"/>
                <w:color w:val="000000"/>
              </w:rPr>
            </w:pPr>
          </w:p>
        </w:tc>
        <w:tc>
          <w:tcPr>
            <w:tcW w:w="0" w:type="auto"/>
          </w:tcPr>
          <w:p w14:paraId="35BB8CEE"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771A489F" w14:textId="77777777" w:rsidR="003E3ED9" w:rsidRPr="00830439" w:rsidRDefault="003E3ED9" w:rsidP="00E8716B">
            <w:pPr>
              <w:suppressAutoHyphens/>
              <w:rPr>
                <w:rFonts w:eastAsia="Calibri" w:cs="Arial"/>
                <w:color w:val="000000"/>
              </w:rPr>
            </w:pPr>
            <w:r w:rsidRPr="00830439">
              <w:rPr>
                <w:rFonts w:eastAsia="Calibri" w:cs="Arial"/>
                <w:color w:val="000000"/>
              </w:rPr>
              <w:t>CO03</w:t>
            </w:r>
          </w:p>
        </w:tc>
        <w:tc>
          <w:tcPr>
            <w:tcW w:w="0" w:type="auto"/>
          </w:tcPr>
          <w:p w14:paraId="4660E483" w14:textId="77777777" w:rsidR="003E3ED9" w:rsidRPr="00830439" w:rsidRDefault="003E3ED9" w:rsidP="00E8716B">
            <w:pPr>
              <w:suppressAutoHyphens/>
              <w:rPr>
                <w:rFonts w:eastAsia="Calibri" w:cs="Arial"/>
                <w:color w:val="000000"/>
              </w:rPr>
            </w:pPr>
            <w:r w:rsidRPr="00830439">
              <w:rPr>
                <w:rFonts w:eastAsia="Calibri" w:cs="Arial"/>
                <w:color w:val="000000"/>
              </w:rPr>
              <w:t>Število podjetij, ki prejmemo finančno podporo, ki niso nepovratna sredstva</w:t>
            </w:r>
          </w:p>
        </w:tc>
        <w:tc>
          <w:tcPr>
            <w:tcW w:w="0" w:type="auto"/>
          </w:tcPr>
          <w:p w14:paraId="0E2B4D09" w14:textId="77777777" w:rsidR="003E3ED9" w:rsidRPr="00830439" w:rsidRDefault="003E3ED9" w:rsidP="00E8716B">
            <w:pPr>
              <w:suppressAutoHyphens/>
              <w:rPr>
                <w:rFonts w:eastAsia="Calibri" w:cs="Arial"/>
                <w:color w:val="000000"/>
              </w:rPr>
            </w:pPr>
            <w:r w:rsidRPr="00830439">
              <w:rPr>
                <w:rFonts w:eastAsia="Calibri" w:cs="Arial"/>
                <w:color w:val="000000"/>
              </w:rPr>
              <w:t>6 MSP/1 mio EUR</w:t>
            </w:r>
          </w:p>
        </w:tc>
        <w:tc>
          <w:tcPr>
            <w:tcW w:w="0" w:type="auto"/>
          </w:tcPr>
          <w:p w14:paraId="2E3704C6" w14:textId="77777777" w:rsidR="003E3ED9" w:rsidRPr="00830439" w:rsidRDefault="003E3ED9" w:rsidP="00E8716B">
            <w:pPr>
              <w:suppressAutoHyphens/>
              <w:rPr>
                <w:rFonts w:eastAsia="Calibri" w:cs="Arial"/>
                <w:color w:val="000000"/>
              </w:rPr>
            </w:pPr>
            <w:r w:rsidRPr="00830439">
              <w:rPr>
                <w:rFonts w:eastAsia="Calibri" w:cs="Arial"/>
                <w:color w:val="000000"/>
              </w:rPr>
              <w:t>520 podjetij</w:t>
            </w:r>
          </w:p>
        </w:tc>
      </w:tr>
      <w:tr w:rsidR="003E3ED9" w:rsidRPr="00830439" w14:paraId="2DB128C2" w14:textId="77777777" w:rsidTr="00E8716B">
        <w:trPr>
          <w:jc w:val="center"/>
        </w:trPr>
        <w:tc>
          <w:tcPr>
            <w:tcW w:w="0" w:type="auto"/>
            <w:vMerge/>
          </w:tcPr>
          <w:p w14:paraId="2933B243" w14:textId="77777777" w:rsidR="003E3ED9" w:rsidRPr="00830439" w:rsidRDefault="003E3ED9" w:rsidP="00E8716B">
            <w:pPr>
              <w:suppressAutoHyphens/>
              <w:rPr>
                <w:rFonts w:eastAsia="Calibri" w:cs="Arial"/>
                <w:color w:val="000000"/>
              </w:rPr>
            </w:pPr>
          </w:p>
        </w:tc>
        <w:tc>
          <w:tcPr>
            <w:tcW w:w="0" w:type="auto"/>
            <w:vMerge/>
          </w:tcPr>
          <w:p w14:paraId="3F4A7DB2" w14:textId="77777777" w:rsidR="003E3ED9" w:rsidRPr="00830439" w:rsidRDefault="003E3ED9" w:rsidP="00E8716B">
            <w:pPr>
              <w:suppressAutoHyphens/>
              <w:rPr>
                <w:rFonts w:eastAsia="Calibri" w:cs="Arial"/>
                <w:color w:val="000000"/>
              </w:rPr>
            </w:pPr>
          </w:p>
        </w:tc>
        <w:tc>
          <w:tcPr>
            <w:tcW w:w="0" w:type="auto"/>
          </w:tcPr>
          <w:p w14:paraId="27C4E8D6"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4825250C" w14:textId="77777777" w:rsidR="003E3ED9" w:rsidRPr="00830439" w:rsidRDefault="003E3ED9" w:rsidP="00E8716B">
            <w:pPr>
              <w:suppressAutoHyphens/>
              <w:rPr>
                <w:rFonts w:eastAsia="Calibri" w:cs="Arial"/>
                <w:color w:val="000000"/>
              </w:rPr>
            </w:pPr>
            <w:r w:rsidRPr="00830439">
              <w:rPr>
                <w:rFonts w:eastAsia="Calibri" w:cs="Arial"/>
                <w:color w:val="000000"/>
              </w:rPr>
              <w:t>CO08</w:t>
            </w:r>
          </w:p>
        </w:tc>
        <w:tc>
          <w:tcPr>
            <w:tcW w:w="0" w:type="auto"/>
          </w:tcPr>
          <w:p w14:paraId="540B05E4" w14:textId="77777777" w:rsidR="003E3ED9" w:rsidRPr="00830439" w:rsidRDefault="003E3ED9" w:rsidP="00E8716B">
            <w:pPr>
              <w:suppressAutoHyphens/>
              <w:rPr>
                <w:rFonts w:eastAsia="Calibri" w:cs="Arial"/>
                <w:color w:val="000000"/>
              </w:rPr>
            </w:pPr>
            <w:r w:rsidRPr="00830439">
              <w:rPr>
                <w:rFonts w:eastAsia="Calibri" w:cs="Arial"/>
                <w:color w:val="000000"/>
              </w:rPr>
              <w:t>Število novih delovnih mest</w:t>
            </w:r>
          </w:p>
        </w:tc>
        <w:tc>
          <w:tcPr>
            <w:tcW w:w="0" w:type="auto"/>
          </w:tcPr>
          <w:p w14:paraId="45EDCF13" w14:textId="77777777" w:rsidR="003E3ED9" w:rsidRPr="00830439" w:rsidRDefault="003E3ED9" w:rsidP="00E8716B">
            <w:pPr>
              <w:suppressAutoHyphens/>
              <w:rPr>
                <w:rFonts w:eastAsia="Calibri" w:cs="Arial"/>
                <w:color w:val="000000"/>
              </w:rPr>
            </w:pPr>
            <w:r w:rsidRPr="00830439">
              <w:rPr>
                <w:rFonts w:eastAsia="Calibri" w:cs="Arial"/>
                <w:color w:val="000000"/>
              </w:rPr>
              <w:t>1,5 delovnih mest/1 mio EUR</w:t>
            </w:r>
          </w:p>
        </w:tc>
        <w:tc>
          <w:tcPr>
            <w:tcW w:w="0" w:type="auto"/>
          </w:tcPr>
          <w:p w14:paraId="4F2DDE2C" w14:textId="77777777" w:rsidR="003E3ED9" w:rsidRPr="00830439" w:rsidRDefault="003E3ED9" w:rsidP="00E8716B">
            <w:pPr>
              <w:suppressAutoHyphens/>
              <w:rPr>
                <w:rFonts w:eastAsia="Calibri" w:cs="Arial"/>
                <w:color w:val="000000"/>
              </w:rPr>
            </w:pPr>
            <w:r w:rsidRPr="00830439">
              <w:rPr>
                <w:rFonts w:eastAsia="Calibri" w:cs="Arial"/>
                <w:color w:val="000000"/>
              </w:rPr>
              <w:t>129 delovnih mest</w:t>
            </w:r>
          </w:p>
        </w:tc>
      </w:tr>
      <w:tr w:rsidR="003E3ED9" w:rsidRPr="00830439" w14:paraId="67553982" w14:textId="77777777" w:rsidTr="00E8716B">
        <w:trPr>
          <w:trHeight w:val="579"/>
          <w:jc w:val="center"/>
        </w:trPr>
        <w:tc>
          <w:tcPr>
            <w:tcW w:w="0" w:type="auto"/>
            <w:vMerge/>
          </w:tcPr>
          <w:p w14:paraId="00756E1A" w14:textId="77777777" w:rsidR="003E3ED9" w:rsidRPr="00830439" w:rsidRDefault="003E3ED9" w:rsidP="00E8716B">
            <w:pPr>
              <w:suppressAutoHyphens/>
              <w:rPr>
                <w:rFonts w:eastAsia="Calibri" w:cs="Arial"/>
                <w:color w:val="000000"/>
              </w:rPr>
            </w:pPr>
          </w:p>
        </w:tc>
        <w:tc>
          <w:tcPr>
            <w:tcW w:w="0" w:type="auto"/>
            <w:vMerge/>
          </w:tcPr>
          <w:p w14:paraId="340D83D5" w14:textId="77777777" w:rsidR="003E3ED9" w:rsidRPr="00830439" w:rsidRDefault="003E3ED9" w:rsidP="00E8716B">
            <w:pPr>
              <w:suppressAutoHyphens/>
              <w:rPr>
                <w:rFonts w:eastAsia="Calibri" w:cs="Arial"/>
                <w:color w:val="000000"/>
              </w:rPr>
            </w:pPr>
          </w:p>
        </w:tc>
        <w:tc>
          <w:tcPr>
            <w:tcW w:w="0" w:type="auto"/>
          </w:tcPr>
          <w:p w14:paraId="0587588D"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345CD3DB" w14:textId="77777777" w:rsidR="003E3ED9" w:rsidRPr="00830439" w:rsidRDefault="003E3ED9" w:rsidP="00E8716B">
            <w:pPr>
              <w:suppressAutoHyphens/>
              <w:rPr>
                <w:rFonts w:eastAsia="Calibri" w:cs="Arial"/>
                <w:color w:val="000000"/>
              </w:rPr>
            </w:pPr>
            <w:r w:rsidRPr="00830439">
              <w:rPr>
                <w:rFonts w:eastAsia="Calibri" w:cs="Arial"/>
                <w:color w:val="000000"/>
              </w:rPr>
              <w:t>3.7</w:t>
            </w:r>
          </w:p>
        </w:tc>
        <w:tc>
          <w:tcPr>
            <w:tcW w:w="0" w:type="auto"/>
          </w:tcPr>
          <w:p w14:paraId="68384459" w14:textId="77777777" w:rsidR="003E3ED9" w:rsidRPr="00830439" w:rsidRDefault="003E3ED9" w:rsidP="00E8716B">
            <w:pPr>
              <w:suppressAutoHyphens/>
              <w:rPr>
                <w:rFonts w:eastAsia="Calibri" w:cs="Arial"/>
                <w:color w:val="000000"/>
              </w:rPr>
            </w:pPr>
            <w:r w:rsidRPr="00830439">
              <w:rPr>
                <w:rFonts w:eastAsia="Calibri" w:cs="Arial"/>
                <w:color w:val="000000"/>
              </w:rPr>
              <w:t>Število podjetij, ki so uvedla ukrepe za učinkovito ravnanje z viri</w:t>
            </w:r>
          </w:p>
        </w:tc>
        <w:tc>
          <w:tcPr>
            <w:tcW w:w="0" w:type="auto"/>
          </w:tcPr>
          <w:p w14:paraId="51A2ECF9" w14:textId="77777777" w:rsidR="003E3ED9" w:rsidRPr="00830439" w:rsidRDefault="003E3ED9" w:rsidP="00E8716B">
            <w:pPr>
              <w:suppressAutoHyphens/>
              <w:rPr>
                <w:rFonts w:eastAsia="Calibri" w:cs="Arial"/>
                <w:color w:val="000000"/>
              </w:rPr>
            </w:pPr>
            <w:r w:rsidRPr="00830439">
              <w:rPr>
                <w:rFonts w:eastAsia="Calibri" w:cs="Arial"/>
                <w:color w:val="000000"/>
              </w:rPr>
              <w:t>6 MSP/1 mio EUR</w:t>
            </w:r>
          </w:p>
        </w:tc>
        <w:tc>
          <w:tcPr>
            <w:tcW w:w="0" w:type="auto"/>
          </w:tcPr>
          <w:p w14:paraId="7269FE7F" w14:textId="77777777" w:rsidR="003E3ED9" w:rsidRPr="00830439" w:rsidRDefault="003E3ED9" w:rsidP="00E8716B">
            <w:pPr>
              <w:suppressAutoHyphens/>
              <w:rPr>
                <w:rFonts w:eastAsia="Calibri" w:cs="Arial"/>
                <w:color w:val="000000"/>
              </w:rPr>
            </w:pPr>
            <w:r w:rsidRPr="00830439">
              <w:rPr>
                <w:rFonts w:eastAsia="Calibri" w:cs="Arial"/>
              </w:rPr>
              <w:t>200 podjetij</w:t>
            </w:r>
          </w:p>
        </w:tc>
      </w:tr>
      <w:tr w:rsidR="003E3ED9" w:rsidRPr="00830439" w14:paraId="06D032AD" w14:textId="77777777" w:rsidTr="00E8716B">
        <w:trPr>
          <w:jc w:val="center"/>
        </w:trPr>
        <w:tc>
          <w:tcPr>
            <w:tcW w:w="0" w:type="auto"/>
            <w:vMerge/>
          </w:tcPr>
          <w:p w14:paraId="4B8C154E" w14:textId="77777777" w:rsidR="003E3ED9" w:rsidRPr="00830439" w:rsidRDefault="003E3ED9" w:rsidP="00E8716B">
            <w:pPr>
              <w:suppressAutoHyphens/>
              <w:rPr>
                <w:rFonts w:eastAsia="Calibri" w:cs="Arial"/>
                <w:color w:val="000000"/>
              </w:rPr>
            </w:pPr>
          </w:p>
        </w:tc>
        <w:tc>
          <w:tcPr>
            <w:tcW w:w="0" w:type="auto"/>
            <w:vMerge w:val="restart"/>
          </w:tcPr>
          <w:p w14:paraId="581A2C73" w14:textId="77777777" w:rsidR="003E3ED9" w:rsidRPr="00830439" w:rsidRDefault="003E3ED9" w:rsidP="00E8716B">
            <w:pPr>
              <w:suppressAutoHyphens/>
              <w:rPr>
                <w:rFonts w:eastAsia="Calibri" w:cs="Arial"/>
                <w:color w:val="000000"/>
              </w:rPr>
            </w:pPr>
            <w:r w:rsidRPr="00830439">
              <w:rPr>
                <w:rFonts w:eastAsia="Calibri" w:cs="Arial"/>
                <w:color w:val="000000"/>
              </w:rPr>
              <w:t>Lastniško financiranje</w:t>
            </w:r>
          </w:p>
        </w:tc>
        <w:tc>
          <w:tcPr>
            <w:tcW w:w="0" w:type="auto"/>
          </w:tcPr>
          <w:p w14:paraId="7F280CD1"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3E80B459" w14:textId="77777777" w:rsidR="003E3ED9" w:rsidRPr="00830439" w:rsidRDefault="003E3ED9" w:rsidP="00E8716B">
            <w:pPr>
              <w:suppressAutoHyphens/>
              <w:rPr>
                <w:rFonts w:eastAsia="Calibri" w:cs="Arial"/>
                <w:color w:val="000000"/>
              </w:rPr>
            </w:pPr>
            <w:r w:rsidRPr="00830439">
              <w:rPr>
                <w:rFonts w:eastAsia="Calibri" w:cs="Arial"/>
                <w:color w:val="000000"/>
              </w:rPr>
              <w:t>CO01</w:t>
            </w:r>
          </w:p>
        </w:tc>
        <w:tc>
          <w:tcPr>
            <w:tcW w:w="0" w:type="auto"/>
          </w:tcPr>
          <w:p w14:paraId="6A938F13" w14:textId="77777777" w:rsidR="003E3ED9" w:rsidRPr="00830439" w:rsidRDefault="003E3ED9" w:rsidP="00E8716B">
            <w:pPr>
              <w:suppressAutoHyphens/>
              <w:rPr>
                <w:rFonts w:eastAsia="Calibri" w:cs="Arial"/>
                <w:color w:val="000000"/>
              </w:rPr>
            </w:pPr>
            <w:r w:rsidRPr="00830439">
              <w:rPr>
                <w:rFonts w:eastAsia="Calibri" w:cs="Arial"/>
                <w:color w:val="000000"/>
              </w:rPr>
              <w:t>Število podprtih podjetij</w:t>
            </w:r>
          </w:p>
        </w:tc>
        <w:tc>
          <w:tcPr>
            <w:tcW w:w="0" w:type="auto"/>
          </w:tcPr>
          <w:p w14:paraId="39E4B673" w14:textId="77777777" w:rsidR="003E3ED9" w:rsidRPr="00830439" w:rsidRDefault="003E3ED9" w:rsidP="00E8716B">
            <w:pPr>
              <w:suppressAutoHyphens/>
              <w:rPr>
                <w:rFonts w:eastAsia="Calibri" w:cs="Arial"/>
                <w:color w:val="000000"/>
              </w:rPr>
            </w:pPr>
            <w:r w:rsidRPr="00830439">
              <w:rPr>
                <w:rFonts w:eastAsia="Calibri" w:cs="Arial"/>
                <w:color w:val="000000"/>
              </w:rPr>
              <w:t>5 MSP/1 mio EUR</w:t>
            </w:r>
          </w:p>
        </w:tc>
        <w:tc>
          <w:tcPr>
            <w:tcW w:w="0" w:type="auto"/>
          </w:tcPr>
          <w:p w14:paraId="16383EDC" w14:textId="77777777" w:rsidR="003E3ED9" w:rsidRPr="00830439" w:rsidRDefault="003E3ED9" w:rsidP="00E8716B">
            <w:pPr>
              <w:suppressAutoHyphens/>
              <w:rPr>
                <w:rFonts w:eastAsia="Calibri" w:cs="Arial"/>
                <w:color w:val="000000"/>
              </w:rPr>
            </w:pPr>
            <w:r w:rsidRPr="00830439">
              <w:rPr>
                <w:rFonts w:eastAsia="Calibri" w:cs="Arial"/>
                <w:color w:val="000000"/>
              </w:rPr>
              <w:t>55 podjetij</w:t>
            </w:r>
          </w:p>
        </w:tc>
      </w:tr>
      <w:tr w:rsidR="003E3ED9" w:rsidRPr="00830439" w14:paraId="1615ADF4" w14:textId="77777777" w:rsidTr="00E8716B">
        <w:trPr>
          <w:jc w:val="center"/>
        </w:trPr>
        <w:tc>
          <w:tcPr>
            <w:tcW w:w="0" w:type="auto"/>
            <w:vMerge/>
          </w:tcPr>
          <w:p w14:paraId="7C34C586" w14:textId="77777777" w:rsidR="003E3ED9" w:rsidRPr="00830439" w:rsidRDefault="003E3ED9" w:rsidP="00E8716B">
            <w:pPr>
              <w:suppressAutoHyphens/>
              <w:rPr>
                <w:rFonts w:eastAsia="Calibri" w:cs="Arial"/>
                <w:color w:val="000000"/>
              </w:rPr>
            </w:pPr>
          </w:p>
        </w:tc>
        <w:tc>
          <w:tcPr>
            <w:tcW w:w="0" w:type="auto"/>
            <w:vMerge/>
          </w:tcPr>
          <w:p w14:paraId="0F8AAC1B" w14:textId="77777777" w:rsidR="003E3ED9" w:rsidRPr="00830439" w:rsidRDefault="003E3ED9" w:rsidP="00E8716B">
            <w:pPr>
              <w:suppressAutoHyphens/>
              <w:rPr>
                <w:rFonts w:eastAsia="Calibri" w:cs="Arial"/>
                <w:color w:val="000000"/>
              </w:rPr>
            </w:pPr>
          </w:p>
        </w:tc>
        <w:tc>
          <w:tcPr>
            <w:tcW w:w="0" w:type="auto"/>
          </w:tcPr>
          <w:p w14:paraId="55F93630"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54A0B9FC" w14:textId="77777777" w:rsidR="003E3ED9" w:rsidRPr="00830439" w:rsidRDefault="003E3ED9" w:rsidP="00E8716B">
            <w:pPr>
              <w:suppressAutoHyphens/>
              <w:rPr>
                <w:rFonts w:eastAsia="Calibri" w:cs="Arial"/>
                <w:color w:val="000000"/>
              </w:rPr>
            </w:pPr>
            <w:r w:rsidRPr="00830439">
              <w:rPr>
                <w:rFonts w:eastAsia="Calibri" w:cs="Arial"/>
                <w:color w:val="000000"/>
              </w:rPr>
              <w:t>CO03</w:t>
            </w:r>
          </w:p>
        </w:tc>
        <w:tc>
          <w:tcPr>
            <w:tcW w:w="0" w:type="auto"/>
          </w:tcPr>
          <w:p w14:paraId="350BDDA0" w14:textId="77777777" w:rsidR="003E3ED9" w:rsidRPr="00830439" w:rsidRDefault="003E3ED9" w:rsidP="00E8716B">
            <w:pPr>
              <w:suppressAutoHyphens/>
              <w:rPr>
                <w:rFonts w:eastAsia="Calibri" w:cs="Arial"/>
                <w:color w:val="000000"/>
              </w:rPr>
            </w:pPr>
            <w:r w:rsidRPr="00830439">
              <w:rPr>
                <w:rFonts w:eastAsia="Calibri" w:cs="Arial"/>
                <w:color w:val="000000"/>
              </w:rPr>
              <w:t xml:space="preserve">Število podjetij, ki prejmemo finančno podporo, ki niso </w:t>
            </w:r>
            <w:r w:rsidRPr="00830439">
              <w:rPr>
                <w:rFonts w:eastAsia="Calibri" w:cs="Arial"/>
                <w:color w:val="000000"/>
              </w:rPr>
              <w:lastRenderedPageBreak/>
              <w:t>nepovratna sredstva</w:t>
            </w:r>
          </w:p>
        </w:tc>
        <w:tc>
          <w:tcPr>
            <w:tcW w:w="0" w:type="auto"/>
          </w:tcPr>
          <w:p w14:paraId="23421E3D" w14:textId="77777777" w:rsidR="003E3ED9" w:rsidRPr="00830439" w:rsidRDefault="003E3ED9" w:rsidP="00E8716B">
            <w:pPr>
              <w:suppressAutoHyphens/>
              <w:rPr>
                <w:rFonts w:eastAsia="Calibri" w:cs="Arial"/>
                <w:color w:val="000000"/>
              </w:rPr>
            </w:pPr>
            <w:r w:rsidRPr="00830439">
              <w:rPr>
                <w:rFonts w:eastAsia="Calibri" w:cs="Arial"/>
                <w:color w:val="000000"/>
              </w:rPr>
              <w:lastRenderedPageBreak/>
              <w:t>5 MSP/1 mio EUR</w:t>
            </w:r>
          </w:p>
        </w:tc>
        <w:tc>
          <w:tcPr>
            <w:tcW w:w="0" w:type="auto"/>
          </w:tcPr>
          <w:p w14:paraId="3A8EDF34" w14:textId="77777777" w:rsidR="003E3ED9" w:rsidRPr="00830439" w:rsidDel="00E273AE" w:rsidRDefault="003E3ED9" w:rsidP="00E8716B">
            <w:pPr>
              <w:suppressAutoHyphens/>
              <w:rPr>
                <w:rFonts w:eastAsia="Calibri" w:cs="Arial"/>
                <w:color w:val="000000"/>
              </w:rPr>
            </w:pPr>
            <w:r w:rsidRPr="00830439">
              <w:rPr>
                <w:rFonts w:eastAsia="Calibri" w:cs="Arial"/>
                <w:color w:val="000000"/>
              </w:rPr>
              <w:t>55 podjetij</w:t>
            </w:r>
          </w:p>
        </w:tc>
      </w:tr>
      <w:tr w:rsidR="003E3ED9" w:rsidRPr="00830439" w14:paraId="72508A52" w14:textId="77777777" w:rsidTr="00E8716B">
        <w:trPr>
          <w:jc w:val="center"/>
        </w:trPr>
        <w:tc>
          <w:tcPr>
            <w:tcW w:w="0" w:type="auto"/>
            <w:vMerge w:val="restart"/>
          </w:tcPr>
          <w:p w14:paraId="58BF17DF" w14:textId="77777777" w:rsidR="003E3ED9" w:rsidRPr="00F60B42" w:rsidRDefault="003E3ED9" w:rsidP="00E8716B">
            <w:pPr>
              <w:suppressAutoHyphens/>
              <w:rPr>
                <w:rFonts w:eastAsia="Calibri" w:cs="Arial"/>
                <w:color w:val="000000"/>
              </w:rPr>
            </w:pPr>
            <w:r w:rsidRPr="00830439">
              <w:rPr>
                <w:rFonts w:eastAsia="Calibri" w:cs="Arial"/>
                <w:color w:val="000000"/>
              </w:rPr>
              <w:t>1.2 RRI</w:t>
            </w:r>
          </w:p>
        </w:tc>
        <w:tc>
          <w:tcPr>
            <w:tcW w:w="0" w:type="auto"/>
            <w:vMerge w:val="restart"/>
          </w:tcPr>
          <w:p w14:paraId="3603A2A0" w14:textId="77777777" w:rsidR="003E3ED9" w:rsidRPr="00F60B42" w:rsidRDefault="003E3ED9" w:rsidP="00E8716B">
            <w:pPr>
              <w:suppressAutoHyphens/>
              <w:rPr>
                <w:rFonts w:eastAsia="Calibri" w:cs="Arial"/>
                <w:color w:val="000000"/>
              </w:rPr>
            </w:pPr>
            <w:r w:rsidRPr="00F60B42">
              <w:rPr>
                <w:rFonts w:eastAsia="Calibri" w:cs="Arial"/>
                <w:color w:val="000000"/>
              </w:rPr>
              <w:t>Posojila</w:t>
            </w:r>
          </w:p>
        </w:tc>
        <w:tc>
          <w:tcPr>
            <w:tcW w:w="0" w:type="auto"/>
          </w:tcPr>
          <w:p w14:paraId="44829B15"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61844EFE" w14:textId="77777777" w:rsidR="003E3ED9" w:rsidRPr="00830439" w:rsidRDefault="003E3ED9" w:rsidP="00E8716B">
            <w:pPr>
              <w:suppressAutoHyphens/>
              <w:rPr>
                <w:rFonts w:eastAsia="Calibri" w:cs="Arial"/>
                <w:color w:val="000000"/>
              </w:rPr>
            </w:pPr>
            <w:r w:rsidRPr="00830439">
              <w:rPr>
                <w:rFonts w:eastAsia="Calibri" w:cs="Arial"/>
                <w:color w:val="000000"/>
              </w:rPr>
              <w:t>CO01</w:t>
            </w:r>
          </w:p>
        </w:tc>
        <w:tc>
          <w:tcPr>
            <w:tcW w:w="0" w:type="auto"/>
          </w:tcPr>
          <w:p w14:paraId="2BD7425D" w14:textId="77777777" w:rsidR="003E3ED9" w:rsidRPr="00830439" w:rsidRDefault="003E3ED9" w:rsidP="00E8716B">
            <w:pPr>
              <w:suppressAutoHyphens/>
              <w:rPr>
                <w:rFonts w:eastAsia="Calibri" w:cs="Arial"/>
                <w:color w:val="000000"/>
              </w:rPr>
            </w:pPr>
            <w:r w:rsidRPr="00830439">
              <w:rPr>
                <w:rFonts w:eastAsia="Calibri" w:cs="Arial"/>
                <w:color w:val="000000"/>
              </w:rPr>
              <w:t>Število podprtih podjetij</w:t>
            </w:r>
          </w:p>
        </w:tc>
        <w:tc>
          <w:tcPr>
            <w:tcW w:w="0" w:type="auto"/>
          </w:tcPr>
          <w:p w14:paraId="7C19A653" w14:textId="77777777" w:rsidR="003E3ED9" w:rsidRPr="00830439" w:rsidRDefault="003E3ED9" w:rsidP="00E8716B">
            <w:pPr>
              <w:suppressAutoHyphens/>
              <w:rPr>
                <w:rFonts w:eastAsia="Calibri" w:cs="Arial"/>
                <w:color w:val="000000"/>
              </w:rPr>
            </w:pPr>
            <w:r w:rsidRPr="00830439">
              <w:rPr>
                <w:rFonts w:eastAsia="Calibri" w:cs="Arial"/>
                <w:color w:val="000000"/>
              </w:rPr>
              <w:t>5 podjetij/1 mio EUR</w:t>
            </w:r>
          </w:p>
        </w:tc>
        <w:tc>
          <w:tcPr>
            <w:tcW w:w="0" w:type="auto"/>
          </w:tcPr>
          <w:p w14:paraId="7F0EB55C" w14:textId="77777777" w:rsidR="003E3ED9" w:rsidRPr="00830439" w:rsidRDefault="003E3ED9" w:rsidP="00E8716B">
            <w:pPr>
              <w:suppressAutoHyphens/>
              <w:rPr>
                <w:rFonts w:eastAsia="Calibri" w:cs="Arial"/>
                <w:color w:val="000000"/>
              </w:rPr>
            </w:pPr>
            <w:r w:rsidRPr="00830439">
              <w:rPr>
                <w:rFonts w:eastAsia="Calibri" w:cs="Arial"/>
                <w:color w:val="000000"/>
              </w:rPr>
              <w:t>474 podjetij</w:t>
            </w:r>
          </w:p>
        </w:tc>
      </w:tr>
      <w:tr w:rsidR="003E3ED9" w:rsidRPr="00830439" w14:paraId="3DF9C8F0" w14:textId="77777777" w:rsidTr="00E8716B">
        <w:trPr>
          <w:jc w:val="center"/>
        </w:trPr>
        <w:tc>
          <w:tcPr>
            <w:tcW w:w="0" w:type="auto"/>
            <w:vMerge/>
          </w:tcPr>
          <w:p w14:paraId="16D76E64" w14:textId="77777777" w:rsidR="003E3ED9" w:rsidRPr="00830439" w:rsidRDefault="003E3ED9" w:rsidP="00E8716B">
            <w:pPr>
              <w:suppressAutoHyphens/>
              <w:rPr>
                <w:rFonts w:eastAsia="Calibri" w:cs="Arial"/>
                <w:color w:val="000000"/>
              </w:rPr>
            </w:pPr>
          </w:p>
        </w:tc>
        <w:tc>
          <w:tcPr>
            <w:tcW w:w="0" w:type="auto"/>
            <w:vMerge/>
          </w:tcPr>
          <w:p w14:paraId="61B2BCE1" w14:textId="77777777" w:rsidR="003E3ED9" w:rsidRPr="00830439" w:rsidRDefault="003E3ED9" w:rsidP="00E8716B">
            <w:pPr>
              <w:suppressAutoHyphens/>
              <w:rPr>
                <w:rFonts w:eastAsia="Calibri" w:cs="Arial"/>
                <w:color w:val="000000"/>
              </w:rPr>
            </w:pPr>
          </w:p>
        </w:tc>
        <w:tc>
          <w:tcPr>
            <w:tcW w:w="0" w:type="auto"/>
          </w:tcPr>
          <w:p w14:paraId="2104F9AD"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56EB37F0" w14:textId="77777777" w:rsidR="003E3ED9" w:rsidRPr="00830439" w:rsidRDefault="003E3ED9" w:rsidP="00E8716B">
            <w:pPr>
              <w:suppressAutoHyphens/>
              <w:rPr>
                <w:rFonts w:eastAsia="Calibri" w:cs="Arial"/>
                <w:color w:val="000000"/>
              </w:rPr>
            </w:pPr>
            <w:r w:rsidRPr="00830439">
              <w:rPr>
                <w:rFonts w:eastAsia="Calibri" w:cs="Arial"/>
                <w:color w:val="000000"/>
              </w:rPr>
              <w:t>CO03</w:t>
            </w:r>
          </w:p>
        </w:tc>
        <w:tc>
          <w:tcPr>
            <w:tcW w:w="0" w:type="auto"/>
          </w:tcPr>
          <w:p w14:paraId="18CDE714" w14:textId="77777777" w:rsidR="003E3ED9" w:rsidRPr="00830439" w:rsidRDefault="003E3ED9" w:rsidP="00E8716B">
            <w:pPr>
              <w:suppressAutoHyphens/>
              <w:rPr>
                <w:rFonts w:eastAsia="Calibri" w:cs="Arial"/>
                <w:color w:val="000000"/>
              </w:rPr>
            </w:pPr>
            <w:r w:rsidRPr="00830439">
              <w:rPr>
                <w:rFonts w:eastAsia="Calibri" w:cs="Arial"/>
                <w:color w:val="000000"/>
              </w:rPr>
              <w:t>Število podjetij, ki prejmemo finančno podporo, ki niso nepovratna sredstva</w:t>
            </w:r>
          </w:p>
        </w:tc>
        <w:tc>
          <w:tcPr>
            <w:tcW w:w="0" w:type="auto"/>
          </w:tcPr>
          <w:p w14:paraId="2E26AB88" w14:textId="77777777" w:rsidR="003E3ED9" w:rsidRPr="00830439" w:rsidRDefault="003E3ED9" w:rsidP="00E8716B">
            <w:pPr>
              <w:suppressAutoHyphens/>
              <w:rPr>
                <w:rFonts w:eastAsia="Calibri" w:cs="Arial"/>
                <w:color w:val="000000"/>
              </w:rPr>
            </w:pPr>
            <w:r w:rsidRPr="00830439">
              <w:rPr>
                <w:rFonts w:eastAsia="Calibri" w:cs="Arial"/>
                <w:color w:val="000000"/>
              </w:rPr>
              <w:t>5 podjetij/1 mio EUR</w:t>
            </w:r>
          </w:p>
        </w:tc>
        <w:tc>
          <w:tcPr>
            <w:tcW w:w="0" w:type="auto"/>
          </w:tcPr>
          <w:p w14:paraId="1C8F3BE7" w14:textId="77777777" w:rsidR="003E3ED9" w:rsidRPr="00830439" w:rsidDel="003F63FF" w:rsidRDefault="003E3ED9" w:rsidP="00E8716B">
            <w:pPr>
              <w:suppressAutoHyphens/>
              <w:rPr>
                <w:rFonts w:eastAsia="Calibri" w:cs="Arial"/>
                <w:color w:val="000000"/>
              </w:rPr>
            </w:pPr>
            <w:r w:rsidRPr="00830439">
              <w:rPr>
                <w:rFonts w:eastAsia="Calibri" w:cs="Arial"/>
                <w:color w:val="000000"/>
              </w:rPr>
              <w:t>474 podjetij</w:t>
            </w:r>
          </w:p>
        </w:tc>
      </w:tr>
      <w:tr w:rsidR="003E3ED9" w:rsidRPr="00830439" w14:paraId="0E717F26" w14:textId="77777777" w:rsidTr="00E8716B">
        <w:trPr>
          <w:jc w:val="center"/>
        </w:trPr>
        <w:tc>
          <w:tcPr>
            <w:tcW w:w="0" w:type="auto"/>
            <w:vMerge/>
          </w:tcPr>
          <w:p w14:paraId="329E659F" w14:textId="77777777" w:rsidR="003E3ED9" w:rsidRPr="00830439" w:rsidRDefault="003E3ED9" w:rsidP="00E8716B">
            <w:pPr>
              <w:suppressAutoHyphens/>
              <w:rPr>
                <w:rFonts w:eastAsia="Calibri" w:cs="Arial"/>
                <w:color w:val="000000"/>
              </w:rPr>
            </w:pPr>
          </w:p>
        </w:tc>
        <w:tc>
          <w:tcPr>
            <w:tcW w:w="0" w:type="auto"/>
            <w:vMerge w:val="restart"/>
          </w:tcPr>
          <w:p w14:paraId="01AD54B7" w14:textId="77777777" w:rsidR="003E3ED9" w:rsidRPr="00830439" w:rsidRDefault="003E3ED9" w:rsidP="00E8716B">
            <w:pPr>
              <w:suppressAutoHyphens/>
              <w:rPr>
                <w:rFonts w:eastAsia="Calibri" w:cs="Arial"/>
                <w:color w:val="000000"/>
              </w:rPr>
            </w:pPr>
            <w:proofErr w:type="spellStart"/>
            <w:r w:rsidRPr="00830439">
              <w:rPr>
                <w:rFonts w:eastAsia="Calibri" w:cs="Arial"/>
                <w:color w:val="000000"/>
              </w:rPr>
              <w:t>Portfeljske</w:t>
            </w:r>
            <w:proofErr w:type="spellEnd"/>
            <w:r w:rsidRPr="00830439">
              <w:rPr>
                <w:rFonts w:eastAsia="Calibri" w:cs="Arial"/>
                <w:color w:val="000000"/>
              </w:rPr>
              <w:t xml:space="preserve"> garancije</w:t>
            </w:r>
          </w:p>
        </w:tc>
        <w:tc>
          <w:tcPr>
            <w:tcW w:w="0" w:type="auto"/>
          </w:tcPr>
          <w:p w14:paraId="71979CAF"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6062EC39" w14:textId="77777777" w:rsidR="003E3ED9" w:rsidRPr="00830439" w:rsidRDefault="003E3ED9" w:rsidP="00E8716B">
            <w:pPr>
              <w:suppressAutoHyphens/>
              <w:rPr>
                <w:rFonts w:eastAsia="Calibri" w:cs="Arial"/>
                <w:color w:val="000000"/>
              </w:rPr>
            </w:pPr>
            <w:r w:rsidRPr="00830439">
              <w:rPr>
                <w:rFonts w:eastAsia="Calibri" w:cs="Arial"/>
                <w:color w:val="000000"/>
              </w:rPr>
              <w:t>CO01</w:t>
            </w:r>
          </w:p>
        </w:tc>
        <w:tc>
          <w:tcPr>
            <w:tcW w:w="0" w:type="auto"/>
          </w:tcPr>
          <w:p w14:paraId="4E0D20D8" w14:textId="77777777" w:rsidR="003E3ED9" w:rsidRPr="00830439" w:rsidRDefault="003E3ED9" w:rsidP="00E8716B">
            <w:pPr>
              <w:suppressAutoHyphens/>
              <w:rPr>
                <w:rFonts w:eastAsia="Calibri" w:cs="Arial"/>
                <w:color w:val="000000"/>
              </w:rPr>
            </w:pPr>
            <w:r w:rsidRPr="00830439">
              <w:rPr>
                <w:rFonts w:eastAsia="Calibri" w:cs="Arial"/>
                <w:color w:val="000000"/>
              </w:rPr>
              <w:t>Število podprtih podjetij</w:t>
            </w:r>
          </w:p>
        </w:tc>
        <w:tc>
          <w:tcPr>
            <w:tcW w:w="0" w:type="auto"/>
          </w:tcPr>
          <w:p w14:paraId="68B1EC03" w14:textId="77777777" w:rsidR="003E3ED9" w:rsidRPr="00830439" w:rsidRDefault="003E3ED9" w:rsidP="00E8716B">
            <w:pPr>
              <w:suppressAutoHyphens/>
              <w:rPr>
                <w:rFonts w:eastAsia="Calibri" w:cs="Arial"/>
                <w:color w:val="000000"/>
              </w:rPr>
            </w:pPr>
            <w:r w:rsidRPr="00830439">
              <w:rPr>
                <w:rFonts w:eastAsia="Calibri" w:cs="Arial"/>
                <w:color w:val="000000"/>
              </w:rPr>
              <w:t>5 MSP/1 mio EUR</w:t>
            </w:r>
          </w:p>
        </w:tc>
        <w:tc>
          <w:tcPr>
            <w:tcW w:w="0" w:type="auto"/>
          </w:tcPr>
          <w:p w14:paraId="0CB81E5D" w14:textId="77777777" w:rsidR="003E3ED9" w:rsidRPr="00830439" w:rsidRDefault="003E3ED9" w:rsidP="00E8716B">
            <w:pPr>
              <w:suppressAutoHyphens/>
              <w:rPr>
                <w:rFonts w:eastAsia="Calibri" w:cs="Arial"/>
                <w:color w:val="000000"/>
              </w:rPr>
            </w:pPr>
            <w:r w:rsidRPr="00830439">
              <w:rPr>
                <w:rFonts w:eastAsia="Calibri" w:cs="Arial"/>
                <w:color w:val="000000"/>
              </w:rPr>
              <w:t>75 podjetij</w:t>
            </w:r>
          </w:p>
        </w:tc>
      </w:tr>
      <w:tr w:rsidR="003E3ED9" w:rsidRPr="00830439" w14:paraId="4B9070DB" w14:textId="77777777" w:rsidTr="00E8716B">
        <w:trPr>
          <w:jc w:val="center"/>
        </w:trPr>
        <w:tc>
          <w:tcPr>
            <w:tcW w:w="0" w:type="auto"/>
            <w:vMerge/>
          </w:tcPr>
          <w:p w14:paraId="33279279" w14:textId="77777777" w:rsidR="003E3ED9" w:rsidRPr="00830439" w:rsidRDefault="003E3ED9" w:rsidP="00E8716B">
            <w:pPr>
              <w:suppressAutoHyphens/>
              <w:rPr>
                <w:rFonts w:eastAsia="Calibri" w:cs="Arial"/>
                <w:color w:val="000000"/>
              </w:rPr>
            </w:pPr>
          </w:p>
        </w:tc>
        <w:tc>
          <w:tcPr>
            <w:tcW w:w="0" w:type="auto"/>
            <w:vMerge/>
          </w:tcPr>
          <w:p w14:paraId="102AF23E" w14:textId="77777777" w:rsidR="003E3ED9" w:rsidRPr="00830439" w:rsidRDefault="003E3ED9" w:rsidP="00E8716B">
            <w:pPr>
              <w:suppressAutoHyphens/>
              <w:rPr>
                <w:rFonts w:eastAsia="Calibri" w:cs="Arial"/>
                <w:color w:val="000000"/>
              </w:rPr>
            </w:pPr>
          </w:p>
        </w:tc>
        <w:tc>
          <w:tcPr>
            <w:tcW w:w="0" w:type="auto"/>
          </w:tcPr>
          <w:p w14:paraId="5A9BF689"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2C4DC096" w14:textId="77777777" w:rsidR="003E3ED9" w:rsidRPr="00830439" w:rsidRDefault="003E3ED9" w:rsidP="00E8716B">
            <w:pPr>
              <w:suppressAutoHyphens/>
              <w:rPr>
                <w:rFonts w:eastAsia="Calibri" w:cs="Arial"/>
                <w:color w:val="000000"/>
              </w:rPr>
            </w:pPr>
            <w:r w:rsidRPr="00830439">
              <w:rPr>
                <w:rFonts w:eastAsia="Calibri" w:cs="Arial"/>
                <w:color w:val="000000"/>
              </w:rPr>
              <w:t>CO03</w:t>
            </w:r>
          </w:p>
        </w:tc>
        <w:tc>
          <w:tcPr>
            <w:tcW w:w="0" w:type="auto"/>
          </w:tcPr>
          <w:p w14:paraId="3DE1F3AA" w14:textId="77777777" w:rsidR="003E3ED9" w:rsidRPr="00830439" w:rsidRDefault="003E3ED9" w:rsidP="00E8716B">
            <w:pPr>
              <w:suppressAutoHyphens/>
              <w:rPr>
                <w:rFonts w:eastAsia="Calibri" w:cs="Arial"/>
                <w:color w:val="000000"/>
              </w:rPr>
            </w:pPr>
            <w:r w:rsidRPr="00830439">
              <w:rPr>
                <w:rFonts w:eastAsia="Calibri" w:cs="Arial"/>
                <w:color w:val="000000"/>
              </w:rPr>
              <w:t>Število podjetij, ki prejmemo finančno podporo, ki niso nepovratna sredstva</w:t>
            </w:r>
          </w:p>
        </w:tc>
        <w:tc>
          <w:tcPr>
            <w:tcW w:w="0" w:type="auto"/>
          </w:tcPr>
          <w:p w14:paraId="204D8AF0" w14:textId="77777777" w:rsidR="003E3ED9" w:rsidRPr="00830439" w:rsidRDefault="003E3ED9" w:rsidP="00E8716B">
            <w:pPr>
              <w:suppressAutoHyphens/>
              <w:rPr>
                <w:rFonts w:eastAsia="Calibri" w:cs="Arial"/>
                <w:color w:val="000000"/>
              </w:rPr>
            </w:pPr>
            <w:r w:rsidRPr="00830439">
              <w:rPr>
                <w:rFonts w:eastAsia="Calibri" w:cs="Arial"/>
                <w:color w:val="000000"/>
              </w:rPr>
              <w:t>5 MSP/1 mio EUR</w:t>
            </w:r>
          </w:p>
        </w:tc>
        <w:tc>
          <w:tcPr>
            <w:tcW w:w="0" w:type="auto"/>
          </w:tcPr>
          <w:p w14:paraId="59D7EC48" w14:textId="77777777" w:rsidR="003E3ED9" w:rsidRPr="00830439" w:rsidDel="003F63FF" w:rsidRDefault="003E3ED9" w:rsidP="00E8716B">
            <w:pPr>
              <w:suppressAutoHyphens/>
              <w:rPr>
                <w:rFonts w:eastAsia="Calibri" w:cs="Arial"/>
                <w:color w:val="000000"/>
              </w:rPr>
            </w:pPr>
            <w:r w:rsidRPr="00830439">
              <w:rPr>
                <w:rFonts w:eastAsia="Calibri" w:cs="Arial"/>
                <w:color w:val="000000"/>
              </w:rPr>
              <w:t>75 podjetij</w:t>
            </w:r>
          </w:p>
        </w:tc>
      </w:tr>
      <w:tr w:rsidR="003E3ED9" w:rsidRPr="00830439" w14:paraId="7FEFCA1E" w14:textId="77777777" w:rsidTr="00E8716B">
        <w:trPr>
          <w:trHeight w:val="635"/>
          <w:jc w:val="center"/>
        </w:trPr>
        <w:tc>
          <w:tcPr>
            <w:tcW w:w="0" w:type="auto"/>
            <w:vMerge w:val="restart"/>
          </w:tcPr>
          <w:p w14:paraId="7F464E35" w14:textId="77777777" w:rsidR="003E3ED9" w:rsidRPr="00F60B42" w:rsidRDefault="003E3ED9" w:rsidP="00E8716B">
            <w:pPr>
              <w:suppressAutoHyphens/>
              <w:rPr>
                <w:rFonts w:eastAsia="Calibri" w:cs="Arial"/>
                <w:color w:val="000000"/>
              </w:rPr>
            </w:pPr>
            <w:r w:rsidRPr="00830439">
              <w:rPr>
                <w:rFonts w:eastAsia="Calibri" w:cs="Arial"/>
                <w:color w:val="000000"/>
              </w:rPr>
              <w:t>4.1 Energetska učinkovitost</w:t>
            </w:r>
          </w:p>
        </w:tc>
        <w:tc>
          <w:tcPr>
            <w:tcW w:w="0" w:type="auto"/>
            <w:vMerge w:val="restart"/>
          </w:tcPr>
          <w:p w14:paraId="4733407D" w14:textId="77777777" w:rsidR="003E3ED9" w:rsidRPr="00830439" w:rsidRDefault="003E3ED9" w:rsidP="00E8716B">
            <w:pPr>
              <w:suppressAutoHyphens/>
              <w:rPr>
                <w:rFonts w:eastAsia="Calibri" w:cs="Arial"/>
                <w:color w:val="000000"/>
                <w:vertAlign w:val="superscript"/>
              </w:rPr>
            </w:pPr>
            <w:r w:rsidRPr="00F60B42">
              <w:rPr>
                <w:rFonts w:eastAsia="Calibri" w:cs="Arial"/>
                <w:color w:val="000000"/>
              </w:rPr>
              <w:t xml:space="preserve">Posojila, </w:t>
            </w:r>
            <w:r w:rsidRPr="00830439">
              <w:rPr>
                <w:rFonts w:eastAsia="Calibri" w:cs="Arial"/>
                <w:color w:val="000000"/>
              </w:rPr>
              <w:t>garancijske sheme, lastniško financiranje</w:t>
            </w:r>
            <w:r w:rsidRPr="00830439">
              <w:rPr>
                <w:rFonts w:eastAsia="Calibri" w:cs="Arial"/>
                <w:color w:val="000000"/>
                <w:vertAlign w:val="superscript"/>
              </w:rPr>
              <w:footnoteReference w:id="24"/>
            </w:r>
            <w:r w:rsidRPr="00830439">
              <w:rPr>
                <w:rFonts w:eastAsia="Calibri" w:cs="Arial"/>
                <w:color w:val="000000"/>
                <w:vertAlign w:val="superscript"/>
              </w:rPr>
              <w:t>,</w:t>
            </w:r>
            <w:r w:rsidRPr="00830439">
              <w:rPr>
                <w:rFonts w:eastAsia="Calibri" w:cs="Arial"/>
                <w:color w:val="000000"/>
                <w:vertAlign w:val="superscript"/>
              </w:rPr>
              <w:footnoteReference w:id="25"/>
            </w:r>
          </w:p>
        </w:tc>
        <w:tc>
          <w:tcPr>
            <w:tcW w:w="0" w:type="auto"/>
          </w:tcPr>
          <w:p w14:paraId="143DD15B" w14:textId="77777777" w:rsidR="003E3ED9" w:rsidRPr="00F60B42" w:rsidRDefault="003E3ED9" w:rsidP="00E8716B">
            <w:pPr>
              <w:suppressAutoHyphens/>
              <w:rPr>
                <w:rFonts w:eastAsia="Calibri" w:cs="Arial"/>
                <w:color w:val="000000"/>
              </w:rPr>
            </w:pPr>
            <w:r w:rsidRPr="00F60B42">
              <w:rPr>
                <w:rFonts w:eastAsia="Calibri" w:cs="Arial"/>
                <w:color w:val="000000"/>
              </w:rPr>
              <w:t>Kazalnik učinka</w:t>
            </w:r>
          </w:p>
        </w:tc>
        <w:tc>
          <w:tcPr>
            <w:tcW w:w="0" w:type="auto"/>
          </w:tcPr>
          <w:p w14:paraId="229550A6" w14:textId="77777777" w:rsidR="003E3ED9" w:rsidRPr="00F60B42" w:rsidRDefault="003E3ED9" w:rsidP="00E8716B">
            <w:pPr>
              <w:suppressAutoHyphens/>
              <w:rPr>
                <w:rFonts w:eastAsia="Calibri" w:cs="Arial"/>
                <w:color w:val="000000"/>
              </w:rPr>
            </w:pPr>
            <w:r w:rsidRPr="00F60B42">
              <w:rPr>
                <w:rFonts w:eastAsia="Calibri" w:cs="Arial"/>
                <w:color w:val="000000"/>
              </w:rPr>
              <w:t>4.41</w:t>
            </w:r>
          </w:p>
        </w:tc>
        <w:tc>
          <w:tcPr>
            <w:tcW w:w="0" w:type="auto"/>
          </w:tcPr>
          <w:p w14:paraId="5543B9CF" w14:textId="77777777" w:rsidR="003E3ED9" w:rsidRPr="00830439" w:rsidRDefault="003E3ED9" w:rsidP="00E8716B">
            <w:pPr>
              <w:suppressAutoHyphens/>
              <w:rPr>
                <w:rFonts w:eastAsia="Calibri" w:cs="Arial"/>
                <w:color w:val="000000"/>
              </w:rPr>
            </w:pPr>
            <w:r w:rsidRPr="00830439">
              <w:rPr>
                <w:rFonts w:eastAsia="Calibri" w:cs="Arial"/>
                <w:color w:val="000000"/>
              </w:rPr>
              <w:t>Skupna tlorisna površina energetsko prenovljenih stavb javnega sektorja (m2)</w:t>
            </w:r>
          </w:p>
        </w:tc>
        <w:tc>
          <w:tcPr>
            <w:tcW w:w="0" w:type="auto"/>
          </w:tcPr>
          <w:p w14:paraId="223C1B4F" w14:textId="77777777" w:rsidR="003E3ED9" w:rsidRPr="00830439" w:rsidRDefault="003E3ED9" w:rsidP="00E8716B">
            <w:pPr>
              <w:suppressAutoHyphens/>
              <w:rPr>
                <w:rFonts w:eastAsia="Calibri" w:cs="Arial"/>
                <w:color w:val="000000"/>
              </w:rPr>
            </w:pPr>
            <w:r w:rsidRPr="00830439">
              <w:rPr>
                <w:rFonts w:eastAsia="Calibri" w:cs="Arial"/>
                <w:color w:val="000000"/>
              </w:rPr>
              <w:t>74.662 m2**</w:t>
            </w:r>
          </w:p>
        </w:tc>
        <w:tc>
          <w:tcPr>
            <w:tcW w:w="0" w:type="auto"/>
          </w:tcPr>
          <w:p w14:paraId="76F068C2" w14:textId="77777777" w:rsidR="003E3ED9" w:rsidRPr="00830439" w:rsidRDefault="003E3ED9" w:rsidP="00E8716B">
            <w:pPr>
              <w:suppressAutoHyphens/>
              <w:rPr>
                <w:rFonts w:eastAsia="Calibri" w:cs="Arial"/>
                <w:color w:val="000000"/>
              </w:rPr>
            </w:pPr>
            <w:r w:rsidRPr="00830439">
              <w:rPr>
                <w:rFonts w:eastAsia="Calibri" w:cs="Arial"/>
                <w:color w:val="000000"/>
              </w:rPr>
              <w:t>74.662 m2**</w:t>
            </w:r>
          </w:p>
        </w:tc>
      </w:tr>
      <w:tr w:rsidR="003E3ED9" w:rsidRPr="00830439" w14:paraId="4B26D607" w14:textId="77777777" w:rsidTr="00E8716B">
        <w:trPr>
          <w:trHeight w:val="699"/>
          <w:jc w:val="center"/>
        </w:trPr>
        <w:tc>
          <w:tcPr>
            <w:tcW w:w="0" w:type="auto"/>
            <w:vMerge/>
          </w:tcPr>
          <w:p w14:paraId="2D29D39D" w14:textId="77777777" w:rsidR="003E3ED9" w:rsidRPr="00830439" w:rsidRDefault="003E3ED9" w:rsidP="00E8716B">
            <w:pPr>
              <w:suppressAutoHyphens/>
              <w:rPr>
                <w:rFonts w:eastAsia="Calibri" w:cs="Arial"/>
                <w:color w:val="000000"/>
              </w:rPr>
            </w:pPr>
          </w:p>
        </w:tc>
        <w:tc>
          <w:tcPr>
            <w:tcW w:w="0" w:type="auto"/>
            <w:vMerge/>
          </w:tcPr>
          <w:p w14:paraId="38A80B79" w14:textId="77777777" w:rsidR="003E3ED9" w:rsidRPr="00830439" w:rsidRDefault="003E3ED9" w:rsidP="00E8716B">
            <w:pPr>
              <w:suppressAutoHyphens/>
              <w:rPr>
                <w:rFonts w:eastAsia="Calibri" w:cs="Arial"/>
                <w:color w:val="000000"/>
              </w:rPr>
            </w:pPr>
          </w:p>
        </w:tc>
        <w:tc>
          <w:tcPr>
            <w:tcW w:w="0" w:type="auto"/>
          </w:tcPr>
          <w:p w14:paraId="21CCE7D7" w14:textId="77777777" w:rsidR="003E3ED9" w:rsidRPr="00830439" w:rsidRDefault="003E3ED9" w:rsidP="00E8716B">
            <w:pPr>
              <w:suppressAutoHyphens/>
              <w:rPr>
                <w:rFonts w:eastAsia="Calibri" w:cs="Arial"/>
                <w:color w:val="000000"/>
              </w:rPr>
            </w:pPr>
            <w:r w:rsidRPr="00830439">
              <w:rPr>
                <w:rFonts w:eastAsia="Calibri" w:cs="Arial"/>
                <w:color w:val="000000"/>
              </w:rPr>
              <w:t xml:space="preserve"> </w:t>
            </w:r>
          </w:p>
          <w:p w14:paraId="4CE6F680"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p w14:paraId="538B6CB5" w14:textId="77777777" w:rsidR="003E3ED9" w:rsidRPr="00830439" w:rsidRDefault="003E3ED9" w:rsidP="00E8716B">
            <w:pPr>
              <w:suppressAutoHyphens/>
              <w:rPr>
                <w:rFonts w:eastAsia="Calibri" w:cs="Arial"/>
                <w:color w:val="000000"/>
              </w:rPr>
            </w:pPr>
          </w:p>
        </w:tc>
        <w:tc>
          <w:tcPr>
            <w:tcW w:w="0" w:type="auto"/>
          </w:tcPr>
          <w:p w14:paraId="26D63E49" w14:textId="77777777" w:rsidR="003E3ED9" w:rsidRPr="00830439" w:rsidRDefault="003E3ED9" w:rsidP="00E8716B">
            <w:pPr>
              <w:suppressAutoHyphens/>
              <w:rPr>
                <w:rFonts w:eastAsia="Calibri" w:cs="Arial"/>
                <w:color w:val="000000"/>
              </w:rPr>
            </w:pPr>
            <w:r w:rsidRPr="00830439">
              <w:rPr>
                <w:rFonts w:eastAsia="Calibri" w:cs="Arial"/>
                <w:color w:val="000000"/>
              </w:rPr>
              <w:t xml:space="preserve"> </w:t>
            </w:r>
          </w:p>
          <w:p w14:paraId="04204AE5" w14:textId="77777777" w:rsidR="003E3ED9" w:rsidRPr="00830439" w:rsidRDefault="003E3ED9" w:rsidP="00E8716B">
            <w:pPr>
              <w:suppressAutoHyphens/>
              <w:rPr>
                <w:rFonts w:eastAsia="Calibri" w:cs="Arial"/>
                <w:color w:val="000000"/>
              </w:rPr>
            </w:pPr>
            <w:r w:rsidRPr="00830439">
              <w:rPr>
                <w:rFonts w:eastAsia="Calibri" w:cs="Arial"/>
                <w:color w:val="000000"/>
              </w:rPr>
              <w:t>C032</w:t>
            </w:r>
          </w:p>
          <w:p w14:paraId="65E5D488" w14:textId="77777777" w:rsidR="003E3ED9" w:rsidRPr="00830439" w:rsidRDefault="003E3ED9" w:rsidP="00E8716B">
            <w:pPr>
              <w:suppressAutoHyphens/>
              <w:rPr>
                <w:rFonts w:eastAsia="Calibri" w:cs="Arial"/>
                <w:color w:val="000000"/>
              </w:rPr>
            </w:pPr>
          </w:p>
        </w:tc>
        <w:tc>
          <w:tcPr>
            <w:tcW w:w="0" w:type="auto"/>
          </w:tcPr>
          <w:p w14:paraId="3D175F17" w14:textId="77777777" w:rsidR="003E3ED9" w:rsidRPr="00830439" w:rsidRDefault="003E3ED9" w:rsidP="00E8716B">
            <w:pPr>
              <w:suppressAutoHyphens/>
              <w:rPr>
                <w:rFonts w:eastAsia="Calibri" w:cs="Arial"/>
                <w:color w:val="000000"/>
              </w:rPr>
            </w:pPr>
            <w:r w:rsidRPr="00830439">
              <w:rPr>
                <w:rFonts w:eastAsia="Calibri" w:cs="Arial"/>
                <w:color w:val="000000"/>
              </w:rPr>
              <w:t>Zmanjšanje letne porabe primarne energije v javnih stavbah (kWh/a)</w:t>
            </w:r>
          </w:p>
        </w:tc>
        <w:tc>
          <w:tcPr>
            <w:tcW w:w="0" w:type="auto"/>
          </w:tcPr>
          <w:p w14:paraId="44A7CE98" w14:textId="77777777" w:rsidR="003E3ED9" w:rsidRPr="00830439" w:rsidRDefault="003E3ED9" w:rsidP="00E8716B">
            <w:pPr>
              <w:suppressAutoHyphens/>
              <w:rPr>
                <w:rFonts w:eastAsia="Calibri" w:cs="Arial"/>
                <w:color w:val="000000"/>
              </w:rPr>
            </w:pPr>
            <w:r w:rsidRPr="00830439">
              <w:rPr>
                <w:rFonts w:eastAsia="Calibri" w:cs="Arial"/>
                <w:color w:val="000000"/>
              </w:rPr>
              <w:t>6.813.273</w:t>
            </w:r>
          </w:p>
          <w:p w14:paraId="74AD83DE" w14:textId="77777777" w:rsidR="003E3ED9" w:rsidRPr="00830439" w:rsidRDefault="003E3ED9" w:rsidP="00E8716B">
            <w:pPr>
              <w:suppressAutoHyphens/>
              <w:rPr>
                <w:rFonts w:eastAsia="Calibri" w:cs="Arial"/>
                <w:color w:val="000000"/>
              </w:rPr>
            </w:pPr>
            <w:r w:rsidRPr="00830439">
              <w:rPr>
                <w:rFonts w:eastAsia="Calibri" w:cs="Arial"/>
                <w:color w:val="000000"/>
              </w:rPr>
              <w:t>kWh/leto***</w:t>
            </w:r>
          </w:p>
        </w:tc>
        <w:tc>
          <w:tcPr>
            <w:tcW w:w="0" w:type="auto"/>
          </w:tcPr>
          <w:p w14:paraId="3FA8D602" w14:textId="77777777" w:rsidR="003E3ED9" w:rsidRPr="00830439" w:rsidRDefault="003E3ED9" w:rsidP="00E8716B">
            <w:pPr>
              <w:suppressAutoHyphens/>
              <w:rPr>
                <w:rFonts w:eastAsia="Calibri" w:cs="Arial"/>
                <w:color w:val="000000"/>
              </w:rPr>
            </w:pPr>
            <w:r w:rsidRPr="00830439">
              <w:rPr>
                <w:rFonts w:eastAsia="Calibri" w:cs="Arial"/>
                <w:color w:val="000000"/>
              </w:rPr>
              <w:t>6.813.273 kWh/leto***</w:t>
            </w:r>
          </w:p>
        </w:tc>
      </w:tr>
      <w:tr w:rsidR="003E3ED9" w:rsidRPr="00830439" w14:paraId="23B16FC2" w14:textId="77777777" w:rsidTr="00E8716B">
        <w:trPr>
          <w:trHeight w:val="699"/>
          <w:jc w:val="center"/>
        </w:trPr>
        <w:tc>
          <w:tcPr>
            <w:tcW w:w="0" w:type="auto"/>
            <w:vMerge/>
          </w:tcPr>
          <w:p w14:paraId="2BEDB970" w14:textId="77777777" w:rsidR="003E3ED9" w:rsidRPr="00830439" w:rsidRDefault="003E3ED9" w:rsidP="00E8716B">
            <w:pPr>
              <w:suppressAutoHyphens/>
              <w:rPr>
                <w:rFonts w:eastAsia="Calibri" w:cs="Arial"/>
                <w:color w:val="000000"/>
              </w:rPr>
            </w:pPr>
          </w:p>
        </w:tc>
        <w:tc>
          <w:tcPr>
            <w:tcW w:w="0" w:type="auto"/>
            <w:vMerge/>
          </w:tcPr>
          <w:p w14:paraId="59EFD0EE" w14:textId="77777777" w:rsidR="003E3ED9" w:rsidRPr="00830439" w:rsidRDefault="003E3ED9" w:rsidP="00E8716B">
            <w:pPr>
              <w:suppressAutoHyphens/>
              <w:rPr>
                <w:rFonts w:eastAsia="Calibri" w:cs="Arial"/>
                <w:color w:val="000000"/>
              </w:rPr>
            </w:pPr>
          </w:p>
        </w:tc>
        <w:tc>
          <w:tcPr>
            <w:tcW w:w="0" w:type="auto"/>
          </w:tcPr>
          <w:p w14:paraId="602F3318" w14:textId="77777777" w:rsidR="003E3ED9" w:rsidRPr="00830439" w:rsidRDefault="003E3ED9" w:rsidP="00E8716B">
            <w:pPr>
              <w:suppressAutoHyphens/>
              <w:rPr>
                <w:rFonts w:eastAsia="Calibri" w:cs="Arial"/>
                <w:color w:val="000000"/>
              </w:rPr>
            </w:pPr>
          </w:p>
          <w:p w14:paraId="0DC80A7F" w14:textId="77777777" w:rsidR="003E3ED9" w:rsidRPr="00830439" w:rsidRDefault="003E3ED9" w:rsidP="00E8716B">
            <w:pPr>
              <w:suppressAutoHyphens/>
              <w:rPr>
                <w:rFonts w:eastAsia="Calibri" w:cs="Arial"/>
                <w:color w:val="000000"/>
              </w:rPr>
            </w:pPr>
            <w:r w:rsidRPr="00830439">
              <w:rPr>
                <w:rFonts w:eastAsia="Calibri" w:cs="Arial"/>
                <w:color w:val="000000"/>
              </w:rPr>
              <w:t>Kazalnik učinka</w:t>
            </w:r>
          </w:p>
        </w:tc>
        <w:tc>
          <w:tcPr>
            <w:tcW w:w="0" w:type="auto"/>
          </w:tcPr>
          <w:p w14:paraId="4E475765" w14:textId="77777777" w:rsidR="003E3ED9" w:rsidRPr="00830439" w:rsidRDefault="003E3ED9" w:rsidP="00E8716B">
            <w:pPr>
              <w:suppressAutoHyphens/>
              <w:rPr>
                <w:rFonts w:eastAsia="Calibri" w:cs="Arial"/>
                <w:color w:val="000000"/>
              </w:rPr>
            </w:pPr>
          </w:p>
          <w:p w14:paraId="21F08C71" w14:textId="77777777" w:rsidR="003E3ED9" w:rsidRPr="00830439" w:rsidRDefault="003E3ED9" w:rsidP="00E8716B">
            <w:pPr>
              <w:suppressAutoHyphens/>
              <w:rPr>
                <w:rFonts w:eastAsia="Calibri" w:cs="Arial"/>
                <w:color w:val="000000"/>
              </w:rPr>
            </w:pPr>
            <w:r w:rsidRPr="00830439">
              <w:rPr>
                <w:rFonts w:eastAsia="Calibri" w:cs="Arial"/>
                <w:color w:val="000000"/>
              </w:rPr>
              <w:t>CO34</w:t>
            </w:r>
          </w:p>
          <w:p w14:paraId="2448A138" w14:textId="77777777" w:rsidR="003E3ED9" w:rsidRPr="00830439" w:rsidRDefault="003E3ED9" w:rsidP="00E8716B">
            <w:pPr>
              <w:suppressAutoHyphens/>
              <w:rPr>
                <w:rFonts w:eastAsia="Calibri" w:cs="Arial"/>
                <w:color w:val="000000"/>
              </w:rPr>
            </w:pPr>
          </w:p>
        </w:tc>
        <w:tc>
          <w:tcPr>
            <w:tcW w:w="0" w:type="auto"/>
          </w:tcPr>
          <w:p w14:paraId="115DB6D7" w14:textId="77777777" w:rsidR="003E3ED9" w:rsidRPr="00830439" w:rsidRDefault="003E3ED9" w:rsidP="00E8716B">
            <w:pPr>
              <w:suppressAutoHyphens/>
              <w:rPr>
                <w:rFonts w:eastAsia="Calibri" w:cs="Arial"/>
                <w:color w:val="000000"/>
              </w:rPr>
            </w:pPr>
            <w:r w:rsidRPr="00830439">
              <w:rPr>
                <w:rFonts w:eastAsia="Calibri" w:cs="Arial"/>
                <w:color w:val="000000"/>
              </w:rPr>
              <w:t>Zmanjšanje emisij toplogrednih plinov (te CO2)</w:t>
            </w:r>
          </w:p>
        </w:tc>
        <w:tc>
          <w:tcPr>
            <w:tcW w:w="0" w:type="auto"/>
          </w:tcPr>
          <w:p w14:paraId="533C133F" w14:textId="77777777" w:rsidR="003E3ED9" w:rsidRPr="00830439" w:rsidDel="00441FB1" w:rsidRDefault="003E3ED9" w:rsidP="00E8716B">
            <w:pPr>
              <w:suppressAutoHyphens/>
              <w:rPr>
                <w:rFonts w:eastAsia="Calibri" w:cs="Arial"/>
                <w:color w:val="000000"/>
              </w:rPr>
            </w:pPr>
            <w:r w:rsidRPr="00830439">
              <w:rPr>
                <w:rFonts w:eastAsia="Calibri" w:cs="Arial"/>
                <w:color w:val="000000"/>
              </w:rPr>
              <w:t>1.327 te CO2****</w:t>
            </w:r>
          </w:p>
        </w:tc>
        <w:tc>
          <w:tcPr>
            <w:tcW w:w="0" w:type="auto"/>
          </w:tcPr>
          <w:p w14:paraId="42BB3A1E" w14:textId="77777777" w:rsidR="003E3ED9" w:rsidRPr="00830439" w:rsidDel="00441FB1" w:rsidRDefault="003E3ED9" w:rsidP="00E8716B">
            <w:pPr>
              <w:suppressAutoHyphens/>
              <w:rPr>
                <w:rFonts w:eastAsia="Calibri" w:cs="Arial"/>
                <w:color w:val="000000"/>
              </w:rPr>
            </w:pPr>
            <w:r w:rsidRPr="00830439">
              <w:rPr>
                <w:rFonts w:eastAsia="Calibri" w:cs="Arial"/>
                <w:color w:val="000000"/>
              </w:rPr>
              <w:t>1.327 te CO2****</w:t>
            </w:r>
          </w:p>
        </w:tc>
      </w:tr>
      <w:tr w:rsidR="003E3ED9" w:rsidRPr="00830439" w14:paraId="2661C4D8" w14:textId="77777777" w:rsidTr="00E8716B">
        <w:trPr>
          <w:jc w:val="center"/>
        </w:trPr>
        <w:tc>
          <w:tcPr>
            <w:tcW w:w="0" w:type="auto"/>
            <w:vMerge w:val="restart"/>
          </w:tcPr>
          <w:p w14:paraId="69193DAA" w14:textId="77777777" w:rsidR="003E3ED9" w:rsidRPr="00F60B42" w:rsidRDefault="003E3ED9" w:rsidP="00E8716B">
            <w:pPr>
              <w:suppressAutoHyphens/>
              <w:rPr>
                <w:rFonts w:eastAsia="Calibri" w:cs="Arial"/>
              </w:rPr>
            </w:pPr>
            <w:r w:rsidRPr="00830439">
              <w:rPr>
                <w:rFonts w:eastAsia="Calibri" w:cs="Arial"/>
              </w:rPr>
              <w:lastRenderedPageBreak/>
              <w:t>6.3 Urbani razvoj</w:t>
            </w:r>
          </w:p>
        </w:tc>
        <w:tc>
          <w:tcPr>
            <w:tcW w:w="0" w:type="auto"/>
            <w:vMerge w:val="restart"/>
          </w:tcPr>
          <w:p w14:paraId="085F9AF2" w14:textId="77777777" w:rsidR="003E3ED9" w:rsidRPr="00F60B42" w:rsidRDefault="003E3ED9" w:rsidP="00E8716B">
            <w:pPr>
              <w:suppressAutoHyphens/>
              <w:rPr>
                <w:rFonts w:eastAsia="Calibri" w:cs="Arial"/>
              </w:rPr>
            </w:pPr>
            <w:r w:rsidRPr="00F60B42">
              <w:rPr>
                <w:rFonts w:eastAsia="Calibri" w:cs="Arial"/>
              </w:rPr>
              <w:t>Posojila*****</w:t>
            </w:r>
          </w:p>
        </w:tc>
        <w:tc>
          <w:tcPr>
            <w:tcW w:w="0" w:type="auto"/>
          </w:tcPr>
          <w:p w14:paraId="56C7F6E0" w14:textId="77777777" w:rsidR="003E3ED9" w:rsidRPr="00830439" w:rsidRDefault="003E3ED9" w:rsidP="00E8716B">
            <w:pPr>
              <w:suppressAutoHyphens/>
              <w:rPr>
                <w:rFonts w:eastAsia="Calibri" w:cs="Arial"/>
              </w:rPr>
            </w:pPr>
            <w:r w:rsidRPr="00830439">
              <w:rPr>
                <w:rFonts w:eastAsia="Calibri" w:cs="Arial"/>
              </w:rPr>
              <w:t>Kazalnik učinka</w:t>
            </w:r>
          </w:p>
        </w:tc>
        <w:tc>
          <w:tcPr>
            <w:tcW w:w="0" w:type="auto"/>
          </w:tcPr>
          <w:p w14:paraId="5056DBB8" w14:textId="77777777" w:rsidR="003E3ED9" w:rsidRPr="00830439" w:rsidRDefault="003E3ED9" w:rsidP="00E8716B">
            <w:pPr>
              <w:suppressAutoHyphens/>
              <w:rPr>
                <w:rFonts w:eastAsia="Calibri" w:cs="Arial"/>
              </w:rPr>
            </w:pPr>
            <w:r w:rsidRPr="00830439">
              <w:rPr>
                <w:rFonts w:cs="Arial"/>
                <w:lang w:eastAsia="ar-SA"/>
              </w:rPr>
              <w:t>CO39</w:t>
            </w:r>
          </w:p>
        </w:tc>
        <w:tc>
          <w:tcPr>
            <w:tcW w:w="0" w:type="auto"/>
          </w:tcPr>
          <w:p w14:paraId="2F3814B6" w14:textId="77777777" w:rsidR="003E3ED9" w:rsidRPr="00830439" w:rsidRDefault="003E3ED9" w:rsidP="00E8716B">
            <w:pPr>
              <w:suppressAutoHyphens/>
              <w:rPr>
                <w:rFonts w:eastAsia="Calibri" w:cs="Arial"/>
              </w:rPr>
            </w:pPr>
            <w:r w:rsidRPr="00830439">
              <w:rPr>
                <w:rFonts w:cs="Arial"/>
                <w:lang w:eastAsia="ar-SA"/>
              </w:rPr>
              <w:t>Javne ali poslovne stavbe, zgrajene ali prenovljene na urbanih območjih</w:t>
            </w:r>
          </w:p>
        </w:tc>
        <w:tc>
          <w:tcPr>
            <w:tcW w:w="0" w:type="auto"/>
          </w:tcPr>
          <w:p w14:paraId="157F4F0E" w14:textId="77777777" w:rsidR="003E3ED9" w:rsidRPr="00830439" w:rsidRDefault="003E3ED9" w:rsidP="00E8716B">
            <w:pPr>
              <w:suppressAutoHyphens/>
              <w:rPr>
                <w:rFonts w:eastAsia="Calibri" w:cs="Arial"/>
              </w:rPr>
            </w:pPr>
            <w:r w:rsidRPr="00830439">
              <w:rPr>
                <w:rFonts w:eastAsia="Calibri" w:cs="Arial"/>
              </w:rPr>
              <w:t>Okvirno 1200 EUR/ m2</w:t>
            </w:r>
          </w:p>
          <w:p w14:paraId="500883C2" w14:textId="77777777" w:rsidR="003E3ED9" w:rsidRPr="00830439" w:rsidRDefault="003E3ED9" w:rsidP="00E8716B">
            <w:pPr>
              <w:suppressAutoHyphens/>
              <w:rPr>
                <w:rFonts w:eastAsia="Calibri" w:cs="Arial"/>
              </w:rPr>
            </w:pPr>
            <w:r w:rsidRPr="00830439">
              <w:rPr>
                <w:rFonts w:eastAsia="Calibri" w:cs="Arial"/>
              </w:rPr>
              <w:t>(za izvedbo z upoštevanjem minimalnega fin. vzvoda namenjeno 3 mio EUR)</w:t>
            </w:r>
          </w:p>
        </w:tc>
        <w:tc>
          <w:tcPr>
            <w:tcW w:w="0" w:type="auto"/>
          </w:tcPr>
          <w:p w14:paraId="71B381BD" w14:textId="77777777" w:rsidR="003E3ED9" w:rsidRPr="00830439" w:rsidRDefault="003E3ED9" w:rsidP="00E8716B">
            <w:pPr>
              <w:suppressAutoHyphens/>
              <w:rPr>
                <w:rFonts w:eastAsia="Calibri" w:cs="Arial"/>
              </w:rPr>
            </w:pPr>
            <w:r w:rsidRPr="00830439">
              <w:rPr>
                <w:rFonts w:eastAsia="Calibri" w:cs="Arial"/>
              </w:rPr>
              <w:t xml:space="preserve">2.500 m2 </w:t>
            </w:r>
          </w:p>
          <w:p w14:paraId="0E852ED1" w14:textId="77777777" w:rsidR="003E3ED9" w:rsidRPr="00830439" w:rsidRDefault="003E3ED9" w:rsidP="00E8716B">
            <w:pPr>
              <w:suppressAutoHyphens/>
              <w:rPr>
                <w:rFonts w:eastAsia="Calibri" w:cs="Arial"/>
              </w:rPr>
            </w:pPr>
          </w:p>
        </w:tc>
      </w:tr>
      <w:tr w:rsidR="003E3ED9" w:rsidRPr="00830439" w14:paraId="22F7A1DF" w14:textId="77777777" w:rsidTr="00E8716B">
        <w:trPr>
          <w:jc w:val="center"/>
        </w:trPr>
        <w:tc>
          <w:tcPr>
            <w:tcW w:w="0" w:type="auto"/>
            <w:vMerge/>
          </w:tcPr>
          <w:p w14:paraId="0FC95FCC" w14:textId="77777777" w:rsidR="003E3ED9" w:rsidRPr="00830439" w:rsidRDefault="003E3ED9" w:rsidP="00E8716B">
            <w:pPr>
              <w:tabs>
                <w:tab w:val="right" w:pos="9072"/>
              </w:tabs>
              <w:rPr>
                <w:rFonts w:cs="Arial"/>
              </w:rPr>
            </w:pPr>
          </w:p>
        </w:tc>
        <w:tc>
          <w:tcPr>
            <w:tcW w:w="0" w:type="auto"/>
            <w:vMerge/>
          </w:tcPr>
          <w:p w14:paraId="3B6CD9F8" w14:textId="77777777" w:rsidR="003E3ED9" w:rsidRPr="00830439" w:rsidRDefault="003E3ED9" w:rsidP="00E8716B">
            <w:pPr>
              <w:tabs>
                <w:tab w:val="right" w:pos="9072"/>
              </w:tabs>
              <w:rPr>
                <w:rFonts w:cs="Arial"/>
              </w:rPr>
            </w:pPr>
          </w:p>
        </w:tc>
        <w:tc>
          <w:tcPr>
            <w:tcW w:w="0" w:type="auto"/>
          </w:tcPr>
          <w:p w14:paraId="59F2D629" w14:textId="77777777" w:rsidR="003E3ED9" w:rsidRPr="00830439" w:rsidRDefault="003E3ED9" w:rsidP="00E8716B">
            <w:pPr>
              <w:tabs>
                <w:tab w:val="right" w:pos="9072"/>
              </w:tabs>
              <w:rPr>
                <w:rFonts w:cs="Arial"/>
              </w:rPr>
            </w:pPr>
            <w:r w:rsidRPr="00830439">
              <w:rPr>
                <w:rFonts w:cs="Arial"/>
              </w:rPr>
              <w:t>Kazalnik učinka</w:t>
            </w:r>
          </w:p>
        </w:tc>
        <w:tc>
          <w:tcPr>
            <w:tcW w:w="0" w:type="auto"/>
          </w:tcPr>
          <w:p w14:paraId="540EBF48" w14:textId="77777777" w:rsidR="003E3ED9" w:rsidRPr="00830439" w:rsidRDefault="003E3ED9" w:rsidP="00E8716B">
            <w:pPr>
              <w:tabs>
                <w:tab w:val="right" w:pos="9072"/>
              </w:tabs>
              <w:rPr>
                <w:rFonts w:cs="Arial"/>
              </w:rPr>
            </w:pPr>
            <w:r w:rsidRPr="00830439">
              <w:rPr>
                <w:rFonts w:cs="Arial"/>
              </w:rPr>
              <w:t>CO40</w:t>
            </w:r>
          </w:p>
        </w:tc>
        <w:tc>
          <w:tcPr>
            <w:tcW w:w="0" w:type="auto"/>
          </w:tcPr>
          <w:p w14:paraId="54CD0592" w14:textId="77777777" w:rsidR="003E3ED9" w:rsidRPr="00830439" w:rsidRDefault="003E3ED9" w:rsidP="00E8716B">
            <w:pPr>
              <w:tabs>
                <w:tab w:val="right" w:pos="9072"/>
              </w:tabs>
              <w:rPr>
                <w:rFonts w:cs="Arial"/>
              </w:rPr>
            </w:pPr>
            <w:r w:rsidRPr="00830439">
              <w:rPr>
                <w:rFonts w:cs="Arial"/>
              </w:rPr>
              <w:t>Sanirane stanovanjske površine na urbanih območjih</w:t>
            </w:r>
          </w:p>
        </w:tc>
        <w:tc>
          <w:tcPr>
            <w:tcW w:w="0" w:type="auto"/>
          </w:tcPr>
          <w:p w14:paraId="585B98C4" w14:textId="77777777" w:rsidR="003E3ED9" w:rsidRPr="00830439" w:rsidRDefault="003E3ED9" w:rsidP="00E8716B">
            <w:pPr>
              <w:tabs>
                <w:tab w:val="right" w:pos="9072"/>
              </w:tabs>
              <w:rPr>
                <w:rFonts w:cs="Arial"/>
              </w:rPr>
            </w:pPr>
            <w:r w:rsidRPr="00830439">
              <w:rPr>
                <w:rFonts w:cs="Arial"/>
              </w:rPr>
              <w:t>Okvirno 100.000 EUR/stanovanje</w:t>
            </w:r>
          </w:p>
          <w:p w14:paraId="4D00722A" w14:textId="77777777" w:rsidR="003E3ED9" w:rsidRPr="00830439" w:rsidRDefault="003E3ED9" w:rsidP="00E8716B">
            <w:pPr>
              <w:tabs>
                <w:tab w:val="right" w:pos="9072"/>
              </w:tabs>
              <w:rPr>
                <w:rFonts w:cs="Arial"/>
              </w:rPr>
            </w:pPr>
            <w:r w:rsidRPr="00830439">
              <w:rPr>
                <w:rFonts w:cs="Arial"/>
              </w:rPr>
              <w:t>(za izvedbo z upoštevanjem minimalnega fin. vzvoda namenjeno 4,5 mio EUR)</w:t>
            </w:r>
          </w:p>
        </w:tc>
        <w:tc>
          <w:tcPr>
            <w:tcW w:w="0" w:type="auto"/>
          </w:tcPr>
          <w:p w14:paraId="2528A2BB" w14:textId="77777777" w:rsidR="003E3ED9" w:rsidRPr="00830439" w:rsidRDefault="003E3ED9" w:rsidP="00E8716B">
            <w:pPr>
              <w:tabs>
                <w:tab w:val="right" w:pos="9072"/>
              </w:tabs>
              <w:rPr>
                <w:rFonts w:cs="Arial"/>
              </w:rPr>
            </w:pPr>
            <w:r w:rsidRPr="00830439">
              <w:rPr>
                <w:rFonts w:cs="Arial"/>
              </w:rPr>
              <w:t>45 stanovanj</w:t>
            </w:r>
          </w:p>
        </w:tc>
      </w:tr>
    </w:tbl>
    <w:p w14:paraId="1109BBDC" w14:textId="77777777" w:rsidR="003E3ED9" w:rsidRPr="00830439" w:rsidRDefault="003E3ED9" w:rsidP="003E3ED9">
      <w:pPr>
        <w:tabs>
          <w:tab w:val="right" w:pos="9072"/>
        </w:tabs>
        <w:rPr>
          <w:rFonts w:cs="Arial"/>
          <w:szCs w:val="20"/>
        </w:rPr>
      </w:pPr>
    </w:p>
    <w:p w14:paraId="3D78A437" w14:textId="77777777" w:rsidR="003E3ED9" w:rsidRPr="00F60B42" w:rsidRDefault="003E3ED9" w:rsidP="003E3ED9">
      <w:pPr>
        <w:tabs>
          <w:tab w:val="right" w:pos="9072"/>
        </w:tabs>
        <w:jc w:val="both"/>
        <w:rPr>
          <w:rFonts w:cs="Arial"/>
          <w:szCs w:val="20"/>
        </w:rPr>
      </w:pPr>
      <w:r w:rsidRPr="00F60B42">
        <w:rPr>
          <w:rFonts w:cs="Arial"/>
          <w:szCs w:val="20"/>
        </w:rPr>
        <w:t>*Kazalnike spremlja sklad skladov za podprte končne prejemnike (ciljne skupine).</w:t>
      </w:r>
    </w:p>
    <w:p w14:paraId="58409BC9" w14:textId="77777777" w:rsidR="003E3ED9" w:rsidRPr="00830439" w:rsidRDefault="003E3ED9" w:rsidP="003E3ED9">
      <w:pPr>
        <w:tabs>
          <w:tab w:val="right" w:pos="9072"/>
        </w:tabs>
        <w:jc w:val="both"/>
        <w:rPr>
          <w:rFonts w:cs="Arial"/>
          <w:szCs w:val="20"/>
        </w:rPr>
      </w:pPr>
      <w:r w:rsidRPr="00F60B42">
        <w:rPr>
          <w:rFonts w:cs="Arial"/>
          <w:szCs w:val="20"/>
        </w:rPr>
        <w:t>** Vrednost se nanaša samo na s FI podprte projekte celovite energetske prenove stavb javnega sektorja</w:t>
      </w:r>
      <w:r w:rsidRPr="00830439">
        <w:rPr>
          <w:rFonts w:cs="Arial"/>
          <w:szCs w:val="20"/>
        </w:rPr>
        <w:t>. Pri projektih celovite energetske prenove stavb javnega sektorja, ki prejmejo tako nepovratno kot povratno podporo, se vrednosti ciljnih kazalnikov doseženih z nepovratno podporo, upoštevajo tudi kot vrednosti ciljnih kazalnikov doseženih s FI.</w:t>
      </w:r>
    </w:p>
    <w:p w14:paraId="41A544A3" w14:textId="77777777" w:rsidR="003E3ED9" w:rsidRPr="00830439" w:rsidRDefault="003E3ED9" w:rsidP="003E3ED9">
      <w:pPr>
        <w:tabs>
          <w:tab w:val="right" w:pos="9072"/>
        </w:tabs>
        <w:jc w:val="both"/>
        <w:rPr>
          <w:rFonts w:cs="Arial"/>
          <w:szCs w:val="20"/>
        </w:rPr>
      </w:pPr>
      <w:r w:rsidRPr="00830439">
        <w:rPr>
          <w:rFonts w:cs="Arial"/>
          <w:szCs w:val="20"/>
        </w:rPr>
        <w:t>*** Vrednost se nanaša samo na s FI podprte projekte celovite energetske prenove stavb javnega sektorja. Pri projektih celovite energetske prenove stavb javnega sektorja, ki prejmejo tako nepovratno kot povratno podporo, se vrednosti ciljnih kazalnikov doseženih z nepovratno podporo, upoštevajo tudi kot vrednosti ciljnih kazalnikov doseženih s FI. Podrobna ciljna vrednost kazalnika znaša 91,26 kWh/m2.</w:t>
      </w:r>
    </w:p>
    <w:p w14:paraId="7C46FA27" w14:textId="77777777" w:rsidR="003E3ED9" w:rsidRPr="00830439" w:rsidRDefault="003E3ED9" w:rsidP="003E3ED9">
      <w:pPr>
        <w:tabs>
          <w:tab w:val="right" w:pos="9072"/>
        </w:tabs>
        <w:jc w:val="both"/>
        <w:rPr>
          <w:rFonts w:cs="Arial"/>
          <w:szCs w:val="20"/>
        </w:rPr>
      </w:pPr>
      <w:r w:rsidRPr="00830439">
        <w:rPr>
          <w:rFonts w:cs="Arial"/>
          <w:szCs w:val="20"/>
        </w:rPr>
        <w:t>**** Podrobna ciljna vrednost kazalnika znaša 0,0177 te CO2/m2.</w:t>
      </w:r>
    </w:p>
    <w:p w14:paraId="49F79B4F" w14:textId="77777777" w:rsidR="003E3ED9" w:rsidRPr="00830439" w:rsidRDefault="003E3ED9" w:rsidP="003E3ED9">
      <w:pPr>
        <w:tabs>
          <w:tab w:val="right" w:pos="9072"/>
        </w:tabs>
        <w:jc w:val="both"/>
        <w:rPr>
          <w:rFonts w:cs="Arial"/>
          <w:szCs w:val="20"/>
        </w:rPr>
      </w:pPr>
      <w:r w:rsidRPr="00830439">
        <w:rPr>
          <w:rFonts w:cs="Arial"/>
          <w:szCs w:val="20"/>
        </w:rPr>
        <w:t>***** Sredstva se po opravljenem market testu lahko smiselno prerazporeja na vsebine, kjer se izkazujejo večje potrebe po financiranju s FI za projekte, ki so pripravljeni za izvedbo.</w:t>
      </w:r>
    </w:p>
    <w:p w14:paraId="3B0E0A54" w14:textId="77777777" w:rsidR="003E3ED9" w:rsidRPr="00830439" w:rsidRDefault="003E3ED9" w:rsidP="003E3ED9">
      <w:pPr>
        <w:tabs>
          <w:tab w:val="right" w:pos="9072"/>
        </w:tabs>
        <w:jc w:val="both"/>
        <w:rPr>
          <w:rFonts w:cs="Arial"/>
          <w:szCs w:val="20"/>
        </w:rPr>
      </w:pPr>
    </w:p>
    <w:p w14:paraId="24AF102F" w14:textId="77777777" w:rsidR="003E3ED9" w:rsidRPr="00830439" w:rsidRDefault="003E3ED9" w:rsidP="003E3ED9">
      <w:pPr>
        <w:tabs>
          <w:tab w:val="right" w:pos="9072"/>
        </w:tabs>
        <w:jc w:val="both"/>
        <w:rPr>
          <w:rFonts w:cs="Arial"/>
          <w:szCs w:val="20"/>
        </w:rPr>
      </w:pPr>
      <w:r w:rsidRPr="00830439">
        <w:rPr>
          <w:rFonts w:cs="Arial"/>
          <w:szCs w:val="20"/>
        </w:rPr>
        <w:t>Z Operativnim programom EKP 2014-2020, verzija 6, potrjena 2. 7. 2021, je bila spremenjena ciljna vrednost kazalnika CO32. Posledično je spremenjena višina kazalnika CO32 nesorazmerna z višino nižanja podpore. Obrazložitev spremembe CO32: Predviden popravek, ki se nanaša na kazalnik CO32, ne spreminja ciljne vrednosti za leto 2023, tj. doseganje letnega prihranka primarne energije v vrednosti 116 GWh/leto oziroma 116.000.000 kWh/leto glede na referenčno rabo, kot je bilo opredeljeno že do sedaj, tj. pred izvedbo energetskih prenov stavb javnega sektorja, vendar se ta kazalnik zgolj pretvori iz povprečne letne vrednosti v skupno vrednost. S tovrstnim predlogom spremembe se poenoti način navedbe tega kazalnika učinka glede na preostale v okviru prednostne naložbe “4iii - Spodbujanje energetske učinkovitosti, pametnega upravljanja z energijo in uporabe energije iz obnovljivih virov v javni infrastrukturi, vključno z javnimi stavbami, in stanovanjskem sektorju”, saj se pri slednjih navajajo skupne in ne povprečne letne vrednosti. Hkrati pa bo s predlagano spremembo bolj pregledno sprotno vrednotenje oziroma spremljanje doseganja tega kazalnika.</w:t>
      </w:r>
    </w:p>
    <w:p w14:paraId="6B0CA27B" w14:textId="77777777" w:rsidR="003E3ED9" w:rsidRPr="002A1F16" w:rsidRDefault="003E3ED9" w:rsidP="003E3ED9">
      <w:pPr>
        <w:spacing w:before="240" w:after="120"/>
        <w:ind w:left="2"/>
        <w:outlineLvl w:val="0"/>
        <w:rPr>
          <w:rFonts w:cs="Arial"/>
          <w:b/>
          <w:color w:val="AACDDB"/>
          <w:szCs w:val="20"/>
        </w:rPr>
      </w:pPr>
      <w:bookmarkStart w:id="65" w:name="_Toc54857933"/>
      <w:bookmarkStart w:id="66" w:name="_Toc132097843"/>
      <w:r w:rsidRPr="002A1F16">
        <w:rPr>
          <w:rFonts w:cs="Arial"/>
          <w:b/>
          <w:color w:val="AACDDB"/>
          <w:szCs w:val="20"/>
        </w:rPr>
        <w:t>9.6 Informiranje in obveščanje</w:t>
      </w:r>
      <w:bookmarkEnd w:id="65"/>
      <w:bookmarkEnd w:id="66"/>
    </w:p>
    <w:p w14:paraId="5EC2267E" w14:textId="77777777" w:rsidR="003E3ED9" w:rsidRPr="00830439" w:rsidRDefault="003E3ED9" w:rsidP="003E3ED9">
      <w:pPr>
        <w:tabs>
          <w:tab w:val="right" w:pos="9072"/>
        </w:tabs>
        <w:jc w:val="both"/>
        <w:rPr>
          <w:rFonts w:cs="Arial"/>
          <w:szCs w:val="20"/>
        </w:rPr>
      </w:pPr>
      <w:r w:rsidRPr="00830439">
        <w:rPr>
          <w:rFonts w:cs="Arial"/>
          <w:szCs w:val="20"/>
        </w:rPr>
        <w:t>Upravljavec sklada skladov je dolžan upoštevati tudi določbe glede informiranja in obveščanja javnosti ter zagotoviti, da se te določbe upoštevajo tudi na ravni finančnih posrednikov. Podrobneje bodo določbe navedene v sporazumu o financiranju.</w:t>
      </w:r>
    </w:p>
    <w:p w14:paraId="594B997F" w14:textId="77777777" w:rsidR="003E3ED9" w:rsidRPr="00830439" w:rsidRDefault="003E3ED9" w:rsidP="003E3ED9">
      <w:pPr>
        <w:tabs>
          <w:tab w:val="right" w:pos="9072"/>
        </w:tabs>
        <w:jc w:val="both"/>
        <w:rPr>
          <w:rFonts w:cs="Arial"/>
          <w:szCs w:val="20"/>
        </w:rPr>
      </w:pPr>
    </w:p>
    <w:p w14:paraId="444C824A" w14:textId="77777777" w:rsidR="003E3ED9" w:rsidRPr="00830439" w:rsidRDefault="003E3ED9" w:rsidP="003E3ED9">
      <w:pPr>
        <w:tabs>
          <w:tab w:val="right" w:pos="9072"/>
        </w:tabs>
        <w:jc w:val="both"/>
        <w:rPr>
          <w:rFonts w:cs="Arial"/>
          <w:szCs w:val="20"/>
        </w:rPr>
      </w:pPr>
      <w:r w:rsidRPr="00830439">
        <w:rPr>
          <w:rFonts w:cs="Arial"/>
          <w:szCs w:val="20"/>
        </w:rPr>
        <w:lastRenderedPageBreak/>
        <w:t>Upravljavec sklada skladov na javen in transparenten način seznani zainteresirane ciljne skupine o možnostih financiranja s FI.</w:t>
      </w:r>
    </w:p>
    <w:p w14:paraId="462F32F7" w14:textId="77777777" w:rsidR="003E3ED9" w:rsidRPr="00830439" w:rsidRDefault="003E3ED9" w:rsidP="003E3ED9">
      <w:pPr>
        <w:tabs>
          <w:tab w:val="right" w:pos="9072"/>
        </w:tabs>
        <w:jc w:val="both"/>
        <w:rPr>
          <w:rFonts w:cs="Arial"/>
          <w:szCs w:val="20"/>
        </w:rPr>
      </w:pPr>
    </w:p>
    <w:p w14:paraId="1BC2FEA8" w14:textId="77777777" w:rsidR="003E3ED9" w:rsidRPr="00830439" w:rsidRDefault="003E3ED9" w:rsidP="003E3ED9">
      <w:pPr>
        <w:tabs>
          <w:tab w:val="right" w:pos="9072"/>
        </w:tabs>
        <w:jc w:val="both"/>
        <w:rPr>
          <w:rFonts w:cs="Arial"/>
          <w:szCs w:val="20"/>
        </w:rPr>
      </w:pPr>
      <w:r w:rsidRPr="00830439">
        <w:rPr>
          <w:rFonts w:cs="Arial"/>
          <w:szCs w:val="20"/>
        </w:rPr>
        <w:t>Upravljavec sklada skladov mora izpolnjevati zahteve glede označevanja, obveščanja in informiranja javnosti o operaciji sklad skladov v skladu z Uredbo (EU) št. 1303/2013 o ukrepih informiranja in obveščanja javnosti o pomoči strukturnih skladov, ki jih izvajajo države članice. Prav tako mora smiselno upoštevati zahteve glede informiranja in obveščanja javnosti, ki jih določajo Navodila OU o komuniciranju vsebin evropske kohezijske politike v programskem obdobju 2014-2020.</w:t>
      </w:r>
    </w:p>
    <w:p w14:paraId="22B02D1A" w14:textId="77777777" w:rsidR="003E3ED9" w:rsidRPr="002A1F16" w:rsidRDefault="003E3ED9" w:rsidP="003E3ED9">
      <w:pPr>
        <w:spacing w:before="240" w:after="120"/>
        <w:ind w:left="2"/>
        <w:outlineLvl w:val="0"/>
        <w:rPr>
          <w:rFonts w:cs="Arial"/>
          <w:b/>
          <w:color w:val="AACDDB"/>
          <w:szCs w:val="20"/>
        </w:rPr>
      </w:pPr>
      <w:bookmarkStart w:id="67" w:name="_Toc54857934"/>
      <w:bookmarkStart w:id="68" w:name="_Toc132097844"/>
      <w:r w:rsidRPr="002A1F16">
        <w:rPr>
          <w:rFonts w:cs="Arial"/>
          <w:b/>
          <w:color w:val="AACDDB"/>
          <w:szCs w:val="20"/>
        </w:rPr>
        <w:t>9.7 Obvladovanje tveganj</w:t>
      </w:r>
      <w:bookmarkEnd w:id="67"/>
      <w:bookmarkEnd w:id="68"/>
    </w:p>
    <w:p w14:paraId="5BBF0F84" w14:textId="77777777" w:rsidR="003E3ED9" w:rsidRPr="00830439" w:rsidRDefault="003E3ED9" w:rsidP="003E3ED9">
      <w:pPr>
        <w:tabs>
          <w:tab w:val="right" w:pos="9072"/>
        </w:tabs>
        <w:jc w:val="both"/>
        <w:rPr>
          <w:rFonts w:cs="Arial"/>
          <w:szCs w:val="20"/>
        </w:rPr>
      </w:pPr>
      <w:r w:rsidRPr="00830439">
        <w:rPr>
          <w:rFonts w:cs="Arial"/>
          <w:szCs w:val="20"/>
        </w:rPr>
        <w:t>Sklad skladov je izpostavljen različnim tveganjem. Zato je pomembno, da upravljavec sklada skladov skrbi za zmanjšanje in obvladovanje teh tveganj.</w:t>
      </w:r>
    </w:p>
    <w:p w14:paraId="4BC32952" w14:textId="77777777" w:rsidR="003E3ED9" w:rsidRPr="00830439" w:rsidRDefault="003E3ED9" w:rsidP="003E3ED9">
      <w:pPr>
        <w:tabs>
          <w:tab w:val="right" w:pos="9072"/>
        </w:tabs>
        <w:jc w:val="both"/>
        <w:rPr>
          <w:rFonts w:cs="Arial"/>
          <w:szCs w:val="20"/>
        </w:rPr>
      </w:pPr>
    </w:p>
    <w:p w14:paraId="19151DFC" w14:textId="77777777" w:rsidR="003E3ED9" w:rsidRPr="00830439" w:rsidRDefault="003E3ED9" w:rsidP="003E3ED9">
      <w:pPr>
        <w:tabs>
          <w:tab w:val="right" w:pos="9072"/>
        </w:tabs>
        <w:jc w:val="both"/>
        <w:rPr>
          <w:rFonts w:cs="Arial"/>
          <w:szCs w:val="20"/>
        </w:rPr>
      </w:pPr>
      <w:r w:rsidRPr="00830439">
        <w:rPr>
          <w:rFonts w:cs="Arial"/>
          <w:szCs w:val="20"/>
        </w:rPr>
        <w:t>Upravljavec sklada skladov pripravi (ali uporabi obstoječi) interni akt o upravljanju s tveganji, ki podrobno določa aktivnosti delovnega procesa upravljanja s tveganji sklada skladov tako, da le</w:t>
      </w:r>
      <w:r w:rsidRPr="00830439">
        <w:rPr>
          <w:rFonts w:cs="Arial"/>
          <w:szCs w:val="20"/>
        </w:rPr>
        <w:noBreakHyphen/>
        <w:t>ta:</w:t>
      </w:r>
    </w:p>
    <w:p w14:paraId="5A2C154D" w14:textId="77777777" w:rsidR="003E3ED9" w:rsidRPr="00830439" w:rsidRDefault="003E3ED9" w:rsidP="003E3ED9">
      <w:pPr>
        <w:numPr>
          <w:ilvl w:val="0"/>
          <w:numId w:val="60"/>
        </w:numPr>
        <w:tabs>
          <w:tab w:val="right" w:pos="9072"/>
        </w:tabs>
        <w:spacing w:line="240" w:lineRule="atLeast"/>
        <w:contextualSpacing/>
        <w:jc w:val="both"/>
        <w:rPr>
          <w:rFonts w:eastAsia="Calibri" w:cs="Arial"/>
          <w:szCs w:val="20"/>
        </w:rPr>
      </w:pPr>
      <w:r w:rsidRPr="00830439">
        <w:rPr>
          <w:rFonts w:eastAsia="Calibri" w:cs="Arial"/>
          <w:szCs w:val="20"/>
        </w:rPr>
        <w:t>spremlja in ocenjuje potencialna tveganja zaradi izvajanja posameznih FI,</w:t>
      </w:r>
    </w:p>
    <w:p w14:paraId="683A131F" w14:textId="77777777" w:rsidR="003E3ED9" w:rsidRPr="00830439" w:rsidRDefault="003E3ED9" w:rsidP="003E3ED9">
      <w:pPr>
        <w:numPr>
          <w:ilvl w:val="0"/>
          <w:numId w:val="60"/>
        </w:numPr>
        <w:tabs>
          <w:tab w:val="right" w:pos="9072"/>
        </w:tabs>
        <w:spacing w:line="240" w:lineRule="atLeast"/>
        <w:contextualSpacing/>
        <w:jc w:val="both"/>
        <w:rPr>
          <w:rFonts w:eastAsia="Calibri" w:cs="Arial"/>
          <w:szCs w:val="20"/>
        </w:rPr>
      </w:pPr>
      <w:r w:rsidRPr="00830439">
        <w:rPr>
          <w:rFonts w:eastAsia="Calibri" w:cs="Arial"/>
          <w:szCs w:val="20"/>
        </w:rPr>
        <w:t>spremlja in ocenjuje sposobnost finančnih posrednikov, da izpolnijo finančne obveznosti do sklada skladov,</w:t>
      </w:r>
    </w:p>
    <w:p w14:paraId="16FC7889" w14:textId="77777777" w:rsidR="003E3ED9" w:rsidRPr="00830439" w:rsidRDefault="003E3ED9" w:rsidP="003E3ED9">
      <w:pPr>
        <w:numPr>
          <w:ilvl w:val="0"/>
          <w:numId w:val="60"/>
        </w:numPr>
        <w:tabs>
          <w:tab w:val="right" w:pos="9072"/>
        </w:tabs>
        <w:spacing w:line="240" w:lineRule="atLeast"/>
        <w:contextualSpacing/>
        <w:jc w:val="both"/>
        <w:rPr>
          <w:rFonts w:eastAsia="Calibri" w:cs="Arial"/>
          <w:szCs w:val="20"/>
        </w:rPr>
      </w:pPr>
      <w:r w:rsidRPr="00830439">
        <w:rPr>
          <w:rFonts w:eastAsia="Calibri" w:cs="Arial"/>
          <w:szCs w:val="20"/>
        </w:rPr>
        <w:t>spremlja in ocenjuje kreditno tveganje finančnih posrednikov.</w:t>
      </w:r>
    </w:p>
    <w:p w14:paraId="6EA8E54D" w14:textId="77777777" w:rsidR="003E3ED9" w:rsidRPr="00830439" w:rsidRDefault="003E3ED9" w:rsidP="003E3ED9">
      <w:pPr>
        <w:tabs>
          <w:tab w:val="right" w:pos="9072"/>
        </w:tabs>
        <w:jc w:val="both"/>
        <w:rPr>
          <w:rFonts w:cs="Arial"/>
          <w:szCs w:val="20"/>
        </w:rPr>
      </w:pPr>
      <w:r w:rsidRPr="00830439">
        <w:rPr>
          <w:rFonts w:cs="Arial"/>
          <w:szCs w:val="20"/>
        </w:rPr>
        <w:t xml:space="preserve"> Upravljavec sklada skladov opravi oceno tveganj skupaj z naložbeno strategijo, kar je kasneje podlaga za izdelavo poslovnega in finančnega načrta sklada skladov.</w:t>
      </w:r>
    </w:p>
    <w:p w14:paraId="6071AA64" w14:textId="77777777" w:rsidR="003E3ED9" w:rsidRPr="00830439" w:rsidRDefault="003E3ED9" w:rsidP="003E3ED9">
      <w:pPr>
        <w:tabs>
          <w:tab w:val="right" w:pos="9072"/>
        </w:tabs>
        <w:jc w:val="both"/>
        <w:rPr>
          <w:rFonts w:cs="Arial"/>
          <w:szCs w:val="20"/>
        </w:rPr>
      </w:pPr>
    </w:p>
    <w:p w14:paraId="03A29C11" w14:textId="77777777" w:rsidR="003E3ED9" w:rsidRPr="00830439" w:rsidRDefault="003E3ED9" w:rsidP="003E3ED9">
      <w:pPr>
        <w:tabs>
          <w:tab w:val="right" w:pos="9072"/>
        </w:tabs>
        <w:jc w:val="both"/>
        <w:rPr>
          <w:rFonts w:cs="Arial"/>
          <w:szCs w:val="20"/>
        </w:rPr>
      </w:pPr>
      <w:r w:rsidRPr="00830439">
        <w:rPr>
          <w:rFonts w:cs="Arial"/>
          <w:szCs w:val="20"/>
        </w:rPr>
        <w:t>Vzporedno z obvladovanjem kreditnega tveganja namenja sklad skladov enako pozornost obvladovanju ostalih tveganj kot so tržno tveganje, upravljavsko tveganje, likvidnostno tveganje in operativno tveganje s ciljem zagotavljanja nemotenega učinkovitega delovanja. V ta namen upravljavec sklada skladov nadgradi obstoječ interni akt o upravljanju s tveganji</w:t>
      </w:r>
      <w:r w:rsidRPr="00830439" w:rsidDel="001C372C">
        <w:rPr>
          <w:rFonts w:cs="Arial"/>
          <w:szCs w:val="20"/>
        </w:rPr>
        <w:t xml:space="preserve"> </w:t>
      </w:r>
      <w:r w:rsidRPr="00830439">
        <w:rPr>
          <w:rFonts w:cs="Arial"/>
          <w:szCs w:val="20"/>
        </w:rPr>
        <w:t>ali izdela novega, ki na enem mestu združuje vse potrebne korake za doseganje učinkovitega procesa obvladovanja tveganj.</w:t>
      </w:r>
    </w:p>
    <w:p w14:paraId="1049F492" w14:textId="77777777" w:rsidR="003E3ED9" w:rsidRPr="002A1F16" w:rsidRDefault="003E3ED9" w:rsidP="003E3ED9">
      <w:pPr>
        <w:spacing w:before="240" w:after="120"/>
        <w:ind w:left="2"/>
        <w:outlineLvl w:val="0"/>
        <w:rPr>
          <w:rFonts w:cs="Arial"/>
          <w:b/>
          <w:color w:val="AACDDB"/>
          <w:szCs w:val="20"/>
        </w:rPr>
      </w:pPr>
      <w:bookmarkStart w:id="69" w:name="_Toc54857935"/>
      <w:bookmarkStart w:id="70" w:name="_Toc132097845"/>
      <w:r w:rsidRPr="002A1F16">
        <w:rPr>
          <w:rFonts w:cs="Arial"/>
          <w:b/>
          <w:color w:val="AACDDB"/>
          <w:szCs w:val="20"/>
        </w:rPr>
        <w:t>9.8 Strategija izstopa</w:t>
      </w:r>
      <w:bookmarkEnd w:id="69"/>
      <w:bookmarkEnd w:id="70"/>
    </w:p>
    <w:p w14:paraId="003847F4" w14:textId="77777777" w:rsidR="003E3ED9" w:rsidRPr="00830439" w:rsidRDefault="003E3ED9" w:rsidP="003E3ED9">
      <w:pPr>
        <w:tabs>
          <w:tab w:val="right" w:pos="9072"/>
        </w:tabs>
        <w:jc w:val="both"/>
        <w:rPr>
          <w:rFonts w:cs="Arial"/>
          <w:szCs w:val="20"/>
        </w:rPr>
      </w:pPr>
      <w:r w:rsidRPr="00830439">
        <w:rPr>
          <w:rFonts w:cs="Arial"/>
          <w:szCs w:val="20"/>
        </w:rPr>
        <w:t>Strategija izstopa se opredeli v sporazumu o financiranju, kjer pa je potrebno predvideti fleksibilni in indikativni čas izstopa ter način izstopa. V finančnem sporazumu se določi tudi obveznost finančnih posrednikov, da pripravijo ustrezne strategije izstopa. Finančni posredniki opredelijo v poslovnem načrtu politiko izstopa iz investicij pri različnih projektih.</w:t>
      </w:r>
    </w:p>
    <w:p w14:paraId="0A2D16FD" w14:textId="77777777" w:rsidR="003E3ED9" w:rsidRPr="00830439" w:rsidRDefault="003E3ED9" w:rsidP="003E3ED9">
      <w:pPr>
        <w:tabs>
          <w:tab w:val="right" w:pos="9072"/>
        </w:tabs>
        <w:jc w:val="both"/>
        <w:rPr>
          <w:rFonts w:cs="Arial"/>
          <w:szCs w:val="20"/>
        </w:rPr>
      </w:pPr>
    </w:p>
    <w:p w14:paraId="7ED795FD" w14:textId="77777777" w:rsidR="003E3ED9" w:rsidRPr="00830439" w:rsidRDefault="003E3ED9" w:rsidP="003E3ED9">
      <w:pPr>
        <w:tabs>
          <w:tab w:val="right" w:pos="9072"/>
        </w:tabs>
        <w:jc w:val="both"/>
        <w:rPr>
          <w:rFonts w:cs="Arial"/>
          <w:szCs w:val="20"/>
        </w:rPr>
      </w:pPr>
      <w:r w:rsidRPr="00830439">
        <w:rPr>
          <w:rFonts w:cs="Arial"/>
          <w:szCs w:val="20"/>
        </w:rPr>
        <w:t>Strategija izstopa na ravni FI je odvisna od vrste finančnega produkta. Za posojila in garancije je potrebno določiti minimalno in maksimalno pričakovano dobo vračila sredstev, ki je odvisna od trajanja kreditov. Za lastniško financiranje pa mora strategija izstopa vsebovati čas (ki se razlikuje od primera do primera) in način izstopa.</w:t>
      </w:r>
    </w:p>
    <w:p w14:paraId="2FA20E54" w14:textId="77777777" w:rsidR="003E3ED9" w:rsidRPr="00830439" w:rsidRDefault="003E3ED9" w:rsidP="003E3ED9">
      <w:pPr>
        <w:tabs>
          <w:tab w:val="right" w:pos="9072"/>
        </w:tabs>
        <w:jc w:val="both"/>
        <w:rPr>
          <w:rFonts w:cs="Arial"/>
          <w:szCs w:val="20"/>
        </w:rPr>
      </w:pPr>
    </w:p>
    <w:p w14:paraId="770C67C8" w14:textId="77777777" w:rsidR="003E3ED9" w:rsidRPr="00830439" w:rsidRDefault="003E3ED9" w:rsidP="003E3ED9">
      <w:pPr>
        <w:tabs>
          <w:tab w:val="right" w:pos="9072"/>
        </w:tabs>
        <w:jc w:val="both"/>
        <w:rPr>
          <w:rFonts w:cs="Arial"/>
          <w:szCs w:val="20"/>
        </w:rPr>
      </w:pPr>
      <w:r w:rsidRPr="00830439">
        <w:rPr>
          <w:rFonts w:cs="Arial"/>
          <w:szCs w:val="20"/>
        </w:rPr>
        <w:t>Možni scenariji izstopa iz sklada skladov so:</w:t>
      </w:r>
    </w:p>
    <w:p w14:paraId="31F6577F" w14:textId="77777777" w:rsidR="003E3ED9" w:rsidRPr="00830439" w:rsidRDefault="003E3ED9" w:rsidP="003E3ED9">
      <w:pPr>
        <w:numPr>
          <w:ilvl w:val="0"/>
          <w:numId w:val="59"/>
        </w:numPr>
        <w:tabs>
          <w:tab w:val="right" w:pos="9072"/>
        </w:tabs>
        <w:spacing w:line="240" w:lineRule="atLeast"/>
        <w:contextualSpacing/>
        <w:jc w:val="both"/>
        <w:rPr>
          <w:rFonts w:eastAsia="Calibri" w:cs="Arial"/>
          <w:szCs w:val="20"/>
        </w:rPr>
      </w:pPr>
      <w:r w:rsidRPr="00830439">
        <w:rPr>
          <w:rFonts w:eastAsia="Calibri" w:cs="Arial"/>
          <w:szCs w:val="20"/>
        </w:rPr>
        <w:t>ponovno vzpostaviti sklad skladov z istim ali drugim upravljavcem sklada skladov, kar se uredi z dodatkom k sporazumu o financiranju ali</w:t>
      </w:r>
    </w:p>
    <w:p w14:paraId="52877615" w14:textId="77777777" w:rsidR="003E3ED9" w:rsidRPr="00830439" w:rsidRDefault="003E3ED9" w:rsidP="003E3ED9">
      <w:pPr>
        <w:numPr>
          <w:ilvl w:val="0"/>
          <w:numId w:val="59"/>
        </w:numPr>
        <w:tabs>
          <w:tab w:val="right" w:pos="9072"/>
        </w:tabs>
        <w:spacing w:line="240" w:lineRule="atLeast"/>
        <w:contextualSpacing/>
        <w:jc w:val="both"/>
        <w:rPr>
          <w:rFonts w:eastAsia="Calibri" w:cs="Arial"/>
          <w:szCs w:val="20"/>
        </w:rPr>
      </w:pPr>
      <w:r w:rsidRPr="00830439">
        <w:rPr>
          <w:rFonts w:eastAsia="Calibri" w:cs="Arial"/>
          <w:szCs w:val="20"/>
        </w:rPr>
        <w:t>prenos sredstev v proračun RS ali na finančne posrednike.</w:t>
      </w:r>
    </w:p>
    <w:p w14:paraId="31C9E064" w14:textId="77777777" w:rsidR="003E3ED9" w:rsidRPr="002A1F16" w:rsidRDefault="003E3ED9" w:rsidP="003E3ED9">
      <w:pPr>
        <w:rPr>
          <w:rFonts w:eastAsia="Calibri" w:cs="Arial"/>
          <w:szCs w:val="20"/>
        </w:rPr>
      </w:pPr>
      <w:r w:rsidRPr="002A1F16">
        <w:rPr>
          <w:rFonts w:cs="Arial"/>
          <w:szCs w:val="20"/>
        </w:rPr>
        <w:br w:type="page"/>
      </w:r>
    </w:p>
    <w:p w14:paraId="28B23139" w14:textId="77777777" w:rsidR="003E3ED9" w:rsidRPr="002A1F16" w:rsidRDefault="003E3ED9" w:rsidP="003E3ED9">
      <w:pPr>
        <w:spacing w:before="240" w:after="120"/>
        <w:ind w:left="2"/>
        <w:outlineLvl w:val="0"/>
        <w:rPr>
          <w:rFonts w:cs="Arial"/>
          <w:b/>
          <w:color w:val="AACDDB"/>
          <w:szCs w:val="20"/>
        </w:rPr>
      </w:pPr>
      <w:bookmarkStart w:id="71" w:name="_Toc132097846"/>
      <w:r w:rsidRPr="002A1F16">
        <w:rPr>
          <w:rFonts w:cs="Arial"/>
          <w:b/>
          <w:color w:val="AACDDB"/>
          <w:szCs w:val="20"/>
        </w:rPr>
        <w:lastRenderedPageBreak/>
        <w:t>10. POLITIKA PREKINITVE FI</w:t>
      </w:r>
      <w:bookmarkEnd w:id="71"/>
    </w:p>
    <w:p w14:paraId="571729D4" w14:textId="77777777" w:rsidR="003E3ED9" w:rsidRPr="00830439" w:rsidRDefault="003E3ED9" w:rsidP="003E3ED9">
      <w:pPr>
        <w:tabs>
          <w:tab w:val="right" w:pos="9072"/>
        </w:tabs>
        <w:jc w:val="both"/>
        <w:rPr>
          <w:rFonts w:cs="Arial"/>
          <w:szCs w:val="20"/>
        </w:rPr>
      </w:pPr>
      <w:r w:rsidRPr="00830439">
        <w:rPr>
          <w:rFonts w:cs="Arial"/>
          <w:szCs w:val="20"/>
        </w:rPr>
        <w:t>V skladu s 25. členom Uredbe o postopkih, merilih in načinih dodeljevanja sredstev za spodbujanje razvojnih programov in prednostnih nalog bo PO odgovoren za FI lahko zahteval (delno ali celotno) vračilo sredstev, v kolikor se le-ta ne bodo dodeljevala skladno z določbami v sporazumu o financiranju med PO in upravljavcem sklada skladov v obdobju izvajanja FI. Okoliščine in način vračila sredstev, prenehanje in likvidacijo sklada skladov PO in upravljavec sklada skladov dogovorita v sporazumu o financiranju.</w:t>
      </w:r>
    </w:p>
    <w:p w14:paraId="2EAC86DA" w14:textId="77777777" w:rsidR="003E3ED9" w:rsidRPr="00830439" w:rsidRDefault="003E3ED9" w:rsidP="003E3ED9">
      <w:pPr>
        <w:tabs>
          <w:tab w:val="right" w:pos="9072"/>
        </w:tabs>
        <w:jc w:val="both"/>
        <w:rPr>
          <w:rFonts w:cs="Arial"/>
          <w:szCs w:val="20"/>
        </w:rPr>
      </w:pPr>
    </w:p>
    <w:p w14:paraId="2BBE350F" w14:textId="77777777" w:rsidR="003E3ED9" w:rsidRPr="00830439" w:rsidRDefault="003E3ED9" w:rsidP="003E3ED9">
      <w:pPr>
        <w:tabs>
          <w:tab w:val="right" w:pos="9072"/>
        </w:tabs>
        <w:jc w:val="both"/>
        <w:rPr>
          <w:rFonts w:cs="Arial"/>
          <w:szCs w:val="20"/>
        </w:rPr>
      </w:pPr>
      <w:r w:rsidRPr="00830439">
        <w:rPr>
          <w:rFonts w:cs="Arial"/>
          <w:szCs w:val="20"/>
        </w:rPr>
        <w:t>V sporazumu o financiranju se določijo tudi (i) okoliščine in način rednega ali izrednega prenehanja in likvidacije sklada skladov ter (ii) okoliščine in način zamenjave upravljavca sklada skladov.</w:t>
      </w:r>
    </w:p>
    <w:p w14:paraId="3B064E73" w14:textId="77777777" w:rsidR="003E3ED9" w:rsidRPr="00830439" w:rsidRDefault="003E3ED9" w:rsidP="003E3ED9">
      <w:pPr>
        <w:tabs>
          <w:tab w:val="right" w:pos="9072"/>
        </w:tabs>
        <w:jc w:val="both"/>
        <w:rPr>
          <w:rFonts w:cs="Arial"/>
          <w:szCs w:val="20"/>
        </w:rPr>
      </w:pPr>
    </w:p>
    <w:p w14:paraId="7BFC6EFC" w14:textId="77777777" w:rsidR="003E3ED9" w:rsidRPr="00830439" w:rsidRDefault="003E3ED9" w:rsidP="003E3ED9">
      <w:pPr>
        <w:tabs>
          <w:tab w:val="right" w:pos="9072"/>
        </w:tabs>
        <w:jc w:val="both"/>
        <w:rPr>
          <w:rFonts w:cs="Arial"/>
          <w:szCs w:val="20"/>
        </w:rPr>
      </w:pPr>
      <w:r w:rsidRPr="00830439">
        <w:rPr>
          <w:rFonts w:cs="Arial"/>
          <w:szCs w:val="20"/>
        </w:rPr>
        <w:t>Način umika (delni ali celotni) in razlogi ter odgovornost za morebitne nepravilnosti se opredelijo v sporazumu o financiranju.</w:t>
      </w:r>
    </w:p>
    <w:p w14:paraId="1E3AB841" w14:textId="77777777" w:rsidR="003E3ED9" w:rsidRPr="00830439" w:rsidRDefault="003E3ED9" w:rsidP="003E3ED9">
      <w:pPr>
        <w:tabs>
          <w:tab w:val="right" w:pos="9072"/>
        </w:tabs>
        <w:jc w:val="both"/>
        <w:rPr>
          <w:rFonts w:cs="Arial"/>
          <w:szCs w:val="20"/>
        </w:rPr>
      </w:pPr>
    </w:p>
    <w:p w14:paraId="4DBB4F15" w14:textId="77777777" w:rsidR="003E3ED9" w:rsidRPr="00830439" w:rsidRDefault="003E3ED9" w:rsidP="003E3ED9">
      <w:pPr>
        <w:tabs>
          <w:tab w:val="right" w:pos="9072"/>
        </w:tabs>
        <w:jc w:val="both"/>
        <w:rPr>
          <w:rFonts w:cs="Arial"/>
          <w:szCs w:val="20"/>
        </w:rPr>
      </w:pPr>
      <w:r w:rsidRPr="00830439">
        <w:rPr>
          <w:rFonts w:cs="Arial"/>
          <w:szCs w:val="20"/>
        </w:rPr>
        <w:t>V primeru, da sredstva niso porabljena, to je plasirana končnim prejemnikom, v okviru sklada skladov do 31. 12. 2023 oz. kasneje v primeru podaljšanja rokov s strani Evropske komisije, se vrnejo v proračun EK, kar se podrobneje določi s sporazumom o financiranju. Rok se lahko zaradi zaključevanja na predlog revizijskega organa oziroma OU tudi skrajša, pri čemer se za tak primer pogoji in posledice dogovorijo v sporazumu o financiranju.</w:t>
      </w:r>
    </w:p>
    <w:p w14:paraId="25D5BEAF" w14:textId="77777777" w:rsidR="003E3ED9" w:rsidRPr="002A1F16" w:rsidRDefault="003E3ED9" w:rsidP="003E3ED9">
      <w:pPr>
        <w:rPr>
          <w:rFonts w:cs="Arial"/>
          <w:szCs w:val="20"/>
        </w:rPr>
      </w:pPr>
      <w:r w:rsidRPr="002A1F16">
        <w:rPr>
          <w:rFonts w:cs="Arial"/>
          <w:szCs w:val="20"/>
        </w:rPr>
        <w:br w:type="page"/>
      </w:r>
    </w:p>
    <w:p w14:paraId="14010230" w14:textId="77777777" w:rsidR="003E3ED9" w:rsidRPr="002A1F16" w:rsidRDefault="003E3ED9" w:rsidP="003E3ED9">
      <w:pPr>
        <w:spacing w:before="240" w:after="120"/>
        <w:ind w:left="2"/>
        <w:outlineLvl w:val="0"/>
        <w:rPr>
          <w:rFonts w:cs="Arial"/>
          <w:b/>
          <w:color w:val="AACDDB"/>
          <w:szCs w:val="20"/>
        </w:rPr>
      </w:pPr>
      <w:bookmarkStart w:id="72" w:name="_Toc132097847"/>
      <w:r w:rsidRPr="002A1F16">
        <w:rPr>
          <w:rFonts w:cs="Arial"/>
          <w:b/>
          <w:color w:val="AACDDB"/>
          <w:szCs w:val="20"/>
        </w:rPr>
        <w:lastRenderedPageBreak/>
        <w:t>11. PODLAGA ZA IZVAJANJE NADZORA</w:t>
      </w:r>
      <w:bookmarkEnd w:id="72"/>
    </w:p>
    <w:p w14:paraId="05BDB146" w14:textId="77777777" w:rsidR="003E3ED9" w:rsidRPr="00830439" w:rsidRDefault="003E3ED9" w:rsidP="003E3ED9">
      <w:pPr>
        <w:tabs>
          <w:tab w:val="right" w:pos="9072"/>
        </w:tabs>
        <w:jc w:val="both"/>
        <w:rPr>
          <w:rFonts w:cs="Arial"/>
          <w:szCs w:val="20"/>
        </w:rPr>
      </w:pPr>
      <w:r w:rsidRPr="00830439">
        <w:rPr>
          <w:rFonts w:cs="Arial"/>
          <w:szCs w:val="20"/>
        </w:rPr>
        <w:t>Sporazum o financiranju med PO in upravljavcem sklada skladov bo vseboval določbe, ki bodo omogočale PO, OU ter pristojnim državnim in revizijskim organom dostop do podatkov in dokumentacije, ki bo potrebna za nadzor nad izvajanjem aktivnosti sklada skladov in nad namensko porabo sredstev.</w:t>
      </w:r>
    </w:p>
    <w:p w14:paraId="594688FE" w14:textId="77777777" w:rsidR="003E3ED9" w:rsidRPr="00830439" w:rsidRDefault="003E3ED9" w:rsidP="003E3ED9">
      <w:pPr>
        <w:tabs>
          <w:tab w:val="right" w:pos="9072"/>
        </w:tabs>
        <w:jc w:val="both"/>
        <w:rPr>
          <w:rFonts w:cs="Arial"/>
          <w:szCs w:val="20"/>
        </w:rPr>
      </w:pPr>
    </w:p>
    <w:p w14:paraId="02026BD1" w14:textId="77777777" w:rsidR="003E3ED9" w:rsidRPr="00830439" w:rsidRDefault="003E3ED9" w:rsidP="003E3ED9">
      <w:pPr>
        <w:tabs>
          <w:tab w:val="right" w:pos="9072"/>
        </w:tabs>
        <w:jc w:val="both"/>
        <w:rPr>
          <w:rFonts w:cs="Arial"/>
          <w:szCs w:val="20"/>
        </w:rPr>
      </w:pPr>
      <w:r w:rsidRPr="00830439">
        <w:rPr>
          <w:rFonts w:cs="Arial"/>
          <w:szCs w:val="20"/>
        </w:rPr>
        <w:t>Upravljavec sklada skladov mora pri vodenju evidenc zagotoviti ločeno vodenje evidenc in s tem razlikovanje med novimi sredstvi, vloženimi v FI, vključno s sredstvi, ki jih prispeva evropska kohezijska politika, in ostalimi sredstvi.</w:t>
      </w:r>
    </w:p>
    <w:p w14:paraId="31EEE7D9" w14:textId="77777777" w:rsidR="003E3ED9" w:rsidRPr="00830439" w:rsidRDefault="003E3ED9" w:rsidP="003E3ED9">
      <w:pPr>
        <w:tabs>
          <w:tab w:val="right" w:pos="9072"/>
        </w:tabs>
        <w:jc w:val="both"/>
        <w:rPr>
          <w:rFonts w:cs="Arial"/>
          <w:szCs w:val="20"/>
        </w:rPr>
      </w:pPr>
    </w:p>
    <w:p w14:paraId="35414F25" w14:textId="77777777" w:rsidR="003E3ED9" w:rsidRPr="00830439" w:rsidRDefault="003E3ED9" w:rsidP="003E3ED9">
      <w:pPr>
        <w:tabs>
          <w:tab w:val="right" w:pos="9072"/>
        </w:tabs>
        <w:jc w:val="both"/>
        <w:rPr>
          <w:rFonts w:cs="Arial"/>
          <w:szCs w:val="20"/>
        </w:rPr>
      </w:pPr>
      <w:r w:rsidRPr="00830439">
        <w:rPr>
          <w:rFonts w:cs="Arial"/>
          <w:szCs w:val="20"/>
        </w:rPr>
        <w:t xml:space="preserve">Upravljavec sklada skladov ima za namen upravljanja in izvajanja sklada skladov vzpostavljeno ustrezno organizacijsko, </w:t>
      </w:r>
      <w:proofErr w:type="spellStart"/>
      <w:r w:rsidRPr="00830439">
        <w:rPr>
          <w:rFonts w:cs="Arial"/>
          <w:szCs w:val="20"/>
        </w:rPr>
        <w:t>odločevalsko</w:t>
      </w:r>
      <w:proofErr w:type="spellEnd"/>
      <w:r w:rsidRPr="00830439">
        <w:rPr>
          <w:rFonts w:cs="Arial"/>
          <w:szCs w:val="20"/>
        </w:rPr>
        <w:t xml:space="preserve"> in nadzorno strukturo.</w:t>
      </w:r>
    </w:p>
    <w:p w14:paraId="25860AB8" w14:textId="77777777" w:rsidR="003E3ED9" w:rsidRPr="00830439" w:rsidRDefault="003E3ED9" w:rsidP="003E3ED9">
      <w:pPr>
        <w:tabs>
          <w:tab w:val="right" w:pos="9072"/>
        </w:tabs>
        <w:jc w:val="both"/>
        <w:rPr>
          <w:rFonts w:cs="Arial"/>
          <w:szCs w:val="20"/>
        </w:rPr>
      </w:pPr>
    </w:p>
    <w:p w14:paraId="22560B3D" w14:textId="77777777" w:rsidR="003E3ED9" w:rsidRPr="00830439" w:rsidRDefault="003E3ED9" w:rsidP="003E3ED9">
      <w:pPr>
        <w:tabs>
          <w:tab w:val="right" w:pos="9072"/>
        </w:tabs>
        <w:jc w:val="both"/>
        <w:rPr>
          <w:rFonts w:cs="Arial"/>
          <w:szCs w:val="20"/>
        </w:rPr>
      </w:pPr>
      <w:r w:rsidRPr="00830439">
        <w:rPr>
          <w:rFonts w:cs="Arial"/>
          <w:szCs w:val="20"/>
        </w:rPr>
        <w:t>Upravljavec sklada skladov posluje v skladu s svojimi internimi akti.</w:t>
      </w:r>
    </w:p>
    <w:p w14:paraId="59F9E732" w14:textId="77777777" w:rsidR="003E3ED9" w:rsidRPr="00830439" w:rsidRDefault="003E3ED9" w:rsidP="003E3ED9">
      <w:pPr>
        <w:tabs>
          <w:tab w:val="right" w:pos="9072"/>
        </w:tabs>
        <w:jc w:val="both"/>
        <w:rPr>
          <w:rFonts w:cs="Arial"/>
          <w:szCs w:val="20"/>
        </w:rPr>
      </w:pPr>
    </w:p>
    <w:p w14:paraId="6327404E" w14:textId="77777777" w:rsidR="003E3ED9" w:rsidRPr="00830439" w:rsidRDefault="003E3ED9" w:rsidP="003E3ED9">
      <w:pPr>
        <w:tabs>
          <w:tab w:val="right" w:pos="9072"/>
        </w:tabs>
        <w:jc w:val="both"/>
        <w:rPr>
          <w:rFonts w:cs="Arial"/>
          <w:szCs w:val="20"/>
        </w:rPr>
      </w:pPr>
      <w:r w:rsidRPr="00830439">
        <w:rPr>
          <w:rFonts w:cs="Arial"/>
          <w:szCs w:val="20"/>
        </w:rPr>
        <w:t>Upravljavec sklada skladov ima organizirano službo notranje revizije, v okviru katere se preverja vzpostavitev in delovanje notranjih kontrol za izvajanje operacije sklad skladov.</w:t>
      </w:r>
    </w:p>
    <w:p w14:paraId="73DAD3B0" w14:textId="77777777" w:rsidR="003E3ED9" w:rsidRPr="00830439" w:rsidRDefault="003E3ED9" w:rsidP="003E3ED9">
      <w:pPr>
        <w:tabs>
          <w:tab w:val="right" w:pos="9072"/>
        </w:tabs>
        <w:jc w:val="both"/>
        <w:rPr>
          <w:rFonts w:cs="Arial"/>
          <w:szCs w:val="20"/>
        </w:rPr>
      </w:pPr>
    </w:p>
    <w:p w14:paraId="2CF80199" w14:textId="77777777" w:rsidR="003E3ED9" w:rsidRPr="00830439" w:rsidRDefault="003E3ED9" w:rsidP="003E3ED9">
      <w:pPr>
        <w:tabs>
          <w:tab w:val="right" w:pos="9072"/>
        </w:tabs>
        <w:jc w:val="both"/>
        <w:rPr>
          <w:rFonts w:cs="Arial"/>
          <w:szCs w:val="20"/>
        </w:rPr>
      </w:pPr>
      <w:r w:rsidRPr="00830439">
        <w:rPr>
          <w:rFonts w:cs="Arial"/>
          <w:szCs w:val="20"/>
        </w:rPr>
        <w:t>Upravljavec sklada skladov podrobneje opredeli nadzor in spremljanje tudi v pogodbah s finančnimi posredniki, ki mora biti vsaj enakovreden nadzoru, ki ga izvaja PO.</w:t>
      </w:r>
    </w:p>
    <w:p w14:paraId="41620B65" w14:textId="77777777" w:rsidR="003E3ED9" w:rsidRPr="002A1F16" w:rsidRDefault="003E3ED9" w:rsidP="003E3ED9">
      <w:pPr>
        <w:rPr>
          <w:rFonts w:cs="Arial"/>
          <w:szCs w:val="20"/>
        </w:rPr>
      </w:pPr>
      <w:r w:rsidRPr="002A1F16">
        <w:rPr>
          <w:rFonts w:cs="Arial"/>
          <w:szCs w:val="20"/>
        </w:rPr>
        <w:br w:type="page"/>
      </w:r>
    </w:p>
    <w:p w14:paraId="695C0019" w14:textId="77777777" w:rsidR="003E3ED9" w:rsidRPr="00BC0821" w:rsidRDefault="003E3ED9" w:rsidP="003E3ED9">
      <w:pPr>
        <w:rPr>
          <w:rFonts w:cs="Arial"/>
          <w:b/>
          <w:color w:val="AACDDB"/>
          <w:szCs w:val="20"/>
        </w:rPr>
      </w:pPr>
      <w:r w:rsidRPr="00BC0821">
        <w:rPr>
          <w:rFonts w:cs="Arial"/>
          <w:b/>
          <w:color w:val="AACDDB"/>
          <w:szCs w:val="20"/>
        </w:rPr>
        <w:lastRenderedPageBreak/>
        <w:t>Priloga 1: Preverjanje izpolnjevanja pogojev po 28. členu ZJN-3 SID banke za izvajalca sklada skladov ter evidentiranje sredstev za FI</w:t>
      </w:r>
    </w:p>
    <w:p w14:paraId="097CBA31" w14:textId="77777777" w:rsidR="003E3ED9" w:rsidRPr="00830439" w:rsidRDefault="003E3ED9" w:rsidP="003E3ED9">
      <w:pPr>
        <w:tabs>
          <w:tab w:val="right" w:pos="9072"/>
        </w:tabs>
        <w:jc w:val="both"/>
        <w:rPr>
          <w:rFonts w:cs="Arial"/>
          <w:szCs w:val="20"/>
        </w:rPr>
      </w:pPr>
      <w:r w:rsidRPr="00830439">
        <w:rPr>
          <w:rFonts w:cs="Arial"/>
          <w:szCs w:val="20"/>
        </w:rPr>
        <w:t>Evropska komisija enači izbiro izvajalca sklada skladov z naročilom finančnih storitev, zato je potrebno upoštevati postopke Zakona o javnem naročanju. V primeru izpolnjevanja pogojev je mogoče oddati naročilo po preprostem postopku, med osebami javnega prava.</w:t>
      </w:r>
    </w:p>
    <w:p w14:paraId="10FFADFD" w14:textId="77777777" w:rsidR="003E3ED9" w:rsidRPr="00830439" w:rsidRDefault="003E3ED9" w:rsidP="003E3ED9">
      <w:pPr>
        <w:tabs>
          <w:tab w:val="right" w:pos="9072"/>
        </w:tabs>
        <w:jc w:val="both"/>
        <w:rPr>
          <w:rFonts w:cs="Arial"/>
          <w:szCs w:val="20"/>
        </w:rPr>
      </w:pPr>
    </w:p>
    <w:p w14:paraId="3BC281A0" w14:textId="77777777" w:rsidR="003E3ED9" w:rsidRPr="00F60B42" w:rsidRDefault="003E3ED9" w:rsidP="003E3ED9">
      <w:pPr>
        <w:tabs>
          <w:tab w:val="right" w:pos="9072"/>
        </w:tabs>
        <w:jc w:val="both"/>
        <w:rPr>
          <w:rFonts w:cs="Arial"/>
          <w:szCs w:val="20"/>
        </w:rPr>
      </w:pPr>
      <w:r w:rsidRPr="00830439">
        <w:rPr>
          <w:rFonts w:cs="Arial"/>
          <w:szCs w:val="20"/>
        </w:rPr>
        <w:t>Evropska komisija se na podlagi pripomb držav članic zaveda, da trenutno status promocijskih bank in ostalih javnih finančnih institucij v okviru sprejete zakonodaje za izvajanje ESIF ni nikjer posebej izpostavljen (kot npr. je EIB) in jih ni mogoče neposredno nominirati za izvajalca. Izbor takšne institucije je zato podvržen pravilom izbora na področju javnega naročanja. Na podlagi tega je pripravljen predlog sprememb Finančne uredbe in Uredbe (EU) št. 1303/2013, kjer se uvaja možnost, da lahko država članica izvajanje neposredno zaupa banki ali druga finančni instituciji v javni lasti in je ustanovljena zato, da izvaja finančne posle na strokovni ravni, ki izpolnjuje naslednje pogoje</w:t>
      </w:r>
      <w:r w:rsidRPr="00830439">
        <w:rPr>
          <w:rFonts w:cs="Arial"/>
          <w:szCs w:val="20"/>
          <w:vertAlign w:val="superscript"/>
        </w:rPr>
        <w:footnoteReference w:id="26"/>
      </w:r>
      <w:r w:rsidRPr="00830439">
        <w:rPr>
          <w:rFonts w:cs="Arial"/>
          <w:szCs w:val="20"/>
        </w:rPr>
        <w:t>:</w:t>
      </w:r>
    </w:p>
    <w:p w14:paraId="2FF3B23D" w14:textId="77777777" w:rsidR="003E3ED9" w:rsidRPr="00F60B42" w:rsidRDefault="003E3ED9" w:rsidP="003E3ED9">
      <w:pPr>
        <w:numPr>
          <w:ilvl w:val="0"/>
          <w:numId w:val="61"/>
        </w:numPr>
        <w:tabs>
          <w:tab w:val="right" w:pos="9072"/>
        </w:tabs>
        <w:ind w:left="714" w:hanging="357"/>
        <w:contextualSpacing/>
        <w:jc w:val="both"/>
        <w:rPr>
          <w:rFonts w:eastAsia="Calibri" w:cs="Arial"/>
          <w:szCs w:val="20"/>
        </w:rPr>
      </w:pPr>
      <w:r w:rsidRPr="00F60B42">
        <w:rPr>
          <w:rFonts w:eastAsia="Calibri" w:cs="Arial"/>
          <w:szCs w:val="20"/>
        </w:rPr>
        <w:t>v kapitalu institucije ni neposredno udeležen zasebni kapital, razen v primeru ko gre za kontrolno ali »non-</w:t>
      </w:r>
      <w:proofErr w:type="spellStart"/>
      <w:r w:rsidRPr="00F60B42">
        <w:rPr>
          <w:rFonts w:eastAsia="Calibri" w:cs="Arial"/>
          <w:szCs w:val="20"/>
        </w:rPr>
        <w:t>blocking</w:t>
      </w:r>
      <w:proofErr w:type="spellEnd"/>
      <w:r w:rsidRPr="00F60B42">
        <w:rPr>
          <w:rFonts w:eastAsia="Calibri" w:cs="Arial"/>
          <w:szCs w:val="20"/>
        </w:rPr>
        <w:t>« obliko, kar je zahtevano z nacionalno zakonodajo, v skladu s Pogodbo o EU, ki ne omogoča odločilnega vpliva na institucijo;</w:t>
      </w:r>
    </w:p>
    <w:p w14:paraId="3309A334" w14:textId="77777777" w:rsidR="003E3ED9" w:rsidRPr="00830439" w:rsidRDefault="003E3ED9" w:rsidP="003E3ED9">
      <w:pPr>
        <w:numPr>
          <w:ilvl w:val="0"/>
          <w:numId w:val="61"/>
        </w:numPr>
        <w:tabs>
          <w:tab w:val="right" w:pos="9072"/>
        </w:tabs>
        <w:ind w:left="714" w:hanging="357"/>
        <w:contextualSpacing/>
        <w:jc w:val="both"/>
        <w:rPr>
          <w:rFonts w:eastAsia="Calibri" w:cs="Arial"/>
          <w:szCs w:val="20"/>
        </w:rPr>
      </w:pPr>
      <w:r w:rsidRPr="00830439">
        <w:rPr>
          <w:rFonts w:eastAsia="Calibri" w:cs="Arial"/>
          <w:szCs w:val="20"/>
        </w:rPr>
        <w:t>deluje na podlagi javnih pooblastil, ki mu jih je podelila pristojna institucija države članice na nacionalni ali regionalni ravni, da izvaja razvojne naloge, ki so v skladu s cilji ESIF;</w:t>
      </w:r>
    </w:p>
    <w:p w14:paraId="13C6E1F4" w14:textId="77777777" w:rsidR="003E3ED9" w:rsidRPr="00830439" w:rsidRDefault="003E3ED9" w:rsidP="003E3ED9">
      <w:pPr>
        <w:numPr>
          <w:ilvl w:val="0"/>
          <w:numId w:val="61"/>
        </w:numPr>
        <w:tabs>
          <w:tab w:val="right" w:pos="9072"/>
        </w:tabs>
        <w:ind w:left="714" w:hanging="357"/>
        <w:contextualSpacing/>
        <w:jc w:val="both"/>
        <w:rPr>
          <w:rFonts w:eastAsia="Calibri" w:cs="Arial"/>
          <w:szCs w:val="20"/>
        </w:rPr>
      </w:pPr>
      <w:r w:rsidRPr="00830439">
        <w:rPr>
          <w:rFonts w:eastAsia="Calibri" w:cs="Arial"/>
          <w:szCs w:val="20"/>
        </w:rPr>
        <w:t>svoje razvojne naloge izvaja v regija politikah in sektorjih, za katere je značilno, da financiranje na trgu ni na voljo ali ni na voljo v zadostnem obsegu, torej v vrzelih;</w:t>
      </w:r>
    </w:p>
    <w:p w14:paraId="4FD6FBDF" w14:textId="77777777" w:rsidR="003E3ED9" w:rsidRPr="00830439" w:rsidRDefault="003E3ED9" w:rsidP="003E3ED9">
      <w:pPr>
        <w:numPr>
          <w:ilvl w:val="0"/>
          <w:numId w:val="61"/>
        </w:numPr>
        <w:tabs>
          <w:tab w:val="right" w:pos="9072"/>
        </w:tabs>
        <w:ind w:left="714" w:hanging="357"/>
        <w:contextualSpacing/>
        <w:jc w:val="both"/>
        <w:rPr>
          <w:rFonts w:eastAsia="Calibri" w:cs="Arial"/>
          <w:szCs w:val="20"/>
        </w:rPr>
      </w:pPr>
      <w:r w:rsidRPr="00830439">
        <w:rPr>
          <w:rFonts w:eastAsia="Calibri" w:cs="Arial"/>
          <w:szCs w:val="20"/>
        </w:rPr>
        <w:t>njen primarni cilj ni maksimiranje dobička temveč trajnostna naravnanost;</w:t>
      </w:r>
    </w:p>
    <w:p w14:paraId="058976A1" w14:textId="77777777" w:rsidR="003E3ED9" w:rsidRPr="00830439" w:rsidRDefault="003E3ED9" w:rsidP="003E3ED9">
      <w:pPr>
        <w:numPr>
          <w:ilvl w:val="0"/>
          <w:numId w:val="61"/>
        </w:numPr>
        <w:tabs>
          <w:tab w:val="right" w:pos="9072"/>
        </w:tabs>
        <w:ind w:left="714" w:hanging="357"/>
        <w:contextualSpacing/>
        <w:jc w:val="both"/>
        <w:rPr>
          <w:rFonts w:eastAsia="Calibri" w:cs="Arial"/>
          <w:szCs w:val="20"/>
        </w:rPr>
      </w:pPr>
      <w:r w:rsidRPr="00830439">
        <w:rPr>
          <w:rFonts w:eastAsia="Calibri" w:cs="Arial"/>
          <w:szCs w:val="20"/>
        </w:rPr>
        <w:t>pooblastila ne zagotavljajo neposredne ali posredne koristi za tržne aktivnosti v skladu z zadevno zakonodajo;</w:t>
      </w:r>
    </w:p>
    <w:p w14:paraId="05989F16" w14:textId="77777777" w:rsidR="003E3ED9" w:rsidRPr="00830439" w:rsidRDefault="003E3ED9" w:rsidP="003E3ED9">
      <w:pPr>
        <w:numPr>
          <w:ilvl w:val="0"/>
          <w:numId w:val="61"/>
        </w:numPr>
        <w:tabs>
          <w:tab w:val="right" w:pos="9072"/>
        </w:tabs>
        <w:ind w:left="714" w:hanging="357"/>
        <w:contextualSpacing/>
        <w:jc w:val="both"/>
        <w:rPr>
          <w:rFonts w:eastAsia="Calibri" w:cs="Arial"/>
          <w:szCs w:val="20"/>
        </w:rPr>
      </w:pPr>
      <w:r w:rsidRPr="00830439">
        <w:rPr>
          <w:rFonts w:eastAsia="Calibri" w:cs="Arial"/>
          <w:szCs w:val="20"/>
        </w:rPr>
        <w:t>je podvržena nadzoru neodvisnega organa v skladu z nacionalno zakonodajo.</w:t>
      </w:r>
    </w:p>
    <w:p w14:paraId="4B1BC2FE" w14:textId="77777777" w:rsidR="003E3ED9" w:rsidRPr="00830439" w:rsidRDefault="003E3ED9" w:rsidP="003E3ED9">
      <w:pPr>
        <w:tabs>
          <w:tab w:val="right" w:pos="9072"/>
        </w:tabs>
        <w:jc w:val="both"/>
        <w:rPr>
          <w:rFonts w:cs="Arial"/>
          <w:szCs w:val="20"/>
        </w:rPr>
      </w:pPr>
      <w:r w:rsidRPr="00830439">
        <w:rPr>
          <w:rFonts w:cs="Arial"/>
          <w:szCs w:val="20"/>
        </w:rPr>
        <w:t>Aktualen predlog spremembe torej nedvoumno izraža namero in interes Evropske komisije, da se z vidika zaupanja nalog izvajanja sklada skladov ali posameznih FI imenuje (neposredno) razvojne banke.</w:t>
      </w:r>
    </w:p>
    <w:p w14:paraId="0314665D" w14:textId="77777777" w:rsidR="003E3ED9" w:rsidRPr="00830439" w:rsidRDefault="003E3ED9" w:rsidP="003E3ED9">
      <w:pPr>
        <w:tabs>
          <w:tab w:val="right" w:pos="9072"/>
        </w:tabs>
        <w:jc w:val="both"/>
        <w:rPr>
          <w:rFonts w:cs="Arial"/>
          <w:szCs w:val="20"/>
        </w:rPr>
      </w:pPr>
    </w:p>
    <w:p w14:paraId="40A7BA54" w14:textId="77777777" w:rsidR="003E3ED9" w:rsidRPr="00830439" w:rsidRDefault="003E3ED9" w:rsidP="003E3ED9">
      <w:pPr>
        <w:tabs>
          <w:tab w:val="right" w:pos="9072"/>
        </w:tabs>
        <w:jc w:val="both"/>
        <w:rPr>
          <w:rFonts w:cs="Arial"/>
          <w:szCs w:val="20"/>
        </w:rPr>
      </w:pPr>
      <w:r w:rsidRPr="00830439">
        <w:rPr>
          <w:rFonts w:cs="Arial"/>
          <w:szCs w:val="20"/>
        </w:rPr>
        <w:t>Do sprejetja opisanih normativnih sprememb pa velja, da podpis finančnega sporazuma z izvajalcem sklada skladov z vidika pravil javnega naročanja pomeni naročilo finančnih storitev. Zato je pri izboru izvajalca sklada skladov, v kolikor evropska zakonodaja za izvajanje ESIF za posamezen subjekt (kot na primer za EIB) ne določa drugače, potrebno upoštevati postopke javnega naročanja.</w:t>
      </w:r>
    </w:p>
    <w:p w14:paraId="7DA3F95D" w14:textId="77777777" w:rsidR="003E3ED9" w:rsidRPr="00830439" w:rsidRDefault="003E3ED9" w:rsidP="003E3ED9">
      <w:pPr>
        <w:tabs>
          <w:tab w:val="right" w:pos="9072"/>
        </w:tabs>
        <w:jc w:val="both"/>
        <w:rPr>
          <w:rFonts w:cs="Arial"/>
          <w:szCs w:val="20"/>
        </w:rPr>
      </w:pPr>
      <w:r w:rsidRPr="00830439">
        <w:rPr>
          <w:rFonts w:cs="Arial"/>
          <w:szCs w:val="20"/>
        </w:rPr>
        <w:br/>
        <w:t xml:space="preserve">V nacionalni zakonodaji so ti postopki urejeni z Zakonom o javnem naročanju (ZJN-3), ki v nacionalni pravni red med drugim vnaša tudi izjemo od uporabe pravil javnega naročanja. Gre za izjemo </w:t>
      </w:r>
      <w:proofErr w:type="spellStart"/>
      <w:r w:rsidRPr="00830439">
        <w:rPr>
          <w:rFonts w:cs="Arial"/>
          <w:szCs w:val="20"/>
        </w:rPr>
        <w:t>t.i</w:t>
      </w:r>
      <w:proofErr w:type="spellEnd"/>
      <w:r w:rsidRPr="00830439">
        <w:rPr>
          <w:rFonts w:cs="Arial"/>
          <w:szCs w:val="20"/>
        </w:rPr>
        <w:t>. notranjega izvajalca, razvito na podlagi prakse Sodišča EU.</w:t>
      </w:r>
    </w:p>
    <w:p w14:paraId="16A25541" w14:textId="77777777" w:rsidR="003E3ED9" w:rsidRPr="00830439" w:rsidRDefault="003E3ED9" w:rsidP="003E3ED9">
      <w:pPr>
        <w:tabs>
          <w:tab w:val="right" w:pos="9072"/>
        </w:tabs>
        <w:jc w:val="both"/>
        <w:rPr>
          <w:rFonts w:cs="Arial"/>
          <w:szCs w:val="20"/>
        </w:rPr>
      </w:pPr>
    </w:p>
    <w:p w14:paraId="6CAD6AD0" w14:textId="77777777" w:rsidR="003E3ED9" w:rsidRPr="00830439" w:rsidRDefault="003E3ED9" w:rsidP="003E3ED9">
      <w:pPr>
        <w:tabs>
          <w:tab w:val="right" w:pos="9072"/>
        </w:tabs>
        <w:jc w:val="both"/>
        <w:rPr>
          <w:rFonts w:cs="Arial"/>
          <w:szCs w:val="20"/>
        </w:rPr>
      </w:pPr>
      <w:r w:rsidRPr="00830439">
        <w:rPr>
          <w:rFonts w:cs="Arial"/>
          <w:szCs w:val="20"/>
        </w:rPr>
        <w:t>Prvi odstavek 28. člena Zakona o javnem naročanju (ZJN-3) določa:</w:t>
      </w:r>
    </w:p>
    <w:p w14:paraId="53E7A359" w14:textId="77777777" w:rsidR="003E3ED9" w:rsidRPr="00830439" w:rsidRDefault="003E3ED9" w:rsidP="003E3ED9">
      <w:pPr>
        <w:tabs>
          <w:tab w:val="right" w:pos="9072"/>
        </w:tabs>
        <w:jc w:val="both"/>
        <w:rPr>
          <w:rFonts w:cs="Arial"/>
          <w:szCs w:val="20"/>
        </w:rPr>
      </w:pPr>
    </w:p>
    <w:p w14:paraId="78727BD9" w14:textId="77777777" w:rsidR="003E3ED9" w:rsidRPr="00830439" w:rsidRDefault="003E3ED9" w:rsidP="003E3ED9">
      <w:pPr>
        <w:numPr>
          <w:ilvl w:val="0"/>
          <w:numId w:val="62"/>
        </w:numPr>
        <w:tabs>
          <w:tab w:val="right" w:pos="9072"/>
        </w:tabs>
        <w:ind w:left="718"/>
        <w:contextualSpacing/>
        <w:jc w:val="both"/>
        <w:rPr>
          <w:rFonts w:eastAsia="Calibri" w:cs="Arial"/>
          <w:szCs w:val="20"/>
        </w:rPr>
      </w:pPr>
      <w:r w:rsidRPr="00830439">
        <w:rPr>
          <w:rFonts w:eastAsia="Calibri" w:cs="Arial"/>
          <w:szCs w:val="20"/>
        </w:rPr>
        <w:t>Ta zakon se ne uporablja za javno naročilo, ki ga naročnik iz a), b) ali c) točke prvega odstavka 9. člena tega zakona odda pravni osebi javnega ali zasebnega prava, če so izpolnjeni naslednji pogoji:</w:t>
      </w:r>
    </w:p>
    <w:p w14:paraId="5B0630F6" w14:textId="77777777" w:rsidR="003E3ED9" w:rsidRPr="00830439" w:rsidRDefault="003E3ED9" w:rsidP="003E3ED9">
      <w:pPr>
        <w:numPr>
          <w:ilvl w:val="1"/>
          <w:numId w:val="63"/>
        </w:numPr>
        <w:tabs>
          <w:tab w:val="right" w:pos="9072"/>
        </w:tabs>
        <w:ind w:left="1438"/>
        <w:contextualSpacing/>
        <w:jc w:val="both"/>
        <w:rPr>
          <w:rFonts w:eastAsia="Calibri" w:cs="Arial"/>
          <w:szCs w:val="20"/>
        </w:rPr>
      </w:pPr>
      <w:r w:rsidRPr="00830439">
        <w:rPr>
          <w:rFonts w:eastAsia="Calibri" w:cs="Arial"/>
          <w:szCs w:val="20"/>
        </w:rPr>
        <w:t>ta naročnik obvladuje določeno pravno osebo podobno kot svoje službe;</w:t>
      </w:r>
    </w:p>
    <w:p w14:paraId="17913465" w14:textId="77777777" w:rsidR="003E3ED9" w:rsidRPr="00830439" w:rsidRDefault="003E3ED9" w:rsidP="003E3ED9">
      <w:pPr>
        <w:numPr>
          <w:ilvl w:val="1"/>
          <w:numId w:val="63"/>
        </w:numPr>
        <w:tabs>
          <w:tab w:val="right" w:pos="9072"/>
        </w:tabs>
        <w:ind w:left="1438"/>
        <w:contextualSpacing/>
        <w:jc w:val="both"/>
        <w:rPr>
          <w:rFonts w:eastAsia="Calibri" w:cs="Arial"/>
          <w:szCs w:val="20"/>
        </w:rPr>
      </w:pPr>
      <w:r w:rsidRPr="00830439">
        <w:rPr>
          <w:rFonts w:eastAsia="Calibri" w:cs="Arial"/>
          <w:szCs w:val="20"/>
        </w:rPr>
        <w:t>odvisna pravna oseba izvaja več kot 80 odstotkov svojih dejavnosti za izpolnitev nalog, ki ji jih je dal ta naročnik, ki jo obvladuje, ali ki so ji jih dale druge pravne osebe, ki jih obvladuje ta naročnik;</w:t>
      </w:r>
    </w:p>
    <w:p w14:paraId="3893D72A" w14:textId="77777777" w:rsidR="003E3ED9" w:rsidRPr="00830439" w:rsidRDefault="003E3ED9" w:rsidP="003E3ED9">
      <w:pPr>
        <w:numPr>
          <w:ilvl w:val="1"/>
          <w:numId w:val="63"/>
        </w:numPr>
        <w:tabs>
          <w:tab w:val="right" w:pos="9072"/>
        </w:tabs>
        <w:ind w:left="1438"/>
        <w:contextualSpacing/>
        <w:jc w:val="both"/>
        <w:rPr>
          <w:rFonts w:eastAsia="Calibri" w:cs="Arial"/>
          <w:szCs w:val="20"/>
        </w:rPr>
      </w:pPr>
      <w:r w:rsidRPr="00830439">
        <w:rPr>
          <w:rFonts w:eastAsia="Calibri" w:cs="Arial"/>
          <w:szCs w:val="20"/>
        </w:rPr>
        <w:t>v odvisni pravni osebi neposreden zasebni kapital ni udeležen in</w:t>
      </w:r>
    </w:p>
    <w:p w14:paraId="1AB2433F" w14:textId="77777777" w:rsidR="003E3ED9" w:rsidRPr="00830439" w:rsidRDefault="003E3ED9" w:rsidP="003E3ED9">
      <w:pPr>
        <w:numPr>
          <w:ilvl w:val="1"/>
          <w:numId w:val="63"/>
        </w:numPr>
        <w:tabs>
          <w:tab w:val="right" w:pos="9072"/>
        </w:tabs>
        <w:spacing w:line="240" w:lineRule="atLeast"/>
        <w:ind w:left="1438"/>
        <w:contextualSpacing/>
        <w:jc w:val="both"/>
        <w:rPr>
          <w:rFonts w:eastAsia="Calibri" w:cs="Arial"/>
          <w:szCs w:val="20"/>
        </w:rPr>
      </w:pPr>
      <w:r w:rsidRPr="00830439">
        <w:rPr>
          <w:rFonts w:eastAsia="Calibri" w:cs="Arial"/>
          <w:szCs w:val="20"/>
        </w:rPr>
        <w:t>č) vrednost predmeta naročanja je enaka ali nižja od cen za ta predmet na trgu.</w:t>
      </w:r>
    </w:p>
    <w:p w14:paraId="43CA8B53" w14:textId="77777777" w:rsidR="003E3ED9" w:rsidRPr="00830439" w:rsidRDefault="003E3ED9" w:rsidP="003E3ED9">
      <w:pPr>
        <w:tabs>
          <w:tab w:val="right" w:pos="9072"/>
        </w:tabs>
        <w:jc w:val="both"/>
        <w:rPr>
          <w:rFonts w:cs="Arial"/>
          <w:szCs w:val="20"/>
        </w:rPr>
      </w:pPr>
    </w:p>
    <w:p w14:paraId="4C4FB4E9" w14:textId="77777777" w:rsidR="003E3ED9" w:rsidRPr="00830439" w:rsidRDefault="003E3ED9" w:rsidP="003E3ED9">
      <w:pPr>
        <w:numPr>
          <w:ilvl w:val="0"/>
          <w:numId w:val="64"/>
        </w:numPr>
        <w:tabs>
          <w:tab w:val="right" w:pos="9072"/>
        </w:tabs>
        <w:ind w:left="714" w:hanging="357"/>
        <w:contextualSpacing/>
        <w:jc w:val="both"/>
        <w:rPr>
          <w:rFonts w:eastAsia="Calibri" w:cs="Arial"/>
          <w:szCs w:val="20"/>
        </w:rPr>
      </w:pPr>
      <w:r w:rsidRPr="00830439">
        <w:rPr>
          <w:rFonts w:eastAsia="Calibri" w:cs="Arial"/>
          <w:szCs w:val="20"/>
        </w:rPr>
        <w:lastRenderedPageBreak/>
        <w:t>Izpolnjevanje pogoja iz točke a) ta naročnik obvladuje določeno pravno osebo podobno kot svoje službe se v skladu z zahtevami prava EU nanaša na pravni položaj, ko javni naročnik obvladuje zadevno pravno osebo zasebnega ali javnega prava podobno kot svoje službe (</w:t>
      </w:r>
      <w:proofErr w:type="spellStart"/>
      <w:r w:rsidRPr="00830439">
        <w:rPr>
          <w:rFonts w:eastAsia="Calibri" w:cs="Arial"/>
          <w:szCs w:val="20"/>
        </w:rPr>
        <w:t>t.i</w:t>
      </w:r>
      <w:proofErr w:type="spellEnd"/>
      <w:r w:rsidRPr="00830439">
        <w:rPr>
          <w:rFonts w:eastAsia="Calibri" w:cs="Arial"/>
          <w:szCs w:val="20"/>
        </w:rPr>
        <w:t>. pogoj organizacijske odvisnosti), pri čemer se šteje, da javni naročnik obvladuje pravno osebo podobno kot svoje službe, če odločilno vpliva na strateške cilje in pomembne odločitve odvisne pravne osebe . Ta pogoj je izpolnjen tako v primeru, če imata oseba javni naročnik in odvisna družba isti organ odločanja ali, če je oseba javni naročnik (oziroma nekateri izmed njegovih organov) pristojen za imenovanje in razreševanje organa odločanja v gospodarski družbi ali pa, če bi organ vodenja odvisne družbe za sprejem strateških ciljev oziroma pomembnih odločitev potreboval soglasje osebe javnega naročnika (oziroma katerega od njegovih organov).Tako obvladovanje lahko izvaja tudi druga pravna oseba, ki jo na enak način obvladuje ta naročnik.</w:t>
      </w:r>
    </w:p>
    <w:p w14:paraId="28DC2C9B" w14:textId="77777777" w:rsidR="003E3ED9" w:rsidRPr="00830439" w:rsidRDefault="003E3ED9" w:rsidP="003E3ED9">
      <w:pPr>
        <w:tabs>
          <w:tab w:val="right" w:pos="9072"/>
        </w:tabs>
        <w:ind w:left="714"/>
        <w:contextualSpacing/>
        <w:jc w:val="both"/>
        <w:rPr>
          <w:rFonts w:eastAsia="Calibri" w:cs="Arial"/>
          <w:szCs w:val="20"/>
        </w:rPr>
      </w:pPr>
    </w:p>
    <w:tbl>
      <w:tblPr>
        <w:tblStyle w:val="Tabelamrea"/>
        <w:tblW w:w="5000" w:type="pct"/>
        <w:shd w:val="clear" w:color="auto" w:fill="FFFFFF"/>
        <w:tblLook w:val="04A0" w:firstRow="1" w:lastRow="0" w:firstColumn="1" w:lastColumn="0" w:noHBand="0" w:noVBand="1"/>
      </w:tblPr>
      <w:tblGrid>
        <w:gridCol w:w="8488"/>
      </w:tblGrid>
      <w:tr w:rsidR="003E3ED9" w:rsidRPr="00830439" w14:paraId="06EE0CD6" w14:textId="77777777" w:rsidTr="00E8716B">
        <w:tc>
          <w:tcPr>
            <w:tcW w:w="5000" w:type="pct"/>
            <w:shd w:val="clear" w:color="auto" w:fill="FFFFFF"/>
          </w:tcPr>
          <w:p w14:paraId="21A8079C" w14:textId="77777777" w:rsidR="003E3ED9" w:rsidRPr="00830439" w:rsidRDefault="003E3ED9" w:rsidP="00E8716B">
            <w:pPr>
              <w:tabs>
                <w:tab w:val="right" w:pos="9072"/>
              </w:tabs>
              <w:jc w:val="both"/>
              <w:rPr>
                <w:rFonts w:cs="Arial"/>
              </w:rPr>
            </w:pPr>
            <w:r w:rsidRPr="00830439">
              <w:rPr>
                <w:rFonts w:cs="Arial"/>
              </w:rPr>
              <w:t>V primeru SID banke je zakonsko določeno, da je zaradi zagotavljanja izvajanja zakonsko določenih nalog in uresničevanja ciljev po tem zakonu Republika Slovenija edini delničar SID banke (4. člen Zakona o Slovenski izvozni in razvojni banki</w:t>
            </w:r>
            <w:r w:rsidRPr="00830439">
              <w:rPr>
                <w:rFonts w:cs="Arial"/>
                <w:vertAlign w:val="superscript"/>
              </w:rPr>
              <w:footnoteReference w:id="27"/>
            </w:r>
            <w:r w:rsidRPr="00830439">
              <w:rPr>
                <w:rFonts w:cs="Arial"/>
              </w:rPr>
              <w:t xml:space="preserve"> (v nadaljevanju: ZSIRB), kar kaže na to, da je lahko pogoj izpolnjen. SID banka mora o izvrševanju pooblastil po ZSIRB enkrat letno poročati Vladi, ta pa nadalje Državnemu zboru (ZSIRB, 17. člen). Nadalje člane nadzorn</w:t>
            </w:r>
            <w:r w:rsidRPr="00F60B42">
              <w:rPr>
                <w:rFonts w:cs="Arial"/>
              </w:rPr>
              <w:t>ega sveta SID banke imenuje Vlada Republike Slovenije, in sicer pet članov kot predstavnike strokovne javnosti na predlog ministra, pristojnega za razvoj in evropske zadeve, enega člana kot predstavnika ministrstva, pristojnega za finance, na predlog ministra, pristojnega za finance in enega člana kot predstavnika ministrstva, pristojnega za gospodarstvo, na predlog ministra, pristojnega za gospodarstvo (četrti odstavek 18. člena ZSIRB). V tem delu je odločilno to</w:t>
            </w:r>
            <w:r w:rsidRPr="004005A5">
              <w:rPr>
                <w:rFonts w:cs="Arial"/>
              </w:rPr>
              <w:t>, da vse člane nadzornega sveta imenuje in razrešuje ustanovitelj (</w:t>
            </w:r>
            <w:proofErr w:type="spellStart"/>
            <w:r w:rsidRPr="004005A5">
              <w:rPr>
                <w:rFonts w:cs="Arial"/>
              </w:rPr>
              <w:t>t.j</w:t>
            </w:r>
            <w:proofErr w:type="spellEnd"/>
            <w:r w:rsidRPr="004005A5">
              <w:rPr>
                <w:rFonts w:cs="Arial"/>
              </w:rPr>
              <w:t>. Vlada RS v imenu Republike Slovenije) na predlog ministra, kot člana vlade. Člane uprave SID banke pa imenuje nadzorni svet. Gre za klasičen dvotirni sistem upravljanja, ki sicer izhaj</w:t>
            </w:r>
            <w:r w:rsidRPr="00830439">
              <w:rPr>
                <w:rFonts w:cs="Arial"/>
              </w:rPr>
              <w:t>a že iz samega ZSIRB, podobno kot ga ureja Zakon o bančništvu in kot velja za gospodarske družbe na splošno po ZGD-1.</w:t>
            </w:r>
          </w:p>
          <w:p w14:paraId="4638A238" w14:textId="77777777" w:rsidR="003E3ED9" w:rsidRPr="00830439" w:rsidRDefault="003E3ED9" w:rsidP="00E8716B">
            <w:pPr>
              <w:tabs>
                <w:tab w:val="right" w:pos="9072"/>
              </w:tabs>
              <w:jc w:val="both"/>
              <w:rPr>
                <w:rFonts w:cs="Arial"/>
              </w:rPr>
            </w:pPr>
          </w:p>
          <w:p w14:paraId="05B4212E" w14:textId="77777777" w:rsidR="003E3ED9" w:rsidRPr="00F60B42" w:rsidRDefault="003E3ED9" w:rsidP="00E8716B">
            <w:pPr>
              <w:tabs>
                <w:tab w:val="right" w:pos="9072"/>
              </w:tabs>
              <w:jc w:val="both"/>
              <w:rPr>
                <w:rFonts w:cs="Arial"/>
              </w:rPr>
            </w:pPr>
            <w:r w:rsidRPr="00830439">
              <w:rPr>
                <w:rFonts w:cs="Arial"/>
              </w:rPr>
              <w:t>Zaradi tega je bistvenega pomena, kolikšen je dejanski obseg pristojnosti nadzornega sveta SID banke v razmerju do njene uprave. Ta je opredeljen v Statutu SID banke</w:t>
            </w:r>
            <w:r w:rsidRPr="00830439">
              <w:rPr>
                <w:rFonts w:cs="Arial"/>
                <w:vertAlign w:val="superscript"/>
              </w:rPr>
              <w:footnoteReference w:id="28"/>
            </w:r>
            <w:r w:rsidRPr="00830439">
              <w:rPr>
                <w:rFonts w:cs="Arial"/>
              </w:rPr>
              <w:t xml:space="preserve"> (15. člen), ki</w:t>
            </w:r>
            <w:r w:rsidRPr="00F60B42">
              <w:rPr>
                <w:rFonts w:cs="Arial"/>
              </w:rPr>
              <w:t xml:space="preserve"> med drugim določa, da brez soglasja nadzornega sveta SID banke ni možno sprejeti strategije, letnega poslovnega in finančnega načrta ali skleniti večjih poslov, s čimer je izkazan vpliv nadzornega sveta ter da so določene meje samostojnemu operativnemu odločanju uprave SID banke. Dodatno je pomembno, da ima, kljub temu da je SID banka organizirana kot delniška družba in da je način imenovanja članov uprave s strani nadzornega sveta, Republika Slovenija že na podl</w:t>
            </w:r>
            <w:r w:rsidRPr="004005A5">
              <w:rPr>
                <w:rFonts w:cs="Arial"/>
              </w:rPr>
              <w:t>agi posameznih zakonsko dodeljenih pooblastil SID banki, s pogodbeno ureditvijo razmerij s SID banko možnost odločilno vplivati na strateške cilje. Tako v okviru SID banke deluje tudi Komisija za pospeševanje mednarodne menjave, katere pristojnosti so omej</w:t>
            </w:r>
            <w:r w:rsidRPr="00830439">
              <w:rPr>
                <w:rFonts w:cs="Arial"/>
              </w:rPr>
              <w:t>ene na posle po Zakonu o zavarovanju in financiranju mednarodnih gospodarskih poslov</w:t>
            </w:r>
            <w:r w:rsidRPr="00830439">
              <w:rPr>
                <w:rFonts w:cs="Arial"/>
                <w:vertAlign w:val="superscript"/>
              </w:rPr>
              <w:footnoteReference w:id="29"/>
            </w:r>
            <w:r w:rsidRPr="00830439">
              <w:rPr>
                <w:rFonts w:cs="Arial"/>
              </w:rPr>
              <w:t>.</w:t>
            </w:r>
          </w:p>
          <w:p w14:paraId="6A69853A" w14:textId="77777777" w:rsidR="003E3ED9" w:rsidRPr="00F60B42" w:rsidRDefault="003E3ED9" w:rsidP="00E8716B">
            <w:pPr>
              <w:tabs>
                <w:tab w:val="right" w:pos="9072"/>
              </w:tabs>
              <w:jc w:val="both"/>
              <w:rPr>
                <w:rFonts w:cs="Arial"/>
              </w:rPr>
            </w:pPr>
          </w:p>
          <w:p w14:paraId="6D28DFA7" w14:textId="77777777" w:rsidR="003E3ED9" w:rsidRPr="00830439" w:rsidRDefault="003E3ED9" w:rsidP="00E8716B">
            <w:pPr>
              <w:tabs>
                <w:tab w:val="right" w:pos="9072"/>
              </w:tabs>
              <w:jc w:val="both"/>
              <w:rPr>
                <w:rFonts w:cs="Arial"/>
              </w:rPr>
            </w:pPr>
            <w:r w:rsidRPr="00830439">
              <w:rPr>
                <w:rFonts w:cs="Arial"/>
              </w:rPr>
              <w:t>Ob tem, da se v konkretnem primeru z vidika doktrine notranjega izvajalca (in-</w:t>
            </w:r>
            <w:proofErr w:type="spellStart"/>
            <w:r w:rsidRPr="00830439">
              <w:rPr>
                <w:rFonts w:cs="Arial"/>
              </w:rPr>
              <w:t>house</w:t>
            </w:r>
            <w:proofErr w:type="spellEnd"/>
            <w:r w:rsidRPr="00830439">
              <w:rPr>
                <w:rFonts w:cs="Arial"/>
              </w:rPr>
              <w:t>) presoja povezanost določenih pravnih oseb z državo, velja tudi omeniti, da z vidika te doktrine ni relevanten organizacijski ustroj ministrstev in je torej nepomembno, katero ministrstvo v imenu Republike Slovenije sklepa pogodbo s subjektom, ki se mu odda naročilo.</w:t>
            </w:r>
          </w:p>
          <w:p w14:paraId="541904D9" w14:textId="77777777" w:rsidR="003E3ED9" w:rsidRPr="00830439" w:rsidRDefault="003E3ED9" w:rsidP="00E8716B">
            <w:pPr>
              <w:tabs>
                <w:tab w:val="right" w:pos="9072"/>
              </w:tabs>
              <w:jc w:val="both"/>
              <w:rPr>
                <w:rFonts w:cs="Arial"/>
              </w:rPr>
            </w:pPr>
          </w:p>
          <w:p w14:paraId="5EDBEA59" w14:textId="77777777" w:rsidR="003E3ED9" w:rsidRPr="00F60B42" w:rsidRDefault="003E3ED9" w:rsidP="00E8716B">
            <w:pPr>
              <w:tabs>
                <w:tab w:val="right" w:pos="9072"/>
              </w:tabs>
              <w:jc w:val="both"/>
              <w:rPr>
                <w:rFonts w:cs="Arial"/>
              </w:rPr>
            </w:pPr>
            <w:r w:rsidRPr="00830439">
              <w:rPr>
                <w:rFonts w:cs="Arial"/>
              </w:rPr>
              <w:t xml:space="preserve">Z »Uredbo o porabi sredstev evropske kohezijske politike v Republiki Sloveniji v programskem obdobju 2014-2020 za cilj naložbe za rast in delovna mesta« je namreč določeno, da MGTŠ sklene finančni sporazum s skladom skladov. RS je pravna oseba, ki jo zastopa Vlada RS, </w:t>
            </w:r>
            <w:r w:rsidRPr="00830439">
              <w:rPr>
                <w:rFonts w:cs="Arial"/>
              </w:rPr>
              <w:lastRenderedPageBreak/>
              <w:t>katere del so ministrstva (skladno z Zakonom o Vladi Republike Slovenije</w:t>
            </w:r>
            <w:r w:rsidRPr="00830439">
              <w:rPr>
                <w:rFonts w:cs="Arial"/>
                <w:vertAlign w:val="superscript"/>
              </w:rPr>
              <w:footnoteReference w:id="30"/>
            </w:r>
            <w:r w:rsidRPr="00830439">
              <w:rPr>
                <w:rFonts w:cs="Arial"/>
              </w:rPr>
              <w:t xml:space="preserve">). Zakon o državni upravi pa </w:t>
            </w:r>
            <w:r w:rsidRPr="00F60B42">
              <w:rPr>
                <w:rFonts w:cs="Arial"/>
              </w:rPr>
              <w:t>določa področja dela posameznega ministrstva</w:t>
            </w:r>
            <w:r w:rsidRPr="00830439">
              <w:rPr>
                <w:rFonts w:cs="Arial"/>
                <w:vertAlign w:val="superscript"/>
              </w:rPr>
              <w:footnoteReference w:id="31"/>
            </w:r>
            <w:r w:rsidRPr="00830439">
              <w:rPr>
                <w:rFonts w:cs="Arial"/>
              </w:rPr>
              <w:t>.</w:t>
            </w:r>
          </w:p>
          <w:p w14:paraId="35BA394A" w14:textId="77777777" w:rsidR="003E3ED9" w:rsidRPr="00F60B42" w:rsidRDefault="003E3ED9" w:rsidP="00E8716B">
            <w:pPr>
              <w:tabs>
                <w:tab w:val="right" w:pos="9072"/>
              </w:tabs>
              <w:jc w:val="both"/>
              <w:rPr>
                <w:rFonts w:cs="Arial"/>
              </w:rPr>
            </w:pPr>
          </w:p>
          <w:p w14:paraId="4434A75F" w14:textId="77777777" w:rsidR="003E3ED9" w:rsidRPr="00830439" w:rsidRDefault="003E3ED9" w:rsidP="00E8716B">
            <w:pPr>
              <w:tabs>
                <w:tab w:val="right" w:pos="9072"/>
              </w:tabs>
              <w:jc w:val="both"/>
              <w:rPr>
                <w:rFonts w:cs="Arial"/>
              </w:rPr>
            </w:pPr>
            <w:r w:rsidRPr="00830439">
              <w:rPr>
                <w:rFonts w:cs="Arial"/>
              </w:rPr>
              <w:t>Vlada RS je z Uredbo o porabi sredstev evropske kohezijske politike v Republiki Sloveniji v programskem obdobju 2014-2020 za cilj naložbe za rast in delovna mesta naloge na MGTŠ.</w:t>
            </w:r>
          </w:p>
          <w:p w14:paraId="3305B909" w14:textId="77777777" w:rsidR="003E3ED9" w:rsidRPr="00830439" w:rsidRDefault="003E3ED9" w:rsidP="00E8716B">
            <w:pPr>
              <w:tabs>
                <w:tab w:val="right" w:pos="9072"/>
              </w:tabs>
              <w:jc w:val="both"/>
              <w:rPr>
                <w:rFonts w:cs="Arial"/>
              </w:rPr>
            </w:pPr>
          </w:p>
          <w:p w14:paraId="7D9859B8" w14:textId="77777777" w:rsidR="003E3ED9" w:rsidRPr="00830439" w:rsidRDefault="003E3ED9" w:rsidP="00E8716B">
            <w:pPr>
              <w:tabs>
                <w:tab w:val="right" w:pos="9072"/>
              </w:tabs>
              <w:jc w:val="both"/>
              <w:rPr>
                <w:rFonts w:cs="Arial"/>
              </w:rPr>
            </w:pPr>
            <w:r w:rsidRPr="00830439">
              <w:rPr>
                <w:rFonts w:cs="Arial"/>
              </w:rPr>
              <w:t>Dodatno je pomembno, da ima, kljub temu da je SID banka organizirana kot delniška družba in da je način imenovanja članov uprave s strani nadzornega sveta, Republika Slovenija že na podlagi posameznih zakonsko dodeljenih pooblastil SID banki, pogodbene ureditve razmerij s SID banko in določb Statuta SID banke možnost odločilno vplivati na strateške cilje in na bistvene odločitve.</w:t>
            </w:r>
          </w:p>
          <w:p w14:paraId="58B6E4AC" w14:textId="77777777" w:rsidR="003E3ED9" w:rsidRPr="00830439" w:rsidRDefault="003E3ED9" w:rsidP="00E8716B">
            <w:pPr>
              <w:tabs>
                <w:tab w:val="right" w:pos="9072"/>
              </w:tabs>
              <w:jc w:val="both"/>
              <w:rPr>
                <w:rFonts w:cs="Arial"/>
              </w:rPr>
            </w:pPr>
          </w:p>
          <w:p w14:paraId="7B6F8BFF" w14:textId="77777777" w:rsidR="003E3ED9" w:rsidRPr="00830439" w:rsidRDefault="003E3ED9" w:rsidP="00E8716B">
            <w:pPr>
              <w:tabs>
                <w:tab w:val="right" w:pos="9072"/>
              </w:tabs>
              <w:jc w:val="both"/>
              <w:rPr>
                <w:rFonts w:cs="Arial"/>
              </w:rPr>
            </w:pPr>
            <w:r w:rsidRPr="00830439">
              <w:rPr>
                <w:rFonts w:cs="Arial"/>
              </w:rPr>
              <w:t>Prav tako nadzor nad poslovanjem SID banke v okviru svojih pristojnosti izvajajo Banka Slovenije, Agencija za zavarovalni nadzor in ministrstvo, pristojno za finance.</w:t>
            </w:r>
          </w:p>
          <w:p w14:paraId="015ABCF6" w14:textId="77777777" w:rsidR="003E3ED9" w:rsidRPr="00830439" w:rsidRDefault="003E3ED9" w:rsidP="00E8716B">
            <w:pPr>
              <w:tabs>
                <w:tab w:val="right" w:pos="9072"/>
              </w:tabs>
              <w:jc w:val="both"/>
              <w:rPr>
                <w:rFonts w:cs="Arial"/>
              </w:rPr>
            </w:pPr>
          </w:p>
          <w:p w14:paraId="110FDEA5" w14:textId="77777777" w:rsidR="003E3ED9" w:rsidRPr="00830439" w:rsidRDefault="003E3ED9" w:rsidP="00E8716B">
            <w:pPr>
              <w:tabs>
                <w:tab w:val="right" w:pos="9072"/>
              </w:tabs>
              <w:jc w:val="both"/>
              <w:rPr>
                <w:rFonts w:cs="Arial"/>
              </w:rPr>
            </w:pPr>
            <w:r w:rsidRPr="00830439">
              <w:rPr>
                <w:rFonts w:cs="Arial"/>
              </w:rPr>
              <w:t>Vlada RS preko Slovenskega državnega holdinga potrjuje letni načrt, letno poročilo, delitev dobička, razrešuje in imenuje nadzorni svet (192,. 193. člen ZGD). Glasovalne in druge pravice edinega delničarja na skupščini v skladu s 4. členom ZSRIP uresničuje Republika Slovenija.</w:t>
            </w:r>
          </w:p>
          <w:p w14:paraId="28DD190A" w14:textId="77777777" w:rsidR="003E3ED9" w:rsidRPr="00830439" w:rsidRDefault="003E3ED9" w:rsidP="00E8716B">
            <w:pPr>
              <w:tabs>
                <w:tab w:val="right" w:pos="9072"/>
              </w:tabs>
              <w:jc w:val="both"/>
              <w:rPr>
                <w:rFonts w:cs="Arial"/>
              </w:rPr>
            </w:pPr>
          </w:p>
          <w:p w14:paraId="45166358" w14:textId="77777777" w:rsidR="003E3ED9" w:rsidRPr="00830439" w:rsidRDefault="003E3ED9" w:rsidP="00E8716B">
            <w:pPr>
              <w:tabs>
                <w:tab w:val="right" w:pos="9072"/>
              </w:tabs>
              <w:jc w:val="both"/>
              <w:rPr>
                <w:rFonts w:cs="Arial"/>
              </w:rPr>
            </w:pPr>
            <w:r w:rsidRPr="00830439">
              <w:rPr>
                <w:rFonts w:cs="Arial"/>
              </w:rPr>
              <w:t>Statut namreč določa, da brez soglasja nadzornega sveta SID banke ni možno sprejeti strategije, letnega poslovnega in finančnega načrta ali skleniti večjih poslov. Poleg tega je v 16. členu Statuta SID banke določeno, da ima nadzorni svet tudi druge pomembnejše pristojnosti, s čimer je izkazan vpliv na dejavnost SID banke ter da so določeni meje samostojnemu operativnemu odločanju uprave SID banke.</w:t>
            </w:r>
          </w:p>
        </w:tc>
      </w:tr>
    </w:tbl>
    <w:p w14:paraId="756F3213" w14:textId="77777777" w:rsidR="003E3ED9" w:rsidRPr="002A1F16" w:rsidRDefault="003E3ED9" w:rsidP="003E3ED9">
      <w:pPr>
        <w:shd w:val="clear" w:color="auto" w:fill="FFFFFF"/>
        <w:jc w:val="both"/>
        <w:rPr>
          <w:rFonts w:cs="Arial"/>
          <w:szCs w:val="20"/>
        </w:rPr>
      </w:pPr>
    </w:p>
    <w:p w14:paraId="45E0F5EB" w14:textId="77777777" w:rsidR="003E3ED9" w:rsidRPr="004005A5" w:rsidRDefault="003E3ED9" w:rsidP="003E3ED9">
      <w:pPr>
        <w:numPr>
          <w:ilvl w:val="0"/>
          <w:numId w:val="64"/>
        </w:numPr>
        <w:tabs>
          <w:tab w:val="right" w:pos="9072"/>
        </w:tabs>
        <w:ind w:left="714" w:hanging="357"/>
        <w:contextualSpacing/>
        <w:jc w:val="both"/>
        <w:rPr>
          <w:rFonts w:eastAsia="Calibri" w:cs="Arial"/>
          <w:szCs w:val="20"/>
        </w:rPr>
      </w:pPr>
      <w:r w:rsidRPr="00830439">
        <w:rPr>
          <w:rFonts w:eastAsia="Calibri" w:cs="Arial"/>
          <w:szCs w:val="20"/>
        </w:rPr>
        <w:t>Izpolnjevanje pogoje iz točke b) odvisna pravna oseba izvaja več kot 80 </w:t>
      </w:r>
      <w:r w:rsidRPr="00F60B42">
        <w:rPr>
          <w:rFonts w:eastAsia="Calibri" w:cs="Arial"/>
          <w:szCs w:val="20"/>
        </w:rPr>
        <w:t>odstotkov svojih dejavnosti za izpolnitev nalog, ki ji jih je dal ta naročnik, ki jo obvladuje, ali ki so ji jih dale druge pravne osebe, ki jih obvladuje ta naročnik. Pretežni del dejavnosti notranjega subjekta torej morajo biti naloge, ki mu jih dodelijo nadzorni subjekti. Za oceno tega so po mnenju EK pomembne vse dejavnosti, pri čemer pa niso zajeta samo javna naročila, sploh pa ne samo javne službe/naloge, ki jih notranji subjekt izvaja kot del naročila, ki mu</w:t>
      </w:r>
      <w:r w:rsidRPr="004005A5">
        <w:rPr>
          <w:rFonts w:eastAsia="Calibri" w:cs="Arial"/>
          <w:szCs w:val="20"/>
        </w:rPr>
        <w:t xml:space="preserve"> ga je dodelil naročnik in sicer ne glede na identiteto prejemnika (ali je to naročnik sam ali uporabnik storitev), subjekt, ki plačuje naročnika (ali je to nadzorni organ ali tretja oseba kot uporabnik storitev), ali ozemlje izvajanja storitev.</w:t>
      </w:r>
    </w:p>
    <w:p w14:paraId="62470B51" w14:textId="77777777" w:rsidR="003E3ED9" w:rsidRPr="00830439" w:rsidRDefault="003E3ED9" w:rsidP="003E3ED9">
      <w:pPr>
        <w:tabs>
          <w:tab w:val="right" w:pos="9072"/>
        </w:tabs>
        <w:ind w:left="360"/>
        <w:jc w:val="both"/>
        <w:rPr>
          <w:rFonts w:cs="Arial"/>
          <w:szCs w:val="20"/>
        </w:rPr>
      </w:pPr>
      <w:r w:rsidRPr="00830439">
        <w:rPr>
          <w:rFonts w:cs="Arial"/>
          <w:szCs w:val="20"/>
        </w:rPr>
        <w:t>Pri določanju odstotka dejavnosti se upošteva skupni povprečni promet ali drug ustrezen dejavnik, ki temelji na dejavnosti, kot so stroški pravne osebe ali naročnika v zvezi s storitvami, blagom in gradnjami v treh letih pred oddajo javnega naročila.</w:t>
      </w:r>
    </w:p>
    <w:p w14:paraId="5A89FF30" w14:textId="77777777" w:rsidR="003E3ED9" w:rsidRPr="002A1F16" w:rsidRDefault="003E3ED9" w:rsidP="003E3ED9">
      <w:pPr>
        <w:shd w:val="clear" w:color="auto" w:fill="FFFFFF"/>
        <w:jc w:val="both"/>
        <w:rPr>
          <w:rFonts w:cs="Arial"/>
          <w:szCs w:val="20"/>
        </w:rPr>
      </w:pPr>
    </w:p>
    <w:tbl>
      <w:tblPr>
        <w:tblStyle w:val="Tabelamrea"/>
        <w:tblW w:w="5000" w:type="pct"/>
        <w:shd w:val="clear" w:color="auto" w:fill="DCEBF1"/>
        <w:tblLook w:val="04A0" w:firstRow="1" w:lastRow="0" w:firstColumn="1" w:lastColumn="0" w:noHBand="0" w:noVBand="1"/>
      </w:tblPr>
      <w:tblGrid>
        <w:gridCol w:w="8488"/>
      </w:tblGrid>
      <w:tr w:rsidR="003E3ED9" w:rsidRPr="00830439" w14:paraId="56E2DE0A" w14:textId="77777777" w:rsidTr="00E8716B">
        <w:tc>
          <w:tcPr>
            <w:tcW w:w="5000" w:type="pct"/>
            <w:shd w:val="clear" w:color="auto" w:fill="FFFFFF"/>
          </w:tcPr>
          <w:p w14:paraId="7B0FA954" w14:textId="77777777" w:rsidR="003E3ED9" w:rsidRPr="00F60B42" w:rsidRDefault="003E3ED9" w:rsidP="00E8716B">
            <w:pPr>
              <w:tabs>
                <w:tab w:val="right" w:pos="9072"/>
              </w:tabs>
              <w:jc w:val="both"/>
              <w:rPr>
                <w:rFonts w:cs="Arial"/>
              </w:rPr>
            </w:pPr>
            <w:r w:rsidRPr="00830439">
              <w:rPr>
                <w:rFonts w:cs="Arial"/>
              </w:rPr>
              <w:t xml:space="preserve">Edini delničar SID banke </w:t>
            </w:r>
            <w:proofErr w:type="spellStart"/>
            <w:r w:rsidRPr="00830439">
              <w:rPr>
                <w:rFonts w:cs="Arial"/>
              </w:rPr>
              <w:t>d.d</w:t>
            </w:r>
            <w:proofErr w:type="spellEnd"/>
            <w:r w:rsidRPr="00830439">
              <w:rPr>
                <w:rFonts w:cs="Arial"/>
              </w:rPr>
              <w:t>. je Republika Slovenija in s</w:t>
            </w:r>
            <w:r w:rsidRPr="00F60B42">
              <w:rPr>
                <w:rFonts w:cs="Arial"/>
              </w:rPr>
              <w:t>icer zaradi zagotavljanja izvajanja nalog in uresničevanja ciljev po ZSIRB (4. člen). Na podlagi 2. člena ZSIRB SID banka vse svoje posle opravlja po pooblastilu države. Podrobneje so ti posli opredeljeni v 11. členu tega zakona.</w:t>
            </w:r>
          </w:p>
          <w:p w14:paraId="22DFF401" w14:textId="77777777" w:rsidR="003E3ED9" w:rsidRPr="00830439" w:rsidRDefault="003E3ED9" w:rsidP="00E8716B">
            <w:pPr>
              <w:tabs>
                <w:tab w:val="right" w:pos="9072"/>
              </w:tabs>
              <w:jc w:val="both"/>
              <w:rPr>
                <w:rFonts w:cs="Arial"/>
              </w:rPr>
            </w:pPr>
          </w:p>
          <w:p w14:paraId="04A080D7" w14:textId="77777777" w:rsidR="003E3ED9" w:rsidRPr="00830439" w:rsidRDefault="003E3ED9" w:rsidP="00E8716B">
            <w:pPr>
              <w:tabs>
                <w:tab w:val="right" w:pos="9072"/>
              </w:tabs>
              <w:jc w:val="both"/>
              <w:rPr>
                <w:rFonts w:cs="Arial"/>
              </w:rPr>
            </w:pPr>
            <w:r w:rsidRPr="00830439">
              <w:rPr>
                <w:rFonts w:cs="Arial"/>
              </w:rPr>
              <w:t>Skladno z vlogo SID banke, kot je predvidena v ZSIRB, je vsa dejavnost SID banke namenjena uresničevanju nalog v javnem interesu, neodvisno od tega, ali je za opravljene storitve SID banka plačana neposredno iz proračuna RS, ko gre za poslovanje v imenu in za račun RS, ali s strani drugih neposrednih uporabnikov njenih storitev, ko gre za poslovanje v lastnem imenu in za lasten račun.</w:t>
            </w:r>
          </w:p>
          <w:p w14:paraId="1C7B6D9B" w14:textId="77777777" w:rsidR="003E3ED9" w:rsidRPr="00830439" w:rsidRDefault="003E3ED9" w:rsidP="00E8716B">
            <w:pPr>
              <w:tabs>
                <w:tab w:val="right" w:pos="9072"/>
              </w:tabs>
              <w:jc w:val="both"/>
              <w:rPr>
                <w:rFonts w:cs="Arial"/>
              </w:rPr>
            </w:pPr>
          </w:p>
          <w:p w14:paraId="4628A14F" w14:textId="77777777" w:rsidR="003E3ED9" w:rsidRPr="00830439" w:rsidRDefault="003E3ED9" w:rsidP="00E8716B">
            <w:pPr>
              <w:tabs>
                <w:tab w:val="right" w:pos="9072"/>
              </w:tabs>
              <w:jc w:val="both"/>
              <w:rPr>
                <w:rFonts w:cs="Arial"/>
              </w:rPr>
            </w:pPr>
            <w:r w:rsidRPr="00830439">
              <w:rPr>
                <w:rFonts w:cs="Arial"/>
              </w:rPr>
              <w:t>Prihodki iz naslova poslov po pooblastilu Republike Slovenije so prejeta nadomestila za izvajanje poslov po pooblastilu (zavarovanje in financiranje mednarodnih gospodarskih poslov v imenu in za račun RS, jamstvene sheme, izvajanje dražb emisijskih kuponov) in jih SID banka zaračunava neposredno pristojnemu ministrstvu. Ti prihodki v povprečju predstavljajo 4,1 % povprečnih skupnih finančnih poslovnih prihodkov in odhodkov SID banke v obdobju 2014</w:t>
            </w:r>
            <w:r w:rsidRPr="00830439">
              <w:rPr>
                <w:rFonts w:cs="Arial"/>
              </w:rPr>
              <w:noBreakHyphen/>
              <w:t>2016.</w:t>
            </w:r>
          </w:p>
          <w:p w14:paraId="1FC130EA" w14:textId="77777777" w:rsidR="003E3ED9" w:rsidRPr="00830439" w:rsidRDefault="003E3ED9" w:rsidP="00E8716B">
            <w:pPr>
              <w:tabs>
                <w:tab w:val="right" w:pos="9072"/>
              </w:tabs>
              <w:jc w:val="both"/>
              <w:rPr>
                <w:rFonts w:cs="Arial"/>
              </w:rPr>
            </w:pPr>
          </w:p>
          <w:p w14:paraId="517E32FC" w14:textId="77777777" w:rsidR="003E3ED9" w:rsidRPr="00830439" w:rsidRDefault="003E3ED9" w:rsidP="00E8716B">
            <w:pPr>
              <w:tabs>
                <w:tab w:val="right" w:pos="9072"/>
              </w:tabs>
              <w:jc w:val="both"/>
              <w:rPr>
                <w:rFonts w:cs="Arial"/>
              </w:rPr>
            </w:pPr>
            <w:r w:rsidRPr="00830439">
              <w:rPr>
                <w:rFonts w:cs="Arial"/>
              </w:rPr>
              <w:t>Republika Slovenija kot edini delničar nepreklicno in neomejeno odgovarja za obveznosti SID banke iz poslov, sklenjenih pri izvajanju vseh temeljnih dejavnosti banke, ki jih opravlja, skladno z 11. in 12. členom ZSIRB:</w:t>
            </w:r>
          </w:p>
          <w:p w14:paraId="7176CD4D" w14:textId="77777777" w:rsidR="003E3ED9" w:rsidRPr="00830439" w:rsidRDefault="003E3ED9" w:rsidP="003E3ED9">
            <w:pPr>
              <w:numPr>
                <w:ilvl w:val="0"/>
                <w:numId w:val="69"/>
              </w:numPr>
              <w:tabs>
                <w:tab w:val="right" w:pos="9072"/>
              </w:tabs>
              <w:spacing w:line="240" w:lineRule="atLeast"/>
              <w:contextualSpacing/>
              <w:jc w:val="both"/>
              <w:rPr>
                <w:rFonts w:eastAsia="Calibri" w:cs="Arial"/>
              </w:rPr>
            </w:pPr>
            <w:r w:rsidRPr="00830439">
              <w:rPr>
                <w:rFonts w:eastAsia="Calibri" w:cs="Arial"/>
              </w:rPr>
              <w:t>podpira ekonomske, strukturne, socialne in druge politike tako, da opravlja finančne storitve na segmentih, kjer nastajajo oz. so ugotovljene tržne vrzeli;</w:t>
            </w:r>
          </w:p>
          <w:p w14:paraId="75AF086B" w14:textId="77777777" w:rsidR="003E3ED9" w:rsidRPr="00830439" w:rsidRDefault="003E3ED9" w:rsidP="00E8716B">
            <w:pPr>
              <w:tabs>
                <w:tab w:val="right" w:pos="9072"/>
              </w:tabs>
              <w:jc w:val="both"/>
              <w:rPr>
                <w:rFonts w:eastAsia="Calibri" w:cs="Arial"/>
              </w:rPr>
            </w:pPr>
            <w:r w:rsidRPr="00830439">
              <w:rPr>
                <w:rFonts w:cs="Arial"/>
              </w:rPr>
              <w:t>za izvajanje dejavnosti iz prejšnje alineje lahko SID banka opravlja vse storitve, ki se lahko opravljajo po zakonu, ki ureja bančništvo in tudi druge storitve (svetovanje, izobraževanje in druge), če so le-te namenjene za podporo storitvam iz prejšnje alineje.</w:t>
            </w:r>
          </w:p>
        </w:tc>
      </w:tr>
    </w:tbl>
    <w:p w14:paraId="586D187F" w14:textId="77777777" w:rsidR="003E3ED9" w:rsidRPr="002A1F16" w:rsidRDefault="003E3ED9" w:rsidP="003E3ED9">
      <w:pPr>
        <w:shd w:val="clear" w:color="auto" w:fill="FFFFFF"/>
        <w:jc w:val="both"/>
        <w:rPr>
          <w:rFonts w:cs="Arial"/>
          <w:szCs w:val="20"/>
        </w:rPr>
      </w:pPr>
    </w:p>
    <w:p w14:paraId="6C51AB6F" w14:textId="77777777" w:rsidR="003E3ED9" w:rsidRPr="00F60B42" w:rsidRDefault="003E3ED9" w:rsidP="003E3ED9">
      <w:pPr>
        <w:numPr>
          <w:ilvl w:val="0"/>
          <w:numId w:val="64"/>
        </w:numPr>
        <w:tabs>
          <w:tab w:val="right" w:pos="9072"/>
        </w:tabs>
        <w:spacing w:line="240" w:lineRule="atLeast"/>
        <w:contextualSpacing/>
        <w:jc w:val="both"/>
        <w:rPr>
          <w:rFonts w:eastAsia="Calibri" w:cs="Arial"/>
          <w:szCs w:val="20"/>
        </w:rPr>
      </w:pPr>
      <w:r w:rsidRPr="00830439">
        <w:rPr>
          <w:rFonts w:eastAsia="Calibri" w:cs="Arial"/>
          <w:szCs w:val="20"/>
        </w:rPr>
        <w:t>v odvisni pravni osebi neposreden zasebni kapital ni udeležen</w:t>
      </w:r>
    </w:p>
    <w:tbl>
      <w:tblPr>
        <w:tblStyle w:val="Tabelamrea"/>
        <w:tblW w:w="5000" w:type="pct"/>
        <w:shd w:val="clear" w:color="auto" w:fill="DCEBF1"/>
        <w:tblLook w:val="04A0" w:firstRow="1" w:lastRow="0" w:firstColumn="1" w:lastColumn="0" w:noHBand="0" w:noVBand="1"/>
      </w:tblPr>
      <w:tblGrid>
        <w:gridCol w:w="8488"/>
      </w:tblGrid>
      <w:tr w:rsidR="003E3ED9" w:rsidRPr="00830439" w14:paraId="423064C3" w14:textId="77777777" w:rsidTr="00E8716B">
        <w:tc>
          <w:tcPr>
            <w:tcW w:w="5000" w:type="pct"/>
            <w:shd w:val="clear" w:color="auto" w:fill="FFFFFF"/>
          </w:tcPr>
          <w:p w14:paraId="142A9F5D" w14:textId="77777777" w:rsidR="003E3ED9" w:rsidRPr="004005A5" w:rsidRDefault="003E3ED9" w:rsidP="00E8716B">
            <w:pPr>
              <w:tabs>
                <w:tab w:val="right" w:pos="9072"/>
              </w:tabs>
              <w:jc w:val="both"/>
              <w:rPr>
                <w:rFonts w:cs="Arial"/>
              </w:rPr>
            </w:pPr>
            <w:r w:rsidRPr="00F60B42">
              <w:rPr>
                <w:rFonts w:cs="Arial"/>
              </w:rPr>
              <w:t xml:space="preserve">V SID banki zasebni kapital ni udeležen. Lastnik SID banke je Republika Slovenija (99,41). Poleg tega ima SID banka, </w:t>
            </w:r>
            <w:proofErr w:type="spellStart"/>
            <w:r w:rsidRPr="00F60B42">
              <w:rPr>
                <w:rFonts w:cs="Arial"/>
              </w:rPr>
              <w:t>d.d</w:t>
            </w:r>
            <w:proofErr w:type="spellEnd"/>
            <w:r w:rsidRPr="00F60B42">
              <w:rPr>
                <w:rFonts w:cs="Arial"/>
              </w:rPr>
              <w:t>., Ljubljana, katere ustanovitelj je Republika Slovenija, v lasti nekaj lastnih delnic, ki jih še ni odsv</w:t>
            </w:r>
            <w:r w:rsidRPr="004005A5">
              <w:rPr>
                <w:rFonts w:cs="Arial"/>
              </w:rPr>
              <w:t>ojila (0,59 %).</w:t>
            </w:r>
          </w:p>
        </w:tc>
      </w:tr>
    </w:tbl>
    <w:p w14:paraId="55966C99" w14:textId="77777777" w:rsidR="003E3ED9" w:rsidRPr="002A1F16" w:rsidRDefault="003E3ED9" w:rsidP="003E3ED9">
      <w:pPr>
        <w:shd w:val="clear" w:color="auto" w:fill="FFFFFF"/>
        <w:jc w:val="both"/>
        <w:rPr>
          <w:rFonts w:cs="Arial"/>
          <w:szCs w:val="20"/>
        </w:rPr>
      </w:pPr>
    </w:p>
    <w:p w14:paraId="06D108AB" w14:textId="77777777" w:rsidR="003E3ED9" w:rsidRPr="00F60B42" w:rsidRDefault="003E3ED9" w:rsidP="003E3ED9">
      <w:pPr>
        <w:numPr>
          <w:ilvl w:val="0"/>
          <w:numId w:val="64"/>
        </w:numPr>
        <w:tabs>
          <w:tab w:val="right" w:pos="9072"/>
        </w:tabs>
        <w:spacing w:line="240" w:lineRule="atLeast"/>
        <w:contextualSpacing/>
        <w:jc w:val="both"/>
        <w:rPr>
          <w:rFonts w:eastAsia="Calibri" w:cs="Arial"/>
          <w:szCs w:val="20"/>
        </w:rPr>
      </w:pPr>
      <w:r w:rsidRPr="00830439">
        <w:rPr>
          <w:rFonts w:eastAsia="Calibri" w:cs="Arial"/>
          <w:szCs w:val="20"/>
        </w:rPr>
        <w:t xml:space="preserve">vrednost predmeta </w:t>
      </w:r>
      <w:r w:rsidRPr="00F60B42">
        <w:rPr>
          <w:rFonts w:eastAsia="Calibri" w:cs="Arial"/>
          <w:szCs w:val="20"/>
        </w:rPr>
        <w:t>naročanja je enaka ali nižja od cen za ta predmet na trgu</w:t>
      </w:r>
    </w:p>
    <w:tbl>
      <w:tblPr>
        <w:tblStyle w:val="Tabelamrea"/>
        <w:tblW w:w="0" w:type="auto"/>
        <w:shd w:val="clear" w:color="auto" w:fill="FFFFFF"/>
        <w:tblLook w:val="04A0" w:firstRow="1" w:lastRow="0" w:firstColumn="1" w:lastColumn="0" w:noHBand="0" w:noVBand="1"/>
      </w:tblPr>
      <w:tblGrid>
        <w:gridCol w:w="8488"/>
      </w:tblGrid>
      <w:tr w:rsidR="003E3ED9" w:rsidRPr="00830439" w14:paraId="5CD371B3" w14:textId="77777777" w:rsidTr="00E8716B">
        <w:tc>
          <w:tcPr>
            <w:tcW w:w="8488" w:type="dxa"/>
            <w:shd w:val="clear" w:color="auto" w:fill="FFFFFF"/>
          </w:tcPr>
          <w:p w14:paraId="1C464EDB" w14:textId="77777777" w:rsidR="003E3ED9" w:rsidRPr="00830439" w:rsidRDefault="003E3ED9" w:rsidP="00E8716B">
            <w:pPr>
              <w:tabs>
                <w:tab w:val="right" w:pos="9072"/>
              </w:tabs>
              <w:jc w:val="both"/>
              <w:rPr>
                <w:rFonts w:cs="Arial"/>
              </w:rPr>
            </w:pPr>
            <w:r w:rsidRPr="00F60B42">
              <w:rPr>
                <w:rFonts w:cs="Arial"/>
              </w:rPr>
              <w:t xml:space="preserve">Najvišje možne cene in način izračuna vrednosti storitve upravljavec sklad skladov, so določne z EU zakonodajo (Delegirana uredba Komisije (EU) št. 480/2014, 13. </w:t>
            </w:r>
            <w:r w:rsidRPr="004005A5">
              <w:rPr>
                <w:rFonts w:cs="Arial"/>
              </w:rPr>
              <w:t>člen) in so enake, ne glede na to, koga bi Republika Slovenija izbrala kot upravljavca sklada skladov. Pragovi so lahko preseženi samo, če bi potreba po višjih cenah bila izkazana v okviru konkurenčnega postopka izbora upravljala sklada skladov. Ob isti di</w:t>
            </w:r>
            <w:r w:rsidRPr="00830439">
              <w:rPr>
                <w:rFonts w:cs="Arial"/>
              </w:rPr>
              <w:t>namiki vplačil v sklad skladov in izplačil finančnim posrednikom se izračuni upravljavskih provizij glede na Delegirano uredbo Komisije (EU) št. 480/2014 ne razlikujejo.</w:t>
            </w:r>
          </w:p>
          <w:p w14:paraId="504BED04" w14:textId="77777777" w:rsidR="003E3ED9" w:rsidRPr="00830439" w:rsidRDefault="003E3ED9" w:rsidP="00E8716B">
            <w:pPr>
              <w:tabs>
                <w:tab w:val="right" w:pos="9072"/>
              </w:tabs>
              <w:jc w:val="both"/>
              <w:rPr>
                <w:rFonts w:cs="Arial"/>
              </w:rPr>
            </w:pPr>
          </w:p>
          <w:p w14:paraId="0BD09AE8" w14:textId="77777777" w:rsidR="003E3ED9" w:rsidRPr="00830439" w:rsidRDefault="003E3ED9" w:rsidP="00E8716B">
            <w:pPr>
              <w:tabs>
                <w:tab w:val="right" w:pos="9072"/>
              </w:tabs>
              <w:jc w:val="both"/>
              <w:rPr>
                <w:rFonts w:cs="Arial"/>
              </w:rPr>
            </w:pPr>
            <w:r w:rsidRPr="00830439">
              <w:rPr>
                <w:rFonts w:cs="Arial"/>
              </w:rPr>
              <w:t>Za preveritev dejanskih stroškov je Ministrstvo za gospodarski razvoj in tehnologijo pripravilo izračun predvidenih dejanskih stroškov, ki bi jih upravljavec sklada skladov lahko imel za izvajanje upravljanja, v kolikor bi izračun temeljil na dejanskih stroških. Dodatno k temu je Ministrstvo za gospodarski razvoj in tehnologijo dne 14. 11. 2016 poslalo na Banko Slovenije dopis z namenom preveritve realne določitve upravljavske provizije, vendar ni prejelo odgovora. SID banka bo v nadaljevanju predložila vlogo in investicijsko strategijo ter predlog za upravljavsko provizijo. Predlog države bo skladen z izračunom navedenim v Delegirani uredbi Komisije (EU) št. 480/2014 ob predpostavki štirih vplačil v sklad skladov (vsako 25 %) v letih 2017, 2019, 2021 in 2022 ter predpostavki, da sklad skladov izplača finančnim posrednikom pred drugo tranšo 60 % sredstev prve tranše, ter v nadaljevanju 85 % predhodnih vplačil v sklad skladov (skladno z Uredbo (EU) št. 1303/2013). Glede na preverjanje na trgu (posredovan dopis na Banko Slovenija), ugotavljamo, da primerjava cen ni možna.</w:t>
            </w:r>
          </w:p>
        </w:tc>
      </w:tr>
    </w:tbl>
    <w:p w14:paraId="36BDBB71" w14:textId="77777777" w:rsidR="003E3ED9" w:rsidRPr="002A1F16" w:rsidRDefault="003E3ED9" w:rsidP="003E3ED9">
      <w:pPr>
        <w:shd w:val="clear" w:color="auto" w:fill="FFFFFF"/>
        <w:jc w:val="both"/>
        <w:rPr>
          <w:rFonts w:cs="Arial"/>
          <w:szCs w:val="20"/>
        </w:rPr>
      </w:pPr>
    </w:p>
    <w:p w14:paraId="27CCA89B" w14:textId="77777777" w:rsidR="003E3ED9" w:rsidRPr="00F60B42" w:rsidRDefault="003E3ED9" w:rsidP="003E3ED9">
      <w:pPr>
        <w:tabs>
          <w:tab w:val="right" w:pos="9072"/>
        </w:tabs>
        <w:jc w:val="both"/>
        <w:rPr>
          <w:rFonts w:cs="Arial"/>
          <w:szCs w:val="20"/>
        </w:rPr>
      </w:pPr>
      <w:r w:rsidRPr="00830439">
        <w:rPr>
          <w:rFonts w:cs="Arial"/>
          <w:szCs w:val="20"/>
        </w:rPr>
        <w:t>Vsebinska obrazložitev:</w:t>
      </w:r>
    </w:p>
    <w:p w14:paraId="716D11E1" w14:textId="77777777" w:rsidR="003E3ED9" w:rsidRPr="00F60B42" w:rsidRDefault="003E3ED9" w:rsidP="003E3ED9">
      <w:pPr>
        <w:tabs>
          <w:tab w:val="right" w:pos="9072"/>
        </w:tabs>
        <w:jc w:val="both"/>
        <w:rPr>
          <w:rFonts w:cs="Arial"/>
          <w:szCs w:val="20"/>
        </w:rPr>
      </w:pPr>
      <w:r w:rsidRPr="00F60B42">
        <w:rPr>
          <w:rFonts w:cs="Arial"/>
          <w:szCs w:val="20"/>
        </w:rPr>
        <w:t>Predhodna analiza vrzeli finančnih instrumentov 2014-2020 in dodatna EIB analiza potrjujeta, da je izvedba FI prek sklada skladov najbolj optimalna opcija. Iz prej omenjenih analiz izhaja, da obstajajo vrzeli financiranja na področju:</w:t>
      </w:r>
    </w:p>
    <w:p w14:paraId="0053E133" w14:textId="77777777" w:rsidR="003E3ED9" w:rsidRPr="00830439" w:rsidRDefault="003E3ED9" w:rsidP="003E3ED9">
      <w:pPr>
        <w:numPr>
          <w:ilvl w:val="0"/>
          <w:numId w:val="65"/>
        </w:numPr>
        <w:tabs>
          <w:tab w:val="right" w:pos="9072"/>
        </w:tabs>
        <w:spacing w:line="240" w:lineRule="atLeast"/>
        <w:contextualSpacing/>
        <w:jc w:val="both"/>
        <w:rPr>
          <w:rFonts w:eastAsia="Calibri" w:cs="Arial"/>
          <w:szCs w:val="20"/>
        </w:rPr>
      </w:pPr>
      <w:r w:rsidRPr="00830439">
        <w:rPr>
          <w:rFonts w:eastAsia="Calibri" w:cs="Arial"/>
          <w:szCs w:val="20"/>
        </w:rPr>
        <w:t>raziskav, razvoja in inovacij;</w:t>
      </w:r>
    </w:p>
    <w:p w14:paraId="2CF309C4" w14:textId="77777777" w:rsidR="003E3ED9" w:rsidRPr="00830439" w:rsidRDefault="003E3ED9" w:rsidP="003E3ED9">
      <w:pPr>
        <w:numPr>
          <w:ilvl w:val="0"/>
          <w:numId w:val="65"/>
        </w:numPr>
        <w:tabs>
          <w:tab w:val="right" w:pos="9072"/>
        </w:tabs>
        <w:spacing w:line="240" w:lineRule="atLeast"/>
        <w:contextualSpacing/>
        <w:jc w:val="both"/>
        <w:rPr>
          <w:rFonts w:eastAsia="Calibri" w:cs="Arial"/>
          <w:szCs w:val="20"/>
        </w:rPr>
      </w:pPr>
      <w:r w:rsidRPr="00830439">
        <w:rPr>
          <w:rFonts w:eastAsia="Calibri" w:cs="Arial"/>
          <w:szCs w:val="20"/>
        </w:rPr>
        <w:t>malih in srednje velikih podjetij,</w:t>
      </w:r>
    </w:p>
    <w:p w14:paraId="02CA6C71" w14:textId="77777777" w:rsidR="003E3ED9" w:rsidRPr="00830439" w:rsidRDefault="003E3ED9" w:rsidP="003E3ED9">
      <w:pPr>
        <w:numPr>
          <w:ilvl w:val="0"/>
          <w:numId w:val="65"/>
        </w:numPr>
        <w:tabs>
          <w:tab w:val="right" w:pos="9072"/>
        </w:tabs>
        <w:spacing w:line="240" w:lineRule="atLeast"/>
        <w:contextualSpacing/>
        <w:jc w:val="both"/>
        <w:rPr>
          <w:rFonts w:eastAsia="Calibri" w:cs="Arial"/>
          <w:szCs w:val="20"/>
        </w:rPr>
      </w:pPr>
      <w:r w:rsidRPr="00830439">
        <w:rPr>
          <w:rFonts w:eastAsia="Calibri" w:cs="Arial"/>
          <w:szCs w:val="20"/>
        </w:rPr>
        <w:t>energetske učinkovitosti in</w:t>
      </w:r>
    </w:p>
    <w:p w14:paraId="2AAECA73" w14:textId="77777777" w:rsidR="003E3ED9" w:rsidRPr="00830439" w:rsidRDefault="003E3ED9" w:rsidP="003E3ED9">
      <w:pPr>
        <w:numPr>
          <w:ilvl w:val="0"/>
          <w:numId w:val="65"/>
        </w:numPr>
        <w:tabs>
          <w:tab w:val="right" w:pos="9072"/>
        </w:tabs>
        <w:spacing w:line="240" w:lineRule="atLeast"/>
        <w:contextualSpacing/>
        <w:jc w:val="both"/>
        <w:rPr>
          <w:rFonts w:eastAsia="Calibri" w:cs="Arial"/>
          <w:szCs w:val="20"/>
        </w:rPr>
      </w:pPr>
      <w:r w:rsidRPr="00830439">
        <w:rPr>
          <w:rFonts w:eastAsia="Calibri" w:cs="Arial"/>
          <w:szCs w:val="20"/>
        </w:rPr>
        <w:t>urbanega razvoja.</w:t>
      </w:r>
    </w:p>
    <w:p w14:paraId="0E995561" w14:textId="77777777" w:rsidR="003E3ED9" w:rsidRPr="00830439" w:rsidRDefault="003E3ED9" w:rsidP="003E3ED9">
      <w:pPr>
        <w:tabs>
          <w:tab w:val="right" w:pos="9072"/>
        </w:tabs>
        <w:jc w:val="both"/>
        <w:rPr>
          <w:rFonts w:cs="Arial"/>
          <w:szCs w:val="20"/>
        </w:rPr>
      </w:pPr>
      <w:r w:rsidRPr="00830439">
        <w:rPr>
          <w:rFonts w:cs="Arial"/>
          <w:szCs w:val="20"/>
        </w:rPr>
        <w:t>SID banka je edina institucija, ki že izvaja storitve – neposredno in posredno - na vseh navedenih štirih področjih.</w:t>
      </w:r>
    </w:p>
    <w:p w14:paraId="2B6D2C2D" w14:textId="77777777" w:rsidR="003E3ED9" w:rsidRPr="00830439" w:rsidRDefault="003E3ED9" w:rsidP="003E3ED9">
      <w:pPr>
        <w:tabs>
          <w:tab w:val="right" w:pos="9072"/>
        </w:tabs>
        <w:jc w:val="both"/>
        <w:rPr>
          <w:rFonts w:cs="Arial"/>
          <w:szCs w:val="20"/>
        </w:rPr>
      </w:pPr>
    </w:p>
    <w:p w14:paraId="16448E32" w14:textId="77777777" w:rsidR="003E3ED9" w:rsidRPr="00830439" w:rsidRDefault="003E3ED9" w:rsidP="003E3ED9">
      <w:pPr>
        <w:tabs>
          <w:tab w:val="right" w:pos="9072"/>
        </w:tabs>
        <w:jc w:val="both"/>
        <w:rPr>
          <w:rFonts w:cs="Arial"/>
          <w:szCs w:val="20"/>
        </w:rPr>
      </w:pPr>
      <w:r w:rsidRPr="00830439">
        <w:rPr>
          <w:rFonts w:cs="Arial"/>
          <w:szCs w:val="20"/>
        </w:rPr>
        <w:t>V Zakonu o slovenski izvozni in razvojni banki (ZSIRB) so v 11. členu navedena področja izvajanja dejavnosti SID banke. V 12. členu ZSIRB pa so navedene storitve in instrumenti za opravljanje njene dejavnosti.</w:t>
      </w:r>
    </w:p>
    <w:p w14:paraId="5F0FD174" w14:textId="77777777" w:rsidR="003E3ED9" w:rsidRPr="00830439" w:rsidRDefault="003E3ED9" w:rsidP="003E3ED9">
      <w:pPr>
        <w:tabs>
          <w:tab w:val="right" w:pos="9072"/>
        </w:tabs>
        <w:jc w:val="both"/>
        <w:rPr>
          <w:rFonts w:cs="Arial"/>
          <w:szCs w:val="20"/>
        </w:rPr>
      </w:pPr>
    </w:p>
    <w:p w14:paraId="7CE33F4E" w14:textId="77777777" w:rsidR="003E3ED9" w:rsidRPr="00830439" w:rsidRDefault="003E3ED9" w:rsidP="003E3ED9">
      <w:pPr>
        <w:tabs>
          <w:tab w:val="right" w:pos="9072"/>
        </w:tabs>
        <w:jc w:val="both"/>
        <w:rPr>
          <w:rFonts w:cs="Arial"/>
          <w:szCs w:val="20"/>
        </w:rPr>
      </w:pPr>
      <w:r w:rsidRPr="00830439">
        <w:rPr>
          <w:rFonts w:cs="Arial"/>
          <w:szCs w:val="20"/>
        </w:rPr>
        <w:t xml:space="preserve">Ostale državne institucije (Slovenski podjetniški sklad, Slovenski regionalni razvojni sklad, </w:t>
      </w:r>
      <w:proofErr w:type="spellStart"/>
      <w:r w:rsidRPr="00830439">
        <w:rPr>
          <w:rFonts w:cs="Arial"/>
          <w:szCs w:val="20"/>
        </w:rPr>
        <w:t>Eko</w:t>
      </w:r>
      <w:proofErr w:type="spellEnd"/>
      <w:r w:rsidRPr="00830439">
        <w:rPr>
          <w:rFonts w:cs="Arial"/>
          <w:szCs w:val="20"/>
        </w:rPr>
        <w:t xml:space="preserve"> sklad) so specializirane na določena področja:</w:t>
      </w:r>
    </w:p>
    <w:p w14:paraId="35009051" w14:textId="77777777" w:rsidR="003E3ED9" w:rsidRPr="00830439" w:rsidRDefault="003E3ED9" w:rsidP="003E3ED9">
      <w:pPr>
        <w:numPr>
          <w:ilvl w:val="0"/>
          <w:numId w:val="66"/>
        </w:numPr>
        <w:tabs>
          <w:tab w:val="right" w:pos="9072"/>
        </w:tabs>
        <w:spacing w:line="240" w:lineRule="atLeast"/>
        <w:contextualSpacing/>
        <w:jc w:val="both"/>
        <w:rPr>
          <w:rFonts w:eastAsia="Calibri" w:cs="Arial"/>
          <w:szCs w:val="20"/>
        </w:rPr>
      </w:pPr>
      <w:r w:rsidRPr="00830439">
        <w:rPr>
          <w:rFonts w:eastAsia="Calibri" w:cs="Arial"/>
          <w:szCs w:val="20"/>
        </w:rPr>
        <w:t>Slovenski regionalno razvojni sklad ima svoje področje delovanja opredeljenega v Zakonu o skladnem regionalnem razvoju,</w:t>
      </w:r>
    </w:p>
    <w:p w14:paraId="71AD4C5D" w14:textId="77777777" w:rsidR="003E3ED9" w:rsidRPr="004005A5" w:rsidRDefault="003E3ED9" w:rsidP="003E3ED9">
      <w:pPr>
        <w:numPr>
          <w:ilvl w:val="0"/>
          <w:numId w:val="66"/>
        </w:numPr>
        <w:tabs>
          <w:tab w:val="right" w:pos="9072"/>
        </w:tabs>
        <w:spacing w:line="240" w:lineRule="atLeast"/>
        <w:contextualSpacing/>
        <w:jc w:val="both"/>
        <w:rPr>
          <w:rFonts w:eastAsia="Calibri" w:cs="Arial"/>
          <w:szCs w:val="20"/>
        </w:rPr>
      </w:pPr>
      <w:r>
        <w:rPr>
          <w:rFonts w:eastAsia="Calibri" w:cs="Arial"/>
          <w:szCs w:val="20"/>
        </w:rPr>
        <w:t>Slovenski podjetniški sklad</w:t>
      </w:r>
      <w:r w:rsidRPr="004005A5">
        <w:rPr>
          <w:rFonts w:eastAsia="Calibri" w:cs="Arial"/>
          <w:szCs w:val="20"/>
        </w:rPr>
        <w:t xml:space="preserve"> v Zakonu o podpornem okolju za podjetništvo ter</w:t>
      </w:r>
    </w:p>
    <w:p w14:paraId="20577CEE" w14:textId="77777777" w:rsidR="003E3ED9" w:rsidRPr="004005A5" w:rsidRDefault="003E3ED9" w:rsidP="003E3ED9">
      <w:pPr>
        <w:numPr>
          <w:ilvl w:val="0"/>
          <w:numId w:val="66"/>
        </w:numPr>
        <w:tabs>
          <w:tab w:val="right" w:pos="9072"/>
        </w:tabs>
        <w:spacing w:line="240" w:lineRule="atLeast"/>
        <w:contextualSpacing/>
        <w:jc w:val="both"/>
        <w:rPr>
          <w:rFonts w:eastAsia="Calibri" w:cs="Arial"/>
          <w:szCs w:val="20"/>
        </w:rPr>
      </w:pPr>
      <w:r w:rsidRPr="004005A5">
        <w:rPr>
          <w:rFonts w:eastAsia="Calibri" w:cs="Arial"/>
          <w:szCs w:val="20"/>
        </w:rPr>
        <w:t xml:space="preserve">Slovenski </w:t>
      </w:r>
      <w:proofErr w:type="spellStart"/>
      <w:r w:rsidRPr="004005A5">
        <w:rPr>
          <w:rFonts w:eastAsia="Calibri" w:cs="Arial"/>
          <w:szCs w:val="20"/>
        </w:rPr>
        <w:t>okoljski</w:t>
      </w:r>
      <w:proofErr w:type="spellEnd"/>
      <w:r w:rsidRPr="004005A5">
        <w:rPr>
          <w:rFonts w:eastAsia="Calibri" w:cs="Arial"/>
          <w:szCs w:val="20"/>
        </w:rPr>
        <w:t xml:space="preserve"> javni sklad v Zakonu o varstvu okolja.</w:t>
      </w:r>
    </w:p>
    <w:p w14:paraId="576074BA" w14:textId="77777777" w:rsidR="003E3ED9" w:rsidRPr="00830439" w:rsidRDefault="003E3ED9" w:rsidP="003E3ED9">
      <w:pPr>
        <w:tabs>
          <w:tab w:val="right" w:pos="9072"/>
        </w:tabs>
        <w:jc w:val="both"/>
        <w:rPr>
          <w:rFonts w:cs="Arial"/>
          <w:szCs w:val="20"/>
        </w:rPr>
      </w:pPr>
      <w:r w:rsidRPr="00830439">
        <w:rPr>
          <w:rFonts w:cs="Arial"/>
          <w:szCs w:val="20"/>
        </w:rPr>
        <w:t>Ministrstvo za gospodarski razvoj in tehnologijo bo skladno z Uredbo o porabi sredstev evropske kohezijske politike v Republiki Sloveniji v programskem obdobju 2014-2020 za cilj naložbe za rast in delovna mesta pozvalo SID banko k predložitvi vloge, ki bo vsebovala tudi investicijo strategijo. SID banka bo v vlogi predložila tudi dokazila glede izpolnjevanja minimalnih zahtev in meril za izbor iz 7. člena Delegirane uredbe Komisije (EU) št.480/2014.</w:t>
      </w:r>
    </w:p>
    <w:p w14:paraId="2A6ADB3D" w14:textId="77777777" w:rsidR="003E3ED9" w:rsidRPr="00830439" w:rsidRDefault="003E3ED9" w:rsidP="003E3ED9">
      <w:pPr>
        <w:tabs>
          <w:tab w:val="right" w:pos="9072"/>
        </w:tabs>
        <w:jc w:val="both"/>
        <w:rPr>
          <w:rFonts w:cs="Arial"/>
          <w:szCs w:val="20"/>
        </w:rPr>
      </w:pPr>
    </w:p>
    <w:p w14:paraId="60697A91" w14:textId="77777777" w:rsidR="003E3ED9" w:rsidRPr="00830439" w:rsidRDefault="003E3ED9" w:rsidP="003E3ED9">
      <w:pPr>
        <w:tabs>
          <w:tab w:val="right" w:pos="9072"/>
        </w:tabs>
        <w:jc w:val="both"/>
        <w:rPr>
          <w:rFonts w:cs="Arial"/>
          <w:szCs w:val="20"/>
        </w:rPr>
      </w:pPr>
      <w:r w:rsidRPr="00830439">
        <w:rPr>
          <w:rFonts w:cs="Arial"/>
          <w:szCs w:val="20"/>
        </w:rPr>
        <w:t xml:space="preserve"> V Sloveniji deluje kot razvojna banka SID banka. Zato je potrebno izvesti postopek izbora SID banke kot sklada skladov ter preveriti izpolnjevanje pogojev za oddajo naročila med osebami javnega prava. SID banka je institucija, kjer glede na rezultate Predhodne ocene FI, status izpolnjevanja pogojev za tako imenovanje, ni vprašljiv, je pa le-to lahko povezano s tveganjem prerazvrstitve SID banke iz sektorja finančne družbe v sektor država.</w:t>
      </w:r>
    </w:p>
    <w:p w14:paraId="498FEA7C" w14:textId="77777777" w:rsidR="003E3ED9" w:rsidRPr="00830439" w:rsidRDefault="003E3ED9" w:rsidP="003E3ED9">
      <w:pPr>
        <w:tabs>
          <w:tab w:val="right" w:pos="9072"/>
        </w:tabs>
        <w:jc w:val="both"/>
        <w:rPr>
          <w:rFonts w:cs="Arial"/>
          <w:szCs w:val="20"/>
        </w:rPr>
      </w:pPr>
    </w:p>
    <w:p w14:paraId="312380C6" w14:textId="77777777" w:rsidR="003E3ED9" w:rsidRPr="00830439" w:rsidRDefault="003E3ED9" w:rsidP="003E3ED9">
      <w:pPr>
        <w:tabs>
          <w:tab w:val="right" w:pos="9072"/>
        </w:tabs>
        <w:jc w:val="both"/>
        <w:rPr>
          <w:rFonts w:cs="Arial"/>
          <w:szCs w:val="20"/>
        </w:rPr>
      </w:pPr>
      <w:r w:rsidRPr="00830439">
        <w:rPr>
          <w:rFonts w:cs="Arial"/>
          <w:szCs w:val="20"/>
        </w:rPr>
        <w:t>Po mnenju Eurostata iz leta 2015 SID banka v delu aktivnosti, ki jih SID banka izvaja v svojem imenu, ni bila uvrščena v sektor država, in je njena dejavnost z vidika izračuna višine javnega dolga nevtralna. Status SID banke izven sektorja država je z vidika Eurostata tako odvisen od (ne)izpolnjevanja določenih pogojev, pri čemer nekateri kriteriji za (ne)uvrstitev niso nedvoumni. Zato je toliko bolj pomembno pri imenovanju SID banke za upravljavca sklada skladov strukturo izvajanja opredeliti ter umestitev v njen organizacijski in korporacijski ustroj urediti tako, da bo ohranila trenutni status (tj. izven sektorja država).</w:t>
      </w:r>
    </w:p>
    <w:p w14:paraId="3A0FEAB8" w14:textId="77777777" w:rsidR="003E3ED9" w:rsidRPr="00830439" w:rsidRDefault="003E3ED9" w:rsidP="003E3ED9">
      <w:pPr>
        <w:tabs>
          <w:tab w:val="right" w:pos="9072"/>
        </w:tabs>
        <w:jc w:val="both"/>
        <w:rPr>
          <w:rFonts w:cs="Arial"/>
          <w:szCs w:val="20"/>
        </w:rPr>
      </w:pPr>
    </w:p>
    <w:p w14:paraId="0FAC76EE" w14:textId="77777777" w:rsidR="003E3ED9" w:rsidRPr="00830439" w:rsidRDefault="003E3ED9" w:rsidP="003E3ED9">
      <w:pPr>
        <w:tabs>
          <w:tab w:val="right" w:pos="9072"/>
        </w:tabs>
        <w:jc w:val="both"/>
        <w:rPr>
          <w:rFonts w:cs="Arial"/>
          <w:szCs w:val="20"/>
        </w:rPr>
      </w:pPr>
      <w:r w:rsidRPr="00830439">
        <w:rPr>
          <w:rFonts w:cs="Arial"/>
          <w:szCs w:val="20"/>
        </w:rPr>
        <w:t>Vpliv sredstev ESIF na proračun RS in javni dolg je nevtralen, saj se za ta namene uporabijo le EU sredstva, brez slovenske udeležbe, vsi stroški, provizije in slabitve pa bremenijo le EU sredstva.</w:t>
      </w:r>
    </w:p>
    <w:p w14:paraId="665B3305" w14:textId="77777777" w:rsidR="003E3ED9" w:rsidRPr="00830439" w:rsidRDefault="003E3ED9" w:rsidP="003E3ED9">
      <w:pPr>
        <w:tabs>
          <w:tab w:val="right" w:pos="9072"/>
        </w:tabs>
        <w:jc w:val="both"/>
        <w:rPr>
          <w:rFonts w:cs="Arial"/>
          <w:szCs w:val="20"/>
        </w:rPr>
      </w:pPr>
      <w:r w:rsidRPr="00830439">
        <w:rPr>
          <w:rFonts w:cs="Arial"/>
          <w:szCs w:val="20"/>
        </w:rPr>
        <w:t>S tega vidika je pomembno, da se (1) zagotovi ustrezen način evidentiranja/ knjiženja sredstev (do ravni končnega prejemnika) in da (2) se pri izvajanju novega pooblastila države za upravljanje sklada skladov v ustroj SID banke intenzivnost obvladovanja ne bo povečala oziroma spremenila, in torej v tem delu odločanje SID banke ostane avtonomno in neodvisno.</w:t>
      </w:r>
    </w:p>
    <w:p w14:paraId="53C12740" w14:textId="77777777" w:rsidR="003E3ED9" w:rsidRPr="00830439" w:rsidRDefault="003E3ED9" w:rsidP="003E3ED9">
      <w:pPr>
        <w:tabs>
          <w:tab w:val="right" w:pos="9072"/>
        </w:tabs>
        <w:jc w:val="both"/>
        <w:rPr>
          <w:rFonts w:cs="Arial"/>
          <w:szCs w:val="20"/>
        </w:rPr>
      </w:pPr>
    </w:p>
    <w:p w14:paraId="340B9353" w14:textId="77777777" w:rsidR="003E3ED9" w:rsidRPr="00830439" w:rsidRDefault="003E3ED9" w:rsidP="003E3ED9">
      <w:pPr>
        <w:tabs>
          <w:tab w:val="right" w:pos="9072"/>
        </w:tabs>
        <w:jc w:val="both"/>
        <w:rPr>
          <w:rFonts w:cs="Arial"/>
          <w:szCs w:val="20"/>
        </w:rPr>
      </w:pPr>
      <w:r w:rsidRPr="00830439">
        <w:rPr>
          <w:rFonts w:cs="Arial"/>
          <w:szCs w:val="20"/>
        </w:rPr>
        <w:t>Ukrepi za obvladovanje tveganj povezanih z izborom SID banke</w:t>
      </w:r>
    </w:p>
    <w:p w14:paraId="3B1F9F29" w14:textId="77777777" w:rsidR="003E3ED9" w:rsidRPr="00830439" w:rsidRDefault="003E3ED9" w:rsidP="003E3ED9">
      <w:pPr>
        <w:tabs>
          <w:tab w:val="right" w:pos="9072"/>
        </w:tabs>
        <w:jc w:val="both"/>
        <w:rPr>
          <w:rFonts w:cs="Arial"/>
          <w:szCs w:val="20"/>
        </w:rPr>
      </w:pPr>
      <w:r w:rsidRPr="00830439">
        <w:rPr>
          <w:rFonts w:cs="Arial"/>
          <w:szCs w:val="20"/>
        </w:rPr>
        <w:t>Na podlagi podatkov, ki so na voljo so v smislu zmanjševanja tveganj ob izboru SID banke na podlagi postopka javnega naročila med osebami v javnem sektorju, so predvidene naslednje rešitve.</w:t>
      </w:r>
    </w:p>
    <w:p w14:paraId="4729B0BA" w14:textId="77777777" w:rsidR="003E3ED9" w:rsidRPr="00830439" w:rsidRDefault="003E3ED9" w:rsidP="003E3ED9">
      <w:pPr>
        <w:tabs>
          <w:tab w:val="right" w:pos="9072"/>
        </w:tabs>
        <w:jc w:val="both"/>
        <w:rPr>
          <w:rFonts w:cs="Arial"/>
          <w:szCs w:val="20"/>
        </w:rPr>
      </w:pPr>
    </w:p>
    <w:p w14:paraId="256D9854" w14:textId="77777777" w:rsidR="003E3ED9" w:rsidRPr="00830439" w:rsidRDefault="003E3ED9" w:rsidP="003E3ED9">
      <w:pPr>
        <w:tabs>
          <w:tab w:val="right" w:pos="9072"/>
        </w:tabs>
        <w:jc w:val="both"/>
        <w:rPr>
          <w:rFonts w:cs="Arial"/>
          <w:szCs w:val="20"/>
        </w:rPr>
      </w:pPr>
      <w:r w:rsidRPr="00830439">
        <w:rPr>
          <w:rFonts w:cs="Arial"/>
          <w:szCs w:val="20"/>
        </w:rPr>
        <w:t>SID banka bo upravljanje sklada skladov izvajala v svojem imenu in za račun države. V sporazumu o financiranju se podrobneje dogovorijo medsebojna razmerja glede načina evidentiranja in knjiženja sredstev med različnimi deležniki ter avtonomnost in neodvisnost SID banke pri izvajanju sklada skladov.</w:t>
      </w:r>
    </w:p>
    <w:p w14:paraId="7879904D" w14:textId="77777777" w:rsidR="003E3ED9" w:rsidRPr="00830439" w:rsidRDefault="003E3ED9" w:rsidP="003E3ED9">
      <w:pPr>
        <w:tabs>
          <w:tab w:val="right" w:pos="9072"/>
        </w:tabs>
        <w:jc w:val="both"/>
        <w:rPr>
          <w:rFonts w:cs="Arial"/>
          <w:szCs w:val="20"/>
        </w:rPr>
      </w:pPr>
    </w:p>
    <w:p w14:paraId="6AA1C63E" w14:textId="77777777" w:rsidR="003E3ED9" w:rsidRPr="00830439" w:rsidRDefault="003E3ED9" w:rsidP="003E3ED9">
      <w:pPr>
        <w:tabs>
          <w:tab w:val="right" w:pos="9072"/>
        </w:tabs>
        <w:jc w:val="both"/>
        <w:rPr>
          <w:rFonts w:cs="Arial"/>
          <w:szCs w:val="20"/>
        </w:rPr>
      </w:pPr>
      <w:r w:rsidRPr="00830439">
        <w:rPr>
          <w:rFonts w:cs="Arial"/>
          <w:szCs w:val="20"/>
        </w:rPr>
        <w:t>V skladu s tem je tudi predviden način knjiženja ESIF sredstev, ki bodo nakazana v sklad skladov, ki se bodo prikazovala v poslovnih knjigah države v okviru bilance stanja.</w:t>
      </w:r>
    </w:p>
    <w:p w14:paraId="5B3F247E" w14:textId="77777777" w:rsidR="003E3ED9" w:rsidRPr="00830439" w:rsidRDefault="003E3ED9" w:rsidP="003E3ED9">
      <w:pPr>
        <w:tabs>
          <w:tab w:val="right" w:pos="9072"/>
        </w:tabs>
        <w:jc w:val="both"/>
        <w:rPr>
          <w:rFonts w:cs="Arial"/>
          <w:szCs w:val="20"/>
        </w:rPr>
      </w:pPr>
    </w:p>
    <w:p w14:paraId="2067EC2A" w14:textId="77777777" w:rsidR="003E3ED9" w:rsidRPr="00830439" w:rsidRDefault="003E3ED9" w:rsidP="003E3ED9">
      <w:pPr>
        <w:tabs>
          <w:tab w:val="right" w:pos="9072"/>
        </w:tabs>
        <w:jc w:val="both"/>
        <w:rPr>
          <w:rFonts w:cs="Arial"/>
          <w:szCs w:val="20"/>
        </w:rPr>
      </w:pPr>
      <w:r w:rsidRPr="00830439">
        <w:rPr>
          <w:rFonts w:cs="Arial"/>
          <w:szCs w:val="20"/>
        </w:rPr>
        <w:t>SID banka bo finančne posrednike izbirala v skladu z ZJN-3, h katerem je zavezana.</w:t>
      </w:r>
    </w:p>
    <w:p w14:paraId="4DDBBA6F" w14:textId="77777777" w:rsidR="003E3ED9" w:rsidRPr="00830439" w:rsidRDefault="003E3ED9" w:rsidP="003E3ED9">
      <w:pPr>
        <w:tabs>
          <w:tab w:val="right" w:pos="9072"/>
        </w:tabs>
        <w:jc w:val="both"/>
        <w:rPr>
          <w:rFonts w:cs="Arial"/>
          <w:szCs w:val="20"/>
        </w:rPr>
      </w:pPr>
    </w:p>
    <w:p w14:paraId="018C107D" w14:textId="77777777" w:rsidR="003E3ED9" w:rsidRPr="00830439" w:rsidRDefault="003E3ED9" w:rsidP="003E3ED9">
      <w:pPr>
        <w:tabs>
          <w:tab w:val="right" w:pos="9072"/>
        </w:tabs>
        <w:jc w:val="both"/>
        <w:rPr>
          <w:rFonts w:cs="Arial"/>
          <w:szCs w:val="20"/>
        </w:rPr>
      </w:pPr>
      <w:r w:rsidRPr="00830439">
        <w:rPr>
          <w:rFonts w:cs="Arial"/>
          <w:szCs w:val="20"/>
        </w:rPr>
        <w:lastRenderedPageBreak/>
        <w:t>Način evidentiranja EU sredstev</w:t>
      </w:r>
    </w:p>
    <w:p w14:paraId="75614EEB" w14:textId="77777777" w:rsidR="003E3ED9" w:rsidRPr="00830439" w:rsidRDefault="003E3ED9" w:rsidP="003E3ED9">
      <w:pPr>
        <w:tabs>
          <w:tab w:val="right" w:pos="9072"/>
        </w:tabs>
        <w:jc w:val="both"/>
        <w:rPr>
          <w:rFonts w:cs="Arial"/>
          <w:szCs w:val="20"/>
        </w:rPr>
      </w:pPr>
      <w:r w:rsidRPr="00830439">
        <w:rPr>
          <w:rFonts w:cs="Arial"/>
          <w:szCs w:val="20"/>
        </w:rPr>
        <w:t>Načini evidentiranja sredstev ESIF za finančne instrumente, ki bodo nakazana v sklad skladov so v skladu s statističnimi navodili Eurostata in zagotavljajo nevtralnost z vidika vpliva na saldo sektorja država ter ločeno problematiko odnosa med državo in skladom skladov.</w:t>
      </w:r>
    </w:p>
    <w:p w14:paraId="311D8077" w14:textId="77777777" w:rsidR="003E3ED9" w:rsidRPr="00830439" w:rsidRDefault="003E3ED9" w:rsidP="003E3ED9">
      <w:pPr>
        <w:tabs>
          <w:tab w:val="right" w:pos="9072"/>
        </w:tabs>
        <w:jc w:val="both"/>
        <w:rPr>
          <w:rFonts w:cs="Arial"/>
          <w:szCs w:val="20"/>
        </w:rPr>
      </w:pPr>
    </w:p>
    <w:p w14:paraId="53D6143F" w14:textId="77777777" w:rsidR="003E3ED9" w:rsidRPr="00830439" w:rsidRDefault="003E3ED9" w:rsidP="003E3ED9">
      <w:pPr>
        <w:tabs>
          <w:tab w:val="right" w:pos="9072"/>
        </w:tabs>
        <w:jc w:val="both"/>
        <w:rPr>
          <w:rFonts w:cs="Arial"/>
          <w:szCs w:val="20"/>
        </w:rPr>
      </w:pPr>
      <w:r w:rsidRPr="00830439">
        <w:rPr>
          <w:rFonts w:cs="Arial"/>
          <w:szCs w:val="20"/>
        </w:rPr>
        <w:t xml:space="preserve">Evidentiranje poslovnih dogodkov bo potekalo samo preko bilance stanja države. </w:t>
      </w:r>
    </w:p>
    <w:p w14:paraId="56D38582" w14:textId="77777777" w:rsidR="003E3ED9" w:rsidRPr="00830439" w:rsidRDefault="003E3ED9" w:rsidP="003E3ED9">
      <w:pPr>
        <w:tabs>
          <w:tab w:val="right" w:pos="9072"/>
        </w:tabs>
        <w:jc w:val="both"/>
        <w:rPr>
          <w:rFonts w:cs="Arial"/>
          <w:szCs w:val="20"/>
        </w:rPr>
      </w:pPr>
    </w:p>
    <w:p w14:paraId="0BB5B727" w14:textId="77777777" w:rsidR="003E3ED9" w:rsidRPr="00830439" w:rsidRDefault="003E3ED9" w:rsidP="003E3ED9">
      <w:pPr>
        <w:tabs>
          <w:tab w:val="right" w:pos="9072"/>
        </w:tabs>
        <w:jc w:val="both"/>
        <w:rPr>
          <w:rFonts w:cs="Arial"/>
          <w:szCs w:val="20"/>
        </w:rPr>
      </w:pPr>
      <w:r w:rsidRPr="00830439">
        <w:rPr>
          <w:rFonts w:cs="Arial"/>
          <w:szCs w:val="20"/>
        </w:rPr>
        <w:t>Predlagan način temelji na predpostavki, da je država posrednik oziroma "agent" pri dodeljevanju sredstev EU (ESIF) za namene FI. V vlogi agenta država kohezijska sredstva samo dodeljuje koristnikom pod ustreznimi pogoji. To pa dela za račun EU in sredstva niso last države (so dodeljena z namenom in z v naprej dogovorjenimi cilji, temelječimi na analizi vrzeli in postavljenimi cilji). Zato so predvidene knjižbe samo na kontih stanja (dolgoročne terjatve do koristnikov ter na drugi strani dolgoročna obveznost do EU) pravilne. Šele z odločitvijo EU, da postanejo sredstva last države članice, se sme evidentirati v poslovne knjige države tudi prihodke (A bilanca, skupina kontov 78).</w:t>
      </w:r>
    </w:p>
    <w:p w14:paraId="55400E5C" w14:textId="77777777" w:rsidR="003E3ED9" w:rsidRPr="00830439" w:rsidRDefault="003E3ED9" w:rsidP="003E3ED9">
      <w:pPr>
        <w:tabs>
          <w:tab w:val="right" w:pos="9072"/>
        </w:tabs>
        <w:jc w:val="both"/>
        <w:rPr>
          <w:rFonts w:cs="Arial"/>
          <w:szCs w:val="20"/>
        </w:rPr>
      </w:pPr>
    </w:p>
    <w:p w14:paraId="1573CC4C" w14:textId="77777777" w:rsidR="003E3ED9" w:rsidRPr="00830439" w:rsidRDefault="003E3ED9" w:rsidP="003E3ED9">
      <w:pPr>
        <w:tabs>
          <w:tab w:val="right" w:pos="9072"/>
        </w:tabs>
        <w:jc w:val="both"/>
        <w:rPr>
          <w:rFonts w:cs="Arial"/>
          <w:szCs w:val="20"/>
        </w:rPr>
      </w:pPr>
      <w:r w:rsidRPr="00830439">
        <w:rPr>
          <w:rFonts w:cs="Arial"/>
          <w:szCs w:val="20"/>
        </w:rPr>
        <w:t xml:space="preserve">Odločitev o načinu uporabe </w:t>
      </w:r>
      <w:proofErr w:type="spellStart"/>
      <w:r w:rsidRPr="00830439">
        <w:rPr>
          <w:rFonts w:cs="Arial"/>
          <w:szCs w:val="20"/>
        </w:rPr>
        <w:t>revolving</w:t>
      </w:r>
      <w:proofErr w:type="spellEnd"/>
      <w:r w:rsidRPr="00830439">
        <w:rPr>
          <w:rFonts w:cs="Arial"/>
          <w:szCs w:val="20"/>
        </w:rPr>
        <w:t xml:space="preserve"> sredstev pričakujemo od EU (v gradivu je predvidena odločitev EU o načinu porabe sredstev na koncu obdobja po zaključenih dveh obratih (takrat so lahko prikazana sredstva kot prihodek A bilance). Tudi višina sredstev (253</w:t>
      </w:r>
      <w:r w:rsidRPr="00830439">
        <w:rPr>
          <w:rFonts w:cs="Arial"/>
          <w:szCs w:val="20"/>
          <w:vertAlign w:val="superscript"/>
        </w:rPr>
        <w:footnoteReference w:id="32"/>
      </w:r>
      <w:r w:rsidRPr="00830439">
        <w:rPr>
          <w:rFonts w:cs="Arial"/>
          <w:szCs w:val="20"/>
        </w:rPr>
        <w:t xml:space="preserve"> mio) ni nujno enaka na koncu, lahko je večja (obresti), lahko pa tudi bistveno manjša (odpisi in dogovorjena politika tveganj). Koristnik sredstev (finančni posrednik ali SID banka, če sama izvaja FI) ima tudi v svojih poslovnih knjigah vzpostavljeno obve</w:t>
      </w:r>
      <w:r w:rsidRPr="00F60B42">
        <w:rPr>
          <w:rFonts w:cs="Arial"/>
          <w:szCs w:val="20"/>
        </w:rPr>
        <w:t xml:space="preserve">znost do RS (namesto direktno do EU), kar z našega vidika dodatno pripomore k nadzoru nad temi sredstvi: država ima s tem vpeljan sistem kontrole nad sredstvi za FI. Sprotno evidentiranje sredstev, bodisi v bilanci A ali B, torej preko proračunskih evidenc, ne bi izkazovalo pravilnega stanja, saj v primeru, da </w:t>
      </w:r>
      <w:r w:rsidRPr="00830439">
        <w:rPr>
          <w:rFonts w:cs="Arial"/>
          <w:szCs w:val="20"/>
        </w:rPr>
        <w:t>država članica ni »lastnica« sredstev in da dela za račun drugega (EU), ne sme prikazovati prihodkov, ker to še niso. Prav tako se krši nevtralnost vpliva na proračun (ne glede na to, da se sedaj vse nevtralizira).</w:t>
      </w:r>
    </w:p>
    <w:p w14:paraId="1671302A" w14:textId="77777777" w:rsidR="003E3ED9" w:rsidRPr="00830439" w:rsidRDefault="003E3ED9" w:rsidP="003E3ED9">
      <w:pPr>
        <w:tabs>
          <w:tab w:val="right" w:pos="9072"/>
        </w:tabs>
        <w:jc w:val="both"/>
        <w:rPr>
          <w:rFonts w:cs="Arial"/>
          <w:szCs w:val="20"/>
        </w:rPr>
      </w:pPr>
    </w:p>
    <w:p w14:paraId="0F5189B6" w14:textId="77777777" w:rsidR="003E3ED9" w:rsidRPr="00830439" w:rsidRDefault="003E3ED9" w:rsidP="003E3ED9">
      <w:pPr>
        <w:tabs>
          <w:tab w:val="right" w:pos="9072"/>
        </w:tabs>
        <w:jc w:val="both"/>
        <w:rPr>
          <w:rFonts w:cs="Arial"/>
          <w:szCs w:val="20"/>
        </w:rPr>
      </w:pPr>
      <w:r w:rsidRPr="00830439">
        <w:rPr>
          <w:rFonts w:cs="Arial"/>
          <w:szCs w:val="20"/>
        </w:rPr>
        <w:t>V Državni zbor RS se bo ob vsakokratni obravnavi predloga proračuna, predložilo poročilo, v katerem bi se navedla višina dodeljenih/ </w:t>
      </w:r>
      <w:proofErr w:type="spellStart"/>
      <w:r w:rsidRPr="00830439">
        <w:rPr>
          <w:rFonts w:cs="Arial"/>
          <w:szCs w:val="20"/>
        </w:rPr>
        <w:t>počrpanih</w:t>
      </w:r>
      <w:proofErr w:type="spellEnd"/>
      <w:r w:rsidRPr="00830439">
        <w:rPr>
          <w:rFonts w:cs="Arial"/>
          <w:szCs w:val="20"/>
        </w:rPr>
        <w:t xml:space="preserve"> sredstev, namen porabe, prejemniki in s tem dodatno opredelilo razvojno politiko spodbujanja konkurenčnosti, katere temeljni program je tudi zagotavljanje dostopa do financiranja. Poročilo bi moralo vsebovati vse potrebne podatke, da bi jih Državni zbor RS lahko sprejel skupaj s sprejetim proračunom. Z vidika kasnejšega poročanja pa je zadeva urejena: zbirna bilanca stanja je sestavni del zaključnega računa proračuna in gre torej v sprejem v Državni zbor RS.</w:t>
      </w:r>
    </w:p>
    <w:p w14:paraId="461CC569" w14:textId="77777777" w:rsidR="003E3ED9" w:rsidRPr="002A1F16" w:rsidRDefault="003E3ED9" w:rsidP="003E3ED9">
      <w:pPr>
        <w:autoSpaceDE w:val="0"/>
        <w:autoSpaceDN w:val="0"/>
        <w:adjustRightInd w:val="0"/>
        <w:rPr>
          <w:rFonts w:cs="Arial"/>
          <w:b/>
          <w:bCs/>
          <w:szCs w:val="20"/>
          <w:highlight w:val="yellow"/>
        </w:rPr>
      </w:pPr>
    </w:p>
    <w:p w14:paraId="59A3D9C2" w14:textId="77777777" w:rsidR="002C0407" w:rsidRPr="003E3ED9" w:rsidRDefault="002C0407" w:rsidP="003E3ED9"/>
    <w:sectPr w:rsidR="002C0407" w:rsidRPr="003E3ED9"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AE49" w14:textId="77777777" w:rsidR="002A30A9" w:rsidRDefault="002A30A9">
      <w:r>
        <w:separator/>
      </w:r>
    </w:p>
  </w:endnote>
  <w:endnote w:type="continuationSeparator" w:id="0">
    <w:p w14:paraId="106E4A5C" w14:textId="77777777" w:rsidR="002A30A9" w:rsidRDefault="002A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A99F" w14:textId="77777777" w:rsidR="002A30A9" w:rsidRDefault="002A30A9">
      <w:r>
        <w:separator/>
      </w:r>
    </w:p>
  </w:footnote>
  <w:footnote w:type="continuationSeparator" w:id="0">
    <w:p w14:paraId="78A894DC" w14:textId="77777777" w:rsidR="002A30A9" w:rsidRDefault="002A30A9">
      <w:r>
        <w:continuationSeparator/>
      </w:r>
    </w:p>
  </w:footnote>
  <w:footnote w:id="1">
    <w:p w14:paraId="6B57190E" w14:textId="77777777" w:rsidR="003E3ED9" w:rsidRPr="00DD35C6" w:rsidRDefault="003E3ED9" w:rsidP="003E3ED9">
      <w:pPr>
        <w:pStyle w:val="Sprotnaopomba-besedilo"/>
        <w:rPr>
          <w:rFonts w:cs="Arial"/>
          <w:sz w:val="16"/>
          <w:szCs w:val="16"/>
        </w:rPr>
      </w:pPr>
      <w:r w:rsidRPr="00DD35C6">
        <w:rPr>
          <w:rFonts w:cs="Arial"/>
          <w:sz w:val="16"/>
          <w:szCs w:val="16"/>
          <w:vertAlign w:val="superscript"/>
        </w:rPr>
        <w:footnoteRef/>
      </w:r>
      <w:r w:rsidRPr="00DD35C6">
        <w:rPr>
          <w:rFonts w:cs="Arial"/>
          <w:sz w:val="16"/>
          <w:szCs w:val="16"/>
        </w:rPr>
        <w:t xml:space="preserve"> Poleg namena za snovno in energetsko učinkovitost se sredstva zagotavljajo tudi za druge namene v okviru navedene prednostne naložbe, ki so opredeljeni v operaciji FI</w:t>
      </w:r>
    </w:p>
  </w:footnote>
  <w:footnote w:id="2">
    <w:p w14:paraId="07691CD5" w14:textId="77777777" w:rsidR="003E3ED9" w:rsidRPr="006C4CCD" w:rsidRDefault="003E3ED9" w:rsidP="003E3ED9">
      <w:pPr>
        <w:pStyle w:val="Sprotnaopomba-besedilo"/>
        <w:jc w:val="both"/>
        <w:rPr>
          <w:rFonts w:cs="Arial"/>
          <w:sz w:val="16"/>
          <w:szCs w:val="16"/>
        </w:rPr>
      </w:pPr>
      <w:r w:rsidRPr="0012530C">
        <w:rPr>
          <w:rStyle w:val="Sprotnaopomba-sklic"/>
          <w:rFonts w:eastAsia="Times New Roman" w:cs="Arial"/>
          <w:sz w:val="16"/>
          <w:szCs w:val="16"/>
        </w:rPr>
        <w:footnoteRef/>
      </w:r>
      <w:r w:rsidRPr="006C4CCD">
        <w:rPr>
          <w:rFonts w:cs="Arial"/>
          <w:sz w:val="16"/>
          <w:szCs w:val="16"/>
        </w:rPr>
        <w:t xml:space="preserve"> </w:t>
      </w:r>
      <w:r w:rsidRPr="006C4CCD">
        <w:rPr>
          <w:rFonts w:cs="Arial"/>
          <w:sz w:val="16"/>
          <w:szCs w:val="16"/>
        </w:rPr>
        <w:t xml:space="preserve">Po Predhodni oceni finančnih instrumentov v Sloveniji, </w:t>
      </w:r>
      <w:proofErr w:type="spellStart"/>
      <w:r w:rsidRPr="006C4CCD">
        <w:rPr>
          <w:rFonts w:cs="Arial"/>
          <w:sz w:val="16"/>
          <w:szCs w:val="16"/>
        </w:rPr>
        <w:t>PwC</w:t>
      </w:r>
      <w:proofErr w:type="spellEnd"/>
      <w:r w:rsidRPr="006C4CCD">
        <w:rPr>
          <w:rFonts w:cs="Arial"/>
          <w:sz w:val="16"/>
          <w:szCs w:val="16"/>
        </w:rPr>
        <w:t xml:space="preserve"> 2015, so za področje energetske učinkovitosti predvideni vsi našteti finančni produkti. Za samo izvajanje energetskih prenov javnih stavb po EPC modelu (energy performance contracting) se primarno predvideva uporaba finančnega produkta posojil, uporaba ostalih dveh finančnih produktov pa ob upoštevanju omejitev glede javnofinančne stabilnosti.</w:t>
      </w:r>
    </w:p>
  </w:footnote>
  <w:footnote w:id="3">
    <w:p w14:paraId="6683DCD6" w14:textId="77777777" w:rsidR="003E3ED9" w:rsidRPr="006C4CCD" w:rsidRDefault="003E3ED9" w:rsidP="003E3ED9">
      <w:pPr>
        <w:pStyle w:val="Sprotnaopomba-besedilo"/>
        <w:jc w:val="both"/>
        <w:rPr>
          <w:sz w:val="18"/>
          <w:szCs w:val="18"/>
        </w:rPr>
      </w:pPr>
      <w:r w:rsidRPr="006C4CCD">
        <w:rPr>
          <w:rStyle w:val="Sprotnaopomba-sklic"/>
          <w:sz w:val="16"/>
          <w:szCs w:val="16"/>
        </w:rPr>
        <w:footnoteRef/>
      </w:r>
      <w:r w:rsidRPr="006C4CCD">
        <w:rPr>
          <w:sz w:val="16"/>
          <w:szCs w:val="16"/>
        </w:rPr>
        <w:t xml:space="preserve"> </w:t>
      </w:r>
      <w:r w:rsidRPr="006C4CCD">
        <w:rPr>
          <w:rFonts w:cs="Arial"/>
          <w:sz w:val="16"/>
          <w:szCs w:val="16"/>
        </w:rPr>
        <w:t>Prvotno načrtovana podpora za PN 4.1 EE v višini 25,00 mio EUR, ki je izhajala iz Predhodne ocene finančnih instrumentov v Sloveniji (2015), je bila v skladu z Analizo izvajanja finančnih instrumentov za PN 4.1 EE (oktober 2021) znižana na 6,73 mio EUR.</w:t>
      </w:r>
    </w:p>
  </w:footnote>
  <w:footnote w:id="4">
    <w:p w14:paraId="6BBBE631" w14:textId="77777777" w:rsidR="003E3ED9" w:rsidRPr="003A5A48" w:rsidRDefault="003E3ED9" w:rsidP="003E3ED9">
      <w:pPr>
        <w:pStyle w:val="Sprotnaopomba-besedilo"/>
        <w:jc w:val="both"/>
        <w:rPr>
          <w:sz w:val="16"/>
          <w:szCs w:val="16"/>
        </w:rPr>
      </w:pPr>
      <w:r w:rsidRPr="003A5A48">
        <w:rPr>
          <w:rStyle w:val="Sprotnaopomba-sklic"/>
          <w:sz w:val="16"/>
          <w:szCs w:val="16"/>
        </w:rPr>
        <w:footnoteRef/>
      </w:r>
      <w:r w:rsidRPr="003A5A48">
        <w:rPr>
          <w:sz w:val="16"/>
          <w:szCs w:val="16"/>
        </w:rPr>
        <w:t xml:space="preserve"> </w:t>
      </w:r>
      <w:r w:rsidRPr="006C4CCD">
        <w:rPr>
          <w:sz w:val="16"/>
          <w:szCs w:val="16"/>
        </w:rPr>
        <w:t xml:space="preserve">Ministrstvo za gospodarstvo, turizem in šport je </w:t>
      </w:r>
      <w:r w:rsidRPr="006C4CCD">
        <w:rPr>
          <w:rFonts w:cs="Arial"/>
          <w:sz w:val="16"/>
          <w:szCs w:val="16"/>
        </w:rPr>
        <w:t>skladno z 8. členom Zakona o Vladi Republike Slovenije (Uradni list RS, št. 24/05 – uradno prečiščeno besedilo, 109/08, 38/10 – ZUKN, 8/12, 21/13, 47/13 – ZDU-1G, 65/14, 55/17 in 163/22) in 30. členom Zakona o državni upravi (Uradni list RS, št. 113/05 – uradno prečiščeno besedilo, 89/07 – odl. US, 126/07 – ZUP-E, 48/09, 8/10 – ZUP-G, 8/12 – ZVRS-F, 21/12, 47/13, 12/14, 90/14, 51/16, 36/21, 82/21, 189/21, 153/22 in 18/23) pravni naslednik Ministrstva za gospodarski razvoj in tehnologijo in je kot takšno vstopilo v razmerje iz sporazuma o financiranju s SID banko.</w:t>
      </w:r>
    </w:p>
  </w:footnote>
  <w:footnote w:id="5">
    <w:p w14:paraId="227AC796" w14:textId="77777777" w:rsidR="003E3ED9" w:rsidRPr="00A706DD" w:rsidRDefault="003E3ED9" w:rsidP="003E3ED9">
      <w:pPr>
        <w:pStyle w:val="Navadensplet"/>
        <w:spacing w:before="0" w:beforeAutospacing="0" w:after="0" w:afterAutospacing="0"/>
        <w:jc w:val="both"/>
        <w:rPr>
          <w:rFonts w:ascii="Times New Roman" w:hAnsi="Times New Roman"/>
          <w:color w:val="auto"/>
          <w:sz w:val="16"/>
          <w:szCs w:val="16"/>
        </w:rPr>
      </w:pPr>
      <w:r>
        <w:rPr>
          <w:rStyle w:val="Sprotnaopomba-sklic"/>
          <w:rFonts w:eastAsiaTheme="majorEastAsia"/>
        </w:rPr>
        <w:footnoteRef/>
      </w:r>
      <w:r w:rsidRPr="004342BA">
        <w:rPr>
          <w:rFonts w:ascii="Arial" w:hAnsi="Arial" w:cs="Arial"/>
          <w:sz w:val="16"/>
          <w:szCs w:val="16"/>
        </w:rPr>
        <w:t>N</w:t>
      </w:r>
      <w:r w:rsidRPr="004342BA">
        <w:rPr>
          <w:rFonts w:ascii="Arial" w:hAnsi="Arial" w:cs="Arial"/>
          <w:color w:val="auto"/>
          <w:sz w:val="16"/>
          <w:szCs w:val="16"/>
        </w:rPr>
        <w:t xml:space="preserve">a podlagi Zakona o spremembah Zakona o Vladi Republike Slovenije (Uradni list RS, št.  163/22) z dne 24. 1. 2023 in Zakona o spremembah in dopolnitvah Zakona o državni upravi (ZDU-1O) (Uradni list RS, št. 18/2023) z dne 14. 2. 2023 je za delovno področje gospodarstva pristojno Ministrstvo za gospodarstvo, turizem in šport, za delovno področje energetike Ministrstvo za okolje, podnebje in energijo, za delovno področje urbanega razvoja Ministrstvo za naravne vire in prostor ter za področje evropske kohezijske politike Ministrstvo za kohezijo in regionalni razvoj.  </w:t>
      </w:r>
    </w:p>
    <w:p w14:paraId="5B477A9D" w14:textId="77777777" w:rsidR="003E3ED9" w:rsidRDefault="003E3ED9" w:rsidP="003E3ED9">
      <w:pPr>
        <w:pStyle w:val="Sprotnaopomba-besedilo"/>
      </w:pPr>
    </w:p>
  </w:footnote>
  <w:footnote w:id="6">
    <w:p w14:paraId="6037D0EB" w14:textId="77777777" w:rsidR="003E3ED9" w:rsidRPr="00346BF9" w:rsidRDefault="003E3ED9" w:rsidP="003E3ED9">
      <w:pPr>
        <w:pStyle w:val="Sprotnaopomba-besedilo"/>
        <w:rPr>
          <w:sz w:val="16"/>
          <w:szCs w:val="16"/>
        </w:rPr>
      </w:pPr>
      <w:r w:rsidRPr="00346BF9">
        <w:rPr>
          <w:rStyle w:val="Sprotnaopomba-sklic"/>
          <w:sz w:val="16"/>
          <w:szCs w:val="16"/>
        </w:rPr>
        <w:footnoteRef/>
      </w:r>
      <w:r w:rsidRPr="00346BF9">
        <w:rPr>
          <w:sz w:val="16"/>
          <w:szCs w:val="16"/>
        </w:rPr>
        <w:t xml:space="preserve"> </w:t>
      </w:r>
      <w:r w:rsidRPr="00346BF9">
        <w:rPr>
          <w:sz w:val="16"/>
          <w:szCs w:val="16"/>
        </w:rPr>
        <w:t>Leta 2021 se je 11 mestnim občinam pridružila občina Krško.</w:t>
      </w:r>
    </w:p>
  </w:footnote>
  <w:footnote w:id="7">
    <w:p w14:paraId="5856B930" w14:textId="77777777" w:rsidR="003E3ED9" w:rsidRPr="00346BF9" w:rsidRDefault="003E3ED9" w:rsidP="003E3ED9">
      <w:pPr>
        <w:spacing w:line="240" w:lineRule="auto"/>
        <w:jc w:val="both"/>
        <w:rPr>
          <w:rFonts w:cs="Arial"/>
          <w:sz w:val="16"/>
          <w:szCs w:val="20"/>
        </w:rPr>
      </w:pPr>
      <w:r w:rsidRPr="0012530C">
        <w:rPr>
          <w:rStyle w:val="Sprotnaopomba-sklic"/>
          <w:rFonts w:cs="Arial"/>
          <w:szCs w:val="20"/>
        </w:rPr>
        <w:footnoteRef/>
      </w:r>
      <w:r w:rsidRPr="00A27A58">
        <w:rPr>
          <w:rFonts w:cs="Arial"/>
          <w:szCs w:val="20"/>
        </w:rPr>
        <w:t xml:space="preserve"> </w:t>
      </w:r>
      <w:r w:rsidRPr="00346BF9">
        <w:rPr>
          <w:rFonts w:cs="Arial"/>
          <w:sz w:val="16"/>
          <w:szCs w:val="20"/>
        </w:rPr>
        <w:t>Vrzel je pri projektih, ki se začnejo v letih 2015 in 2016, veliko večja, saj vsebuje tudi projekte mestne občine Ljubljana, ki seznama projektov za obdobje 2017-2020 ni posredovala.</w:t>
      </w:r>
    </w:p>
  </w:footnote>
  <w:footnote w:id="8">
    <w:p w14:paraId="120B3CE8" w14:textId="77777777" w:rsidR="003E3ED9" w:rsidRPr="00630E5A" w:rsidRDefault="003E3ED9" w:rsidP="003E3ED9">
      <w:pPr>
        <w:pStyle w:val="Sprotnaopomba-besedilo"/>
        <w:spacing w:line="260" w:lineRule="atLeast"/>
        <w:jc w:val="both"/>
        <w:rPr>
          <w:rFonts w:cs="Arial"/>
        </w:rPr>
      </w:pPr>
      <w:r w:rsidRPr="0012530C">
        <w:rPr>
          <w:rStyle w:val="Sprotnaopomba-sklic"/>
          <w:rFonts w:eastAsia="Times New Roman" w:cs="Arial"/>
        </w:rPr>
        <w:footnoteRef/>
      </w:r>
      <w:r w:rsidRPr="00442423">
        <w:rPr>
          <w:rFonts w:cs="Arial"/>
          <w:sz w:val="16"/>
          <w:szCs w:val="16"/>
        </w:rPr>
        <w:t xml:space="preserve"> </w:t>
      </w:r>
      <w:r w:rsidRPr="00630E5A">
        <w:rPr>
          <w:rFonts w:cs="Arial"/>
        </w:rPr>
        <w:t>Naložbena strategija zajema naslednje elemente: (i) strateški okvir, ki vključuje ugotovljene tržne vrzeli, uskl</w:t>
      </w:r>
      <w:r>
        <w:rPr>
          <w:rFonts w:cs="Arial"/>
        </w:rPr>
        <w:t>ajenost s cilji OP 2014-</w:t>
      </w:r>
      <w:r w:rsidRPr="00630E5A">
        <w:rPr>
          <w:rFonts w:cs="Arial"/>
        </w:rPr>
        <w:t>2020 ter drugimi strateškimi dokumenti, (ii) predlog naložbene strategije (cilji, deležniki, struktura, produkti, postopek dopolnjevanja naložbene strategije), (iii) slovenski sklad skladov (cilji po posameznih področjih – pogoji za ciljne skupine/</w:t>
      </w:r>
      <w:r>
        <w:rPr>
          <w:rFonts w:cs="Arial"/>
        </w:rPr>
        <w:t> </w:t>
      </w:r>
      <w:r w:rsidRPr="00630E5A">
        <w:rPr>
          <w:rFonts w:cs="Arial"/>
        </w:rPr>
        <w:t>projekte), (iv) naložbena struktura sklada skladov, (v) izbor finančnih posrednikov, (vi) tehnična pomoč, (vii) ponovna uporaba sredstev, (viii) strategija izstopa.</w:t>
      </w:r>
    </w:p>
  </w:footnote>
  <w:footnote w:id="9">
    <w:p w14:paraId="542C5B49" w14:textId="77777777" w:rsidR="003E3ED9" w:rsidRPr="00346BF9" w:rsidRDefault="003E3ED9" w:rsidP="003E3ED9">
      <w:pPr>
        <w:pStyle w:val="Sprotnaopomba-besedilo"/>
        <w:spacing w:line="260" w:lineRule="atLeast"/>
        <w:rPr>
          <w:rFonts w:cs="Arial"/>
          <w:sz w:val="16"/>
          <w:szCs w:val="16"/>
        </w:rPr>
      </w:pPr>
      <w:r w:rsidRPr="00346BF9">
        <w:rPr>
          <w:rFonts w:cs="Arial"/>
          <w:sz w:val="16"/>
          <w:szCs w:val="16"/>
          <w:vertAlign w:val="superscript"/>
        </w:rPr>
        <w:footnoteRef/>
      </w:r>
      <w:r w:rsidRPr="00346BF9">
        <w:rPr>
          <w:rFonts w:cs="Arial"/>
          <w:sz w:val="16"/>
          <w:szCs w:val="16"/>
        </w:rPr>
        <w:t xml:space="preserve"> </w:t>
      </w:r>
      <w:r w:rsidRPr="00346BF9">
        <w:rPr>
          <w:rFonts w:cs="Arial"/>
          <w:sz w:val="16"/>
          <w:szCs w:val="16"/>
        </w:rPr>
        <w:t>Vsebina sporazuma o financiranju je določena v Uredbi (EU) št. 1303/2013, Priloga IV.</w:t>
      </w:r>
    </w:p>
  </w:footnote>
  <w:footnote w:id="10">
    <w:p w14:paraId="44B6D28A" w14:textId="77777777" w:rsidR="003E3ED9" w:rsidRPr="00F76BDD" w:rsidRDefault="003E3ED9" w:rsidP="003E3ED9">
      <w:pPr>
        <w:pStyle w:val="Sprotnaopomba-besedilo"/>
        <w:jc w:val="both"/>
        <w:rPr>
          <w:sz w:val="16"/>
          <w:szCs w:val="16"/>
        </w:rPr>
      </w:pPr>
      <w:r w:rsidRPr="00F76BDD">
        <w:rPr>
          <w:rStyle w:val="Sprotnaopomba-sklic"/>
          <w:sz w:val="16"/>
          <w:szCs w:val="16"/>
        </w:rPr>
        <w:footnoteRef/>
      </w:r>
      <w:r w:rsidRPr="00F76BDD">
        <w:rPr>
          <w:sz w:val="16"/>
          <w:szCs w:val="16"/>
        </w:rPr>
        <w:t xml:space="preserve"> </w:t>
      </w:r>
      <w:r w:rsidRPr="00672A22">
        <w:rPr>
          <w:sz w:val="16"/>
          <w:szCs w:val="16"/>
        </w:rPr>
        <w:t>Na podlagi Zakona o spremembah Zakona o Vladi Republike Slovenije (Uradni list RS, št.  163/22) z dne 24. 1. 2023 in Zakona o spremembah in dopolnitvah Zakona o državni upravi (ZDU-1O) (Uradni list RS, št. 18/2023) z dne 14. 2. 2023 je: za delovno področje gospodarstva je pristojno Ministrstvo za gospodarstvo, turizem in šport, za delovno področje energetike je pristojno Ministrstvo za okolje, podnebje in energijo, za delovno področje urbanega razvoja Ministrstvo za naravne vire in prostor ter za področje evropske kohezijske politike Ministrstvo za kohezijo in regionalni razvoj.</w:t>
      </w:r>
    </w:p>
  </w:footnote>
  <w:footnote w:id="11">
    <w:p w14:paraId="34B7DBDD" w14:textId="77777777" w:rsidR="003E3ED9" w:rsidRPr="00012B81" w:rsidRDefault="003E3ED9" w:rsidP="003E3ED9">
      <w:pPr>
        <w:spacing w:line="240" w:lineRule="auto"/>
        <w:contextualSpacing/>
        <w:jc w:val="both"/>
        <w:rPr>
          <w:rFonts w:cs="Arial"/>
          <w:sz w:val="16"/>
          <w:szCs w:val="16"/>
        </w:rPr>
      </w:pPr>
      <w:r w:rsidRPr="00012B81">
        <w:rPr>
          <w:sz w:val="16"/>
          <w:szCs w:val="16"/>
        </w:rPr>
        <w:footnoteRef/>
      </w:r>
      <w:r w:rsidRPr="00012B81">
        <w:rPr>
          <w:rFonts w:cs="Arial"/>
          <w:sz w:val="16"/>
          <w:szCs w:val="16"/>
        </w:rPr>
        <w:t xml:space="preserve"> </w:t>
      </w:r>
      <w:r w:rsidRPr="00012B81">
        <w:rPr>
          <w:rFonts w:cs="Arial"/>
          <w:sz w:val="16"/>
          <w:szCs w:val="16"/>
        </w:rPr>
        <w:t>Kot npr.:</w:t>
      </w:r>
    </w:p>
    <w:p w14:paraId="0C7A7E10" w14:textId="77777777" w:rsidR="003E3ED9" w:rsidRPr="00012B81" w:rsidRDefault="003E3ED9" w:rsidP="003E3ED9">
      <w:pPr>
        <w:pStyle w:val="Odstavekseznama"/>
        <w:numPr>
          <w:ilvl w:val="0"/>
          <w:numId w:val="68"/>
        </w:numPr>
        <w:spacing w:line="240" w:lineRule="auto"/>
        <w:jc w:val="both"/>
        <w:rPr>
          <w:rFonts w:cs="Arial"/>
          <w:sz w:val="16"/>
          <w:szCs w:val="16"/>
        </w:rPr>
      </w:pPr>
      <w:r w:rsidRPr="00012B81">
        <w:rPr>
          <w:rFonts w:cs="Arial"/>
          <w:sz w:val="16"/>
          <w:szCs w:val="16"/>
        </w:rPr>
        <w:t>posojila za izvedbo projektov prenove ali novogradnje stanovanj, ki so rezultat urbane prenove s ciljem povečanja javnega stanovanjskega fonda, skladno z izkazanimi potrebami po posameznih mestnih občinah;</w:t>
      </w:r>
    </w:p>
    <w:p w14:paraId="5242D7F2" w14:textId="77777777" w:rsidR="003E3ED9" w:rsidRPr="00012B81" w:rsidRDefault="003E3ED9" w:rsidP="003E3ED9">
      <w:pPr>
        <w:pStyle w:val="Odstavekseznama"/>
        <w:numPr>
          <w:ilvl w:val="0"/>
          <w:numId w:val="68"/>
        </w:numPr>
        <w:spacing w:line="240" w:lineRule="auto"/>
        <w:jc w:val="both"/>
        <w:rPr>
          <w:rFonts w:cs="Arial"/>
          <w:sz w:val="16"/>
          <w:szCs w:val="16"/>
        </w:rPr>
      </w:pPr>
      <w:r w:rsidRPr="00012B81">
        <w:rPr>
          <w:rFonts w:cs="Arial"/>
          <w:sz w:val="16"/>
          <w:szCs w:val="16"/>
        </w:rPr>
        <w:t>posojila za izvedbo drugih operacij, katerih namen bo izvajanje posegov fizične prenove urbanih območij, ki so skladni s cilji trajnostnih urbanih strategij v 12 mestnih občinah.</w:t>
      </w:r>
    </w:p>
  </w:footnote>
  <w:footnote w:id="12">
    <w:p w14:paraId="6963383A" w14:textId="77777777" w:rsidR="003E3ED9" w:rsidRPr="00012B81" w:rsidRDefault="003E3ED9" w:rsidP="003E3ED9">
      <w:pPr>
        <w:pStyle w:val="Sprotnaopomba-besedilo"/>
        <w:jc w:val="both"/>
        <w:rPr>
          <w:rFonts w:cs="Arial"/>
          <w:color w:val="000000"/>
          <w:sz w:val="16"/>
          <w:szCs w:val="16"/>
        </w:rPr>
      </w:pPr>
      <w:r w:rsidRPr="0012530C">
        <w:rPr>
          <w:rStyle w:val="Sprotnaopomba-sklic"/>
          <w:rFonts w:eastAsia="Times New Roman" w:cs="Arial"/>
          <w:sz w:val="16"/>
          <w:szCs w:val="16"/>
        </w:rPr>
        <w:footnoteRef/>
      </w:r>
      <w:r w:rsidRPr="00012B81">
        <w:rPr>
          <w:rFonts w:cs="Arial"/>
          <w:sz w:val="16"/>
          <w:szCs w:val="16"/>
        </w:rPr>
        <w:t xml:space="preserve"> </w:t>
      </w:r>
      <w:r w:rsidRPr="00012B81">
        <w:rPr>
          <w:rFonts w:cs="Arial"/>
          <w:color w:val="000000"/>
          <w:sz w:val="16"/>
          <w:szCs w:val="16"/>
        </w:rPr>
        <w:t>Zneski vključujejo plasmaje končnim prejemnikom in pripadajoče rezervacije in/ali oslabitve, upravljavske in druge provizije ter nepovratna sredstva.</w:t>
      </w:r>
    </w:p>
    <w:p w14:paraId="1E70F6B1" w14:textId="77777777" w:rsidR="003E3ED9" w:rsidRPr="00012B81" w:rsidRDefault="003E3ED9" w:rsidP="003E3ED9">
      <w:pPr>
        <w:pStyle w:val="Sprotnaopomba-besedilo"/>
        <w:jc w:val="both"/>
        <w:rPr>
          <w:rFonts w:cs="Arial"/>
          <w:sz w:val="16"/>
          <w:szCs w:val="16"/>
        </w:rPr>
      </w:pPr>
      <w:r w:rsidRPr="00012B81">
        <w:rPr>
          <w:rFonts w:cs="Arial"/>
          <w:color w:val="000000"/>
          <w:sz w:val="16"/>
          <w:szCs w:val="16"/>
        </w:rPr>
        <w:t>Predlagana višina sredstev po posameznem finančnem produktu je okvirna in se lahko spremeni glede na izsledke market testa.</w:t>
      </w:r>
    </w:p>
  </w:footnote>
  <w:footnote w:id="13">
    <w:p w14:paraId="6EB4B42C" w14:textId="77777777" w:rsidR="003E3ED9" w:rsidRPr="00E274A5" w:rsidRDefault="003E3ED9" w:rsidP="003E3ED9">
      <w:pPr>
        <w:pStyle w:val="Sprotnaopomba-besedilo"/>
        <w:jc w:val="both"/>
        <w:rPr>
          <w:rFonts w:cs="Arial"/>
          <w:sz w:val="16"/>
          <w:szCs w:val="16"/>
        </w:rPr>
      </w:pPr>
      <w:r w:rsidRPr="0012530C">
        <w:rPr>
          <w:rStyle w:val="Sprotnaopomba-sklic"/>
          <w:rFonts w:eastAsia="Times New Roman" w:cs="Arial"/>
          <w:sz w:val="16"/>
          <w:szCs w:val="16"/>
        </w:rPr>
        <w:footnoteRef/>
      </w:r>
      <w:r w:rsidRPr="00E274A5">
        <w:rPr>
          <w:rFonts w:cs="Arial"/>
          <w:sz w:val="16"/>
          <w:szCs w:val="16"/>
        </w:rPr>
        <w:t xml:space="preserve"> </w:t>
      </w:r>
      <w:r w:rsidRPr="00E274A5">
        <w:rPr>
          <w:rFonts w:cs="Arial"/>
          <w:sz w:val="16"/>
          <w:szCs w:val="16"/>
        </w:rPr>
        <w:t>Po Predhodni oceni finančnih instrumentov v Sloveniji, PwC 2015, so za področje energetske učinkovitosti predvideni vsi našteti finančni produkti. Za samo izvajanje energetskih prenov javnih stavb po EPC modelu (energy performance contracting) se primarno predvideva uporaba finančnega produkta posojil, uporaba ostalih dveh finančnih produktov pa ob upoštevanju omejitev glede javnofinančne stabilnosti.</w:t>
      </w:r>
    </w:p>
  </w:footnote>
  <w:footnote w:id="14">
    <w:p w14:paraId="2570EDF4" w14:textId="77777777" w:rsidR="003E3ED9" w:rsidRPr="00F850B0" w:rsidRDefault="003E3ED9" w:rsidP="003E3ED9">
      <w:pPr>
        <w:pStyle w:val="Sprotnaopomba-besedilo"/>
        <w:jc w:val="both"/>
        <w:rPr>
          <w:rFonts w:cs="Arial"/>
          <w:sz w:val="16"/>
        </w:rPr>
      </w:pPr>
      <w:r w:rsidRPr="0012530C">
        <w:rPr>
          <w:rStyle w:val="Sprotnaopomba-sklic"/>
          <w:rFonts w:eastAsia="Times New Roman" w:cs="Arial"/>
          <w:sz w:val="16"/>
        </w:rPr>
        <w:footnoteRef/>
      </w:r>
      <w:r w:rsidRPr="00F850B0">
        <w:rPr>
          <w:rFonts w:cs="Arial"/>
          <w:sz w:val="16"/>
        </w:rPr>
        <w:t xml:space="preserve"> </w:t>
      </w:r>
      <w:r w:rsidRPr="00F850B0">
        <w:rPr>
          <w:rFonts w:cs="Arial"/>
          <w:sz w:val="16"/>
        </w:rPr>
        <w:t>Predstavljeni zneski temeljijo na trenutno sprejetem Operativnem programu 2014-2020 in se bodo uskladili ob spremembi Operativnega programa 2014-2020.</w:t>
      </w:r>
    </w:p>
  </w:footnote>
  <w:footnote w:id="15">
    <w:p w14:paraId="786567C1" w14:textId="77777777" w:rsidR="003E3ED9" w:rsidRPr="00346BF9" w:rsidRDefault="003E3ED9" w:rsidP="003E3ED9">
      <w:pPr>
        <w:pStyle w:val="Sprotnaopomba-besedilo"/>
        <w:jc w:val="both"/>
        <w:rPr>
          <w:rFonts w:cs="Arial"/>
          <w:sz w:val="16"/>
          <w:szCs w:val="16"/>
        </w:rPr>
      </w:pPr>
      <w:r w:rsidRPr="0012530C">
        <w:rPr>
          <w:rStyle w:val="Sprotnaopomba-sklic"/>
          <w:rFonts w:eastAsia="Times New Roman" w:cs="Arial"/>
          <w:sz w:val="16"/>
          <w:szCs w:val="16"/>
        </w:rPr>
        <w:footnoteRef/>
      </w:r>
      <w:r w:rsidRPr="00562F74">
        <w:rPr>
          <w:rFonts w:cs="Arial"/>
          <w:sz w:val="16"/>
          <w:szCs w:val="16"/>
        </w:rPr>
        <w:t xml:space="preserve"> </w:t>
      </w:r>
      <w:r w:rsidRPr="00346BF9">
        <w:rPr>
          <w:rFonts w:cs="Arial"/>
          <w:sz w:val="16"/>
          <w:szCs w:val="16"/>
        </w:rPr>
        <w:t>Kreditodajalec (upnik) je pravna oseba, ki sklene kreditno pogodbo s kreditojemalcem (dolžnikom) za določeno ceno (obresti).</w:t>
      </w:r>
    </w:p>
  </w:footnote>
  <w:footnote w:id="16">
    <w:p w14:paraId="654A4734" w14:textId="77777777" w:rsidR="003E3ED9" w:rsidRPr="00346BF9" w:rsidRDefault="003E3ED9" w:rsidP="003E3ED9">
      <w:pPr>
        <w:pStyle w:val="Sprotnaopomba-besedilo"/>
        <w:tabs>
          <w:tab w:val="left" w:pos="810"/>
        </w:tabs>
        <w:jc w:val="both"/>
        <w:rPr>
          <w:rFonts w:cs="Arial"/>
          <w:sz w:val="16"/>
          <w:szCs w:val="16"/>
        </w:rPr>
      </w:pPr>
      <w:r w:rsidRPr="0012530C">
        <w:rPr>
          <w:rStyle w:val="Sprotnaopomba-sklic"/>
          <w:rFonts w:eastAsia="Times New Roman" w:cs="Arial"/>
          <w:sz w:val="16"/>
          <w:szCs w:val="16"/>
        </w:rPr>
        <w:footnoteRef/>
      </w:r>
      <w:r w:rsidRPr="00346BF9">
        <w:rPr>
          <w:rFonts w:cs="Arial"/>
          <w:sz w:val="16"/>
          <w:szCs w:val="16"/>
        </w:rPr>
        <w:t xml:space="preserve"> </w:t>
      </w:r>
      <w:r w:rsidRPr="00346BF9">
        <w:rPr>
          <w:rFonts w:cs="Arial"/>
          <w:sz w:val="16"/>
          <w:szCs w:val="16"/>
        </w:rPr>
        <w:t>Po Predhodni oceni finančnih instrumentov v Sloveniji, PwC 2015, so za področje energetske učinkovitosti predvideni vsi našteti finančni produkti. Za samo izvajanje energetskih prenov javnih stavb po EPC modelu (energy performance contracting) se primarno predvideva uporaba finančnega produkta posojil, uporaba ostalih dveh finančnih produktov pa ob upoštevanju omejitev glede javnofinančne stabilnosti.</w:t>
      </w:r>
    </w:p>
  </w:footnote>
  <w:footnote w:id="17">
    <w:p w14:paraId="6D9A8BE6" w14:textId="77777777" w:rsidR="003E3ED9" w:rsidRPr="00346BF9" w:rsidRDefault="003E3ED9" w:rsidP="003E3ED9">
      <w:pPr>
        <w:pStyle w:val="footnotedescription"/>
        <w:spacing w:line="240" w:lineRule="auto"/>
        <w:jc w:val="both"/>
        <w:rPr>
          <w:rFonts w:ascii="Arial" w:hAnsi="Arial" w:cs="Arial"/>
          <w:sz w:val="16"/>
          <w:szCs w:val="16"/>
        </w:rPr>
      </w:pPr>
      <w:r w:rsidRPr="00346BF9">
        <w:rPr>
          <w:rStyle w:val="footnotemark"/>
          <w:rFonts w:ascii="Arial" w:hAnsi="Arial" w:cs="Arial"/>
          <w:szCs w:val="16"/>
        </w:rPr>
        <w:footnoteRef/>
      </w:r>
      <w:r w:rsidRPr="00346BF9">
        <w:rPr>
          <w:rFonts w:ascii="Arial" w:hAnsi="Arial" w:cs="Arial"/>
          <w:sz w:val="16"/>
          <w:szCs w:val="16"/>
        </w:rPr>
        <w:t xml:space="preserve"> </w:t>
      </w:r>
      <w:r w:rsidRPr="00346BF9">
        <w:rPr>
          <w:rFonts w:ascii="Arial" w:hAnsi="Arial" w:cs="Arial"/>
          <w:sz w:val="16"/>
          <w:szCs w:val="16"/>
        </w:rPr>
        <w:t>Znesek, ki bi obravnaval vrzeli v financiranju projektov urbanega razvoja v vseh slovenskih mestnih občinah je ocenjen med 50–100 mio EUR.</w:t>
      </w:r>
    </w:p>
  </w:footnote>
  <w:footnote w:id="18">
    <w:p w14:paraId="5CF5F9FA" w14:textId="77777777" w:rsidR="003E3ED9" w:rsidRPr="00346BF9" w:rsidRDefault="003E3ED9" w:rsidP="003E3ED9">
      <w:pPr>
        <w:pStyle w:val="footnotedescription"/>
        <w:spacing w:line="240" w:lineRule="auto"/>
        <w:jc w:val="both"/>
        <w:rPr>
          <w:rFonts w:ascii="Arial" w:hAnsi="Arial" w:cs="Arial"/>
          <w:sz w:val="16"/>
          <w:szCs w:val="20"/>
        </w:rPr>
      </w:pPr>
      <w:r w:rsidRPr="00346BF9">
        <w:rPr>
          <w:rStyle w:val="footnotemark"/>
          <w:rFonts w:ascii="Arial" w:hAnsi="Arial" w:cs="Arial"/>
          <w:szCs w:val="20"/>
        </w:rPr>
        <w:footnoteRef/>
      </w:r>
      <w:r w:rsidRPr="00346BF9">
        <w:rPr>
          <w:rFonts w:ascii="Arial" w:hAnsi="Arial" w:cs="Arial"/>
          <w:sz w:val="16"/>
          <w:szCs w:val="20"/>
        </w:rPr>
        <w:t xml:space="preserve"> </w:t>
      </w:r>
      <w:r w:rsidRPr="00346BF9">
        <w:rPr>
          <w:rFonts w:ascii="Arial" w:hAnsi="Arial" w:cs="Arial"/>
          <w:sz w:val="16"/>
          <w:szCs w:val="20"/>
        </w:rPr>
        <w:t xml:space="preserve">European Structural and Investment Funds Guidance for Member States and Programme Authorities: </w:t>
      </w:r>
      <w:r w:rsidRPr="00346BF9">
        <w:rPr>
          <w:rFonts w:ascii="Arial" w:hAnsi="Arial" w:cs="Arial"/>
          <w:sz w:val="16"/>
          <w:szCs w:val="16"/>
        </w:rPr>
        <w:t>CPR</w:t>
      </w:r>
      <w:r w:rsidRPr="00346BF9">
        <w:rPr>
          <w:rFonts w:ascii="Arial" w:hAnsi="Arial" w:cs="Arial"/>
          <w:sz w:val="16"/>
          <w:szCs w:val="20"/>
        </w:rPr>
        <w:t>_37_7_8_9 Combination of support from a financial instrument with other support, 2015</w:t>
      </w:r>
    </w:p>
  </w:footnote>
  <w:footnote w:id="19">
    <w:p w14:paraId="6383DCBC" w14:textId="77777777" w:rsidR="003E3ED9" w:rsidRPr="00844937" w:rsidRDefault="003E3ED9" w:rsidP="003E3ED9">
      <w:pPr>
        <w:tabs>
          <w:tab w:val="left" w:pos="3261"/>
        </w:tabs>
        <w:spacing w:line="240" w:lineRule="auto"/>
        <w:ind w:right="256"/>
        <w:jc w:val="both"/>
        <w:rPr>
          <w:rFonts w:eastAsia="Georgia" w:cs="Arial"/>
          <w:color w:val="000000"/>
          <w:szCs w:val="20"/>
          <w:lang w:eastAsia="sl-SI"/>
        </w:rPr>
      </w:pPr>
      <w:r w:rsidRPr="0012530C">
        <w:rPr>
          <w:rStyle w:val="Sprotnaopomba-sklic"/>
          <w:rFonts w:cs="Arial"/>
          <w:sz w:val="16"/>
          <w:szCs w:val="20"/>
        </w:rPr>
        <w:footnoteRef/>
      </w:r>
      <w:r w:rsidRPr="00346BF9">
        <w:rPr>
          <w:rFonts w:cs="Arial"/>
          <w:sz w:val="16"/>
          <w:szCs w:val="20"/>
        </w:rPr>
        <w:t xml:space="preserve"> </w:t>
      </w:r>
      <w:r w:rsidRPr="00346BF9">
        <w:rPr>
          <w:rFonts w:eastAsia="Georgia" w:cs="Arial"/>
          <w:color w:val="000000"/>
          <w:sz w:val="16"/>
          <w:szCs w:val="20"/>
          <w:lang w:eastAsia="sl-SI"/>
        </w:rPr>
        <w:t>Tehnična pomoč predstavlja nepovratna sredstva za svetovanje in mentorstvo za spodbujanje ter predajanje znanja glede uporabe FI in produktov iz naložbene strategije finančnim posrednikom in končnim prejemnikom, če izpolnjuje pogoje za kombinacijo v okviru ene operacije.</w:t>
      </w:r>
    </w:p>
  </w:footnote>
  <w:footnote w:id="20">
    <w:p w14:paraId="54B80E3C" w14:textId="77777777" w:rsidR="003E3ED9" w:rsidRPr="00346BF9" w:rsidRDefault="003E3ED9" w:rsidP="003E3ED9">
      <w:pPr>
        <w:pStyle w:val="footnotedescription"/>
        <w:spacing w:line="240" w:lineRule="auto"/>
        <w:jc w:val="both"/>
        <w:rPr>
          <w:rFonts w:ascii="Arial" w:hAnsi="Arial" w:cs="Arial"/>
          <w:sz w:val="16"/>
          <w:szCs w:val="16"/>
        </w:rPr>
      </w:pPr>
      <w:r w:rsidRPr="00346BF9">
        <w:rPr>
          <w:rStyle w:val="footnotemark"/>
          <w:rFonts w:ascii="Arial" w:hAnsi="Arial" w:cs="Arial"/>
          <w:szCs w:val="16"/>
        </w:rPr>
        <w:footnoteRef/>
      </w:r>
      <w:r w:rsidRPr="00346BF9">
        <w:rPr>
          <w:rFonts w:ascii="Arial" w:hAnsi="Arial" w:cs="Arial"/>
          <w:sz w:val="16"/>
          <w:szCs w:val="16"/>
        </w:rPr>
        <w:t xml:space="preserve"> </w:t>
      </w:r>
      <w:r w:rsidRPr="00346BF9">
        <w:rPr>
          <w:rFonts w:ascii="Arial" w:hAnsi="Arial" w:cs="Arial"/>
          <w:sz w:val="16"/>
          <w:szCs w:val="16"/>
        </w:rPr>
        <w:t>European Structural and Investment Funds Guidance for Member States and Programme Authorities: CPR_37_7_8_9 Combination of support from a financial instrument with other support, 2015</w:t>
      </w:r>
    </w:p>
  </w:footnote>
  <w:footnote w:id="21">
    <w:p w14:paraId="3406E9E4" w14:textId="77777777" w:rsidR="003E3ED9" w:rsidRPr="00844937" w:rsidRDefault="003E3ED9" w:rsidP="003E3ED9">
      <w:pPr>
        <w:pStyle w:val="footnotedescription"/>
        <w:spacing w:line="240" w:lineRule="auto"/>
        <w:ind w:right="164"/>
        <w:jc w:val="both"/>
        <w:rPr>
          <w:rFonts w:ascii="Arial" w:hAnsi="Arial" w:cs="Arial"/>
          <w:sz w:val="20"/>
          <w:szCs w:val="20"/>
        </w:rPr>
      </w:pPr>
      <w:r w:rsidRPr="00346BF9">
        <w:rPr>
          <w:rStyle w:val="footnotemark"/>
          <w:rFonts w:ascii="Arial" w:hAnsi="Arial" w:cs="Arial"/>
          <w:szCs w:val="16"/>
        </w:rPr>
        <w:footnoteRef/>
      </w:r>
      <w:r w:rsidRPr="00346BF9">
        <w:rPr>
          <w:rFonts w:ascii="Arial" w:hAnsi="Arial" w:cs="Arial"/>
          <w:sz w:val="16"/>
          <w:szCs w:val="16"/>
        </w:rPr>
        <w:t xml:space="preserve"> </w:t>
      </w:r>
      <w:r w:rsidRPr="00346BF9">
        <w:rPr>
          <w:rFonts w:ascii="Arial" w:hAnsi="Arial" w:cs="Arial"/>
          <w:sz w:val="16"/>
          <w:szCs w:val="16"/>
        </w:rPr>
        <w:t>Official Journal of the European Union: COMMISSION DELEGATED REGULATION (EU) No 480/2014 of 3 March 2014</w:t>
      </w:r>
    </w:p>
  </w:footnote>
  <w:footnote w:id="22">
    <w:p w14:paraId="08479E5B" w14:textId="77777777" w:rsidR="003E3ED9" w:rsidRPr="003101A6" w:rsidRDefault="003E3ED9" w:rsidP="003E3ED9">
      <w:pPr>
        <w:pStyle w:val="Sprotnaopomba-besedilo"/>
        <w:spacing w:line="260" w:lineRule="atLeast"/>
        <w:rPr>
          <w:rFonts w:cs="Arial"/>
          <w:sz w:val="16"/>
          <w:szCs w:val="16"/>
        </w:rPr>
      </w:pPr>
      <w:r w:rsidRPr="0012530C">
        <w:rPr>
          <w:rStyle w:val="Sprotnaopomba-sklic"/>
          <w:rFonts w:eastAsia="Times New Roman" w:cs="Arial"/>
          <w:sz w:val="16"/>
          <w:szCs w:val="16"/>
        </w:rPr>
        <w:footnoteRef/>
      </w:r>
      <w:r w:rsidRPr="003101A6">
        <w:rPr>
          <w:rFonts w:cs="Arial"/>
          <w:sz w:val="16"/>
          <w:szCs w:val="16"/>
        </w:rPr>
        <w:t xml:space="preserve"> </w:t>
      </w:r>
      <w:r w:rsidRPr="003101A6">
        <w:rPr>
          <w:rFonts w:cs="Arial"/>
          <w:sz w:val="16"/>
          <w:szCs w:val="16"/>
        </w:rPr>
        <w:t xml:space="preserve">Evropski parlament (2013) Instrumenti Finančnega Inženiringa v kohezijski politiki. </w:t>
      </w:r>
    </w:p>
  </w:footnote>
  <w:footnote w:id="23">
    <w:p w14:paraId="3E92CA52" w14:textId="77777777" w:rsidR="003E3ED9" w:rsidRPr="000E006B" w:rsidRDefault="003E3ED9" w:rsidP="003E3ED9">
      <w:pPr>
        <w:pStyle w:val="Sprotnaopomba-besedilo"/>
        <w:jc w:val="both"/>
        <w:rPr>
          <w:rFonts w:cs="Arial"/>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Po Predhodni oceni finančnih instrumentov v Sloveniji, PwC 2015, so za področje energetske učinkovitosti predvideni vsi našteti finančni produkti. Za samo izvajanje energetskih prenov javnih stavb po EPC modelu (energy performance contracting) se primarno predvideva uporaba finančnega produkta posojil, uporaba ostalih dveh finančnih produktov pa ob upoštevanju omejitev glede javnofinančne stabilnosti.</w:t>
      </w:r>
    </w:p>
  </w:footnote>
  <w:footnote w:id="24">
    <w:p w14:paraId="20688DA6" w14:textId="77777777" w:rsidR="003E3ED9" w:rsidRPr="003101A6" w:rsidRDefault="003E3ED9" w:rsidP="003E3ED9">
      <w:pPr>
        <w:pStyle w:val="Sprotnaopomba-besedilo"/>
        <w:jc w:val="both"/>
        <w:rPr>
          <w:rFonts w:cs="Arial"/>
          <w:sz w:val="16"/>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Po Predhodni oceni finančnih instrumentov v Sloveniji, PwC 2015, so za področje energetske učinkovitosti predvideni vsi našteti finančni produkti. Za samo izvajanje energetskih prenov javnih stavb po EPC modelu (energy performance contracting) se primarno predvideva uporaba finančnega produkta posojil, uporaba ostalih dveh finančnih produktov pa ob upoštevanju omejitev glede javnofinančne stabilnosti.</w:t>
      </w:r>
    </w:p>
  </w:footnote>
  <w:footnote w:id="25">
    <w:p w14:paraId="660ED552" w14:textId="77777777" w:rsidR="003E3ED9" w:rsidRPr="00EE10AD" w:rsidRDefault="003E3ED9" w:rsidP="003E3ED9">
      <w:pPr>
        <w:pStyle w:val="Sprotnaopomba-besedilo"/>
        <w:jc w:val="both"/>
        <w:rPr>
          <w:rFonts w:cs="Arial"/>
        </w:rPr>
      </w:pPr>
      <w:r w:rsidRPr="003101A6">
        <w:rPr>
          <w:rStyle w:val="Sprotnaopomba-sklic"/>
          <w:sz w:val="16"/>
        </w:rPr>
        <w:footnoteRef/>
      </w:r>
      <w:r w:rsidRPr="003101A6">
        <w:rPr>
          <w:sz w:val="16"/>
        </w:rPr>
        <w:t xml:space="preserve"> </w:t>
      </w:r>
      <w:r w:rsidRPr="003101A6">
        <w:rPr>
          <w:rFonts w:cs="Arial"/>
          <w:sz w:val="16"/>
        </w:rPr>
        <w:t>Na podlagi Analize izvajanja finančnih instrumentov za PN 4.1 EE (oktober 2021), ki po vsebini predstavlja spremembo Predhodne ocene finančnih instrumentov v Sloveniji (2015), se prvotno načrtovani znesek podpore EU in pričakovane ciljne vrednosti kazalnikov učinka za PN 4.1 EE spremenijo.</w:t>
      </w:r>
    </w:p>
  </w:footnote>
  <w:footnote w:id="26">
    <w:p w14:paraId="621A9795" w14:textId="77777777" w:rsidR="003E3ED9" w:rsidRPr="00B86D81" w:rsidRDefault="003E3ED9" w:rsidP="003E3ED9">
      <w:pPr>
        <w:pStyle w:val="Sprotnaopomba-besedilo"/>
        <w:spacing w:line="260" w:lineRule="atLeast"/>
        <w:rPr>
          <w:rFonts w:cs="Arial"/>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WK 2122/2017 INIT Working paper</w:t>
      </w:r>
    </w:p>
  </w:footnote>
  <w:footnote w:id="27">
    <w:p w14:paraId="31362571" w14:textId="77777777" w:rsidR="003E3ED9" w:rsidRPr="003101A6" w:rsidRDefault="003E3ED9" w:rsidP="003E3ED9">
      <w:pPr>
        <w:pStyle w:val="Sprotnaopomba-besedilo"/>
        <w:rPr>
          <w:rFonts w:cs="Arial"/>
          <w:sz w:val="16"/>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Zakon o Slovenski izvozni in razvojni banki, Uradni list RS, št. 56/08, 20/09, 25/15 – ZBan-2</w:t>
      </w:r>
    </w:p>
  </w:footnote>
  <w:footnote w:id="28">
    <w:p w14:paraId="054732A0" w14:textId="77777777" w:rsidR="003E3ED9" w:rsidRPr="003101A6" w:rsidRDefault="003E3ED9" w:rsidP="003E3ED9">
      <w:pPr>
        <w:pStyle w:val="Sprotnaopomba-besedilo"/>
        <w:rPr>
          <w:rFonts w:cs="Arial"/>
          <w:sz w:val="16"/>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Statut SID – Slovenske izvozne in razvojne banke, d.d., Ljubljana, Ljubljana, 6. 7. 2016</w:t>
      </w:r>
    </w:p>
  </w:footnote>
  <w:footnote w:id="29">
    <w:p w14:paraId="176DDE0C" w14:textId="77777777" w:rsidR="003E3ED9" w:rsidRPr="002D49C9" w:rsidRDefault="003E3ED9" w:rsidP="003E3ED9">
      <w:pPr>
        <w:pStyle w:val="Sprotnaopomba-besedilo"/>
        <w:jc w:val="both"/>
        <w:rPr>
          <w:rFonts w:cs="Arial"/>
        </w:rPr>
      </w:pPr>
      <w:r w:rsidRPr="0012530C">
        <w:rPr>
          <w:rStyle w:val="Sprotnaopomba-sklic"/>
          <w:rFonts w:eastAsia="Times New Roman" w:cs="Arial"/>
          <w:sz w:val="16"/>
        </w:rPr>
        <w:footnoteRef/>
      </w:r>
      <w:r w:rsidRPr="003101A6">
        <w:rPr>
          <w:rFonts w:cs="Arial"/>
          <w:sz w:val="16"/>
        </w:rPr>
        <w:t xml:space="preserve"> </w:t>
      </w:r>
      <w:r w:rsidRPr="003101A6">
        <w:rPr>
          <w:rFonts w:cs="Arial"/>
          <w:sz w:val="16"/>
        </w:rPr>
        <w:t>Zakon o zavarovanju in financiranju mednarodnih gospodarskih poslov (Uradni list RS, št. 2/04, 56/08 – ZSIRB in 82/15)</w:t>
      </w:r>
    </w:p>
  </w:footnote>
  <w:footnote w:id="30">
    <w:p w14:paraId="6CEC357E" w14:textId="77777777" w:rsidR="003E3ED9" w:rsidRPr="003101A6" w:rsidRDefault="003E3ED9" w:rsidP="003E3ED9">
      <w:pPr>
        <w:pStyle w:val="Sprotnaopomba-besedilo"/>
        <w:rPr>
          <w:rFonts w:cs="Arial"/>
          <w:sz w:val="16"/>
          <w:lang w:eastAsia="sl-SI"/>
        </w:rPr>
      </w:pPr>
      <w:r w:rsidRPr="003101A6">
        <w:rPr>
          <w:rFonts w:cs="Arial"/>
          <w:sz w:val="16"/>
          <w:vertAlign w:val="superscript"/>
          <w:lang w:eastAsia="sl-SI"/>
        </w:rPr>
        <w:footnoteRef/>
      </w:r>
      <w:r w:rsidRPr="003101A6">
        <w:rPr>
          <w:rFonts w:cs="Arial"/>
          <w:sz w:val="16"/>
          <w:lang w:eastAsia="sl-SI"/>
        </w:rPr>
        <w:t xml:space="preserve"> </w:t>
      </w:r>
      <w:r w:rsidRPr="003101A6">
        <w:rPr>
          <w:rFonts w:cs="Arial"/>
          <w:sz w:val="16"/>
          <w:lang w:eastAsia="sl-SI"/>
        </w:rPr>
        <w:t>Zakon o Vladi Republike Slovenije v 8. členu določa, katera so resorna ministrstva.</w:t>
      </w:r>
    </w:p>
  </w:footnote>
  <w:footnote w:id="31">
    <w:p w14:paraId="3CCD1963" w14:textId="77777777" w:rsidR="003E3ED9" w:rsidRPr="00442423" w:rsidRDefault="003E3ED9" w:rsidP="003E3ED9">
      <w:pPr>
        <w:pStyle w:val="odstavek1"/>
        <w:spacing w:before="0"/>
        <w:ind w:firstLine="0"/>
        <w:rPr>
          <w:sz w:val="16"/>
          <w:szCs w:val="16"/>
        </w:rPr>
      </w:pPr>
      <w:r w:rsidRPr="0012530C">
        <w:rPr>
          <w:rStyle w:val="Sprotnaopomba-sklic"/>
          <w:rFonts w:eastAsiaTheme="majorEastAsia"/>
          <w:sz w:val="16"/>
          <w:szCs w:val="20"/>
        </w:rPr>
        <w:footnoteRef/>
      </w:r>
      <w:r w:rsidRPr="003101A6">
        <w:rPr>
          <w:sz w:val="16"/>
          <w:szCs w:val="20"/>
        </w:rPr>
        <w:t xml:space="preserve"> </w:t>
      </w:r>
      <w:r w:rsidRPr="003101A6">
        <w:rPr>
          <w:sz w:val="16"/>
          <w:szCs w:val="20"/>
        </w:rPr>
        <w:t>V 30. členu Zakona o državni upravi so določene naloge MGRT: »Ministrstvo za gospodarski razvoj in tehnologijo opravlja naloge na področjih ekonomskega sistema in razvoja, notranjega trga, tehnične zakonodaje in meril, varstva potrošnikov, varstva konkurence, ekonomskih odnosov s tujino, razvoja podjetniškega sektorja in konkurenčnosti, socialnega podjetništva, intelektualne lastnine, drobnega gospodarstva in turizma, industrijskih projektov, pokopališke in pogrebne dejavnosti, naloge na področju regionalnega razvoja ter naloge na področju tehnologije, meroslovja in pošte.«</w:t>
      </w:r>
    </w:p>
  </w:footnote>
  <w:footnote w:id="32">
    <w:p w14:paraId="2353B31F" w14:textId="77777777" w:rsidR="003E3ED9" w:rsidRDefault="003E3ED9" w:rsidP="003E3ED9">
      <w:pPr>
        <w:pStyle w:val="Sprotnaopomba-besedilo"/>
      </w:pPr>
      <w:r w:rsidRPr="00346BF9">
        <w:rPr>
          <w:rStyle w:val="Sprotnaopomba-sklic"/>
          <w:sz w:val="16"/>
        </w:rPr>
        <w:footnoteRef/>
      </w:r>
      <w:r w:rsidRPr="00346BF9">
        <w:rPr>
          <w:sz w:val="16"/>
        </w:rPr>
        <w:t xml:space="preserve"> </w:t>
      </w:r>
      <w:r w:rsidRPr="00346BF9">
        <w:rPr>
          <w:sz w:val="16"/>
        </w:rPr>
        <w:t>Oziroma 234,73 mio EUR po znižanju podpore EU za PN 4.1 EE v letu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8B54" w14:textId="77777777" w:rsidR="006C01FC" w:rsidRPr="00110CBD" w:rsidRDefault="006C01F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01"/>
    </w:tblGrid>
    <w:tr w:rsidR="006C01FC" w:rsidRPr="008F3500" w14:paraId="73EC74BB" w14:textId="77777777" w:rsidTr="00537C34">
      <w:trPr>
        <w:cantSplit/>
        <w:trHeight w:hRule="exact" w:val="737"/>
      </w:trPr>
      <w:tc>
        <w:tcPr>
          <w:tcW w:w="649" w:type="dxa"/>
        </w:tcPr>
        <w:p w14:paraId="3D5D85FA" w14:textId="77777777" w:rsidR="006C01FC" w:rsidRPr="006D42D9" w:rsidRDefault="00C97431" w:rsidP="006D42D9">
          <w:pPr>
            <w:rPr>
              <w:rFonts w:ascii="Republika" w:hAnsi="Republika"/>
              <w:sz w:val="60"/>
              <w:szCs w:val="60"/>
            </w:rPr>
          </w:pPr>
          <w:r>
            <w:rPr>
              <w:rFonts w:ascii="Republika" w:hAnsi="Republika"/>
              <w:noProof/>
              <w:sz w:val="60"/>
              <w:szCs w:val="60"/>
              <w:lang w:eastAsia="sl-SI"/>
            </w:rPr>
            <w:drawing>
              <wp:inline distT="0" distB="0" distL="0" distR="0" wp14:anchorId="2C37379A" wp14:editId="5D5CDA79">
                <wp:extent cx="307975" cy="34671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inline>
            </w:drawing>
          </w:r>
        </w:p>
        <w:p w14:paraId="47E99D8A" w14:textId="77777777" w:rsidR="006C01FC" w:rsidRPr="006D42D9" w:rsidRDefault="006C01FC" w:rsidP="006D42D9">
          <w:pPr>
            <w:rPr>
              <w:rFonts w:ascii="Republika" w:hAnsi="Republika"/>
              <w:sz w:val="60"/>
              <w:szCs w:val="60"/>
            </w:rPr>
          </w:pPr>
        </w:p>
        <w:p w14:paraId="684D892D" w14:textId="77777777" w:rsidR="006C01FC" w:rsidRPr="006D42D9" w:rsidRDefault="006C01FC" w:rsidP="006D42D9">
          <w:pPr>
            <w:rPr>
              <w:rFonts w:ascii="Republika" w:hAnsi="Republika"/>
              <w:sz w:val="60"/>
              <w:szCs w:val="60"/>
            </w:rPr>
          </w:pPr>
        </w:p>
        <w:p w14:paraId="01947F95" w14:textId="77777777" w:rsidR="006C01FC" w:rsidRPr="006D42D9" w:rsidRDefault="006C01FC" w:rsidP="006D42D9">
          <w:pPr>
            <w:rPr>
              <w:rFonts w:ascii="Republika" w:hAnsi="Republika"/>
              <w:sz w:val="60"/>
              <w:szCs w:val="60"/>
            </w:rPr>
          </w:pPr>
        </w:p>
        <w:p w14:paraId="38EF30C0" w14:textId="77777777" w:rsidR="006C01FC" w:rsidRPr="006D42D9" w:rsidRDefault="006C01FC" w:rsidP="006D42D9">
          <w:pPr>
            <w:rPr>
              <w:rFonts w:ascii="Republika" w:hAnsi="Republika"/>
              <w:sz w:val="60"/>
              <w:szCs w:val="60"/>
            </w:rPr>
          </w:pPr>
        </w:p>
        <w:p w14:paraId="4B2E0360" w14:textId="77777777" w:rsidR="006C01FC" w:rsidRPr="006D42D9" w:rsidRDefault="006C01FC" w:rsidP="006D42D9">
          <w:pPr>
            <w:rPr>
              <w:rFonts w:ascii="Republika" w:hAnsi="Republika"/>
              <w:sz w:val="60"/>
              <w:szCs w:val="60"/>
            </w:rPr>
          </w:pPr>
        </w:p>
        <w:p w14:paraId="3F446612" w14:textId="77777777" w:rsidR="006C01FC" w:rsidRPr="006D42D9" w:rsidRDefault="006C01FC" w:rsidP="006D42D9">
          <w:pPr>
            <w:rPr>
              <w:rFonts w:ascii="Republika" w:hAnsi="Republika"/>
              <w:sz w:val="60"/>
              <w:szCs w:val="60"/>
            </w:rPr>
          </w:pPr>
        </w:p>
        <w:p w14:paraId="3E0CA578" w14:textId="77777777" w:rsidR="006C01FC" w:rsidRPr="006D42D9" w:rsidRDefault="006C01FC" w:rsidP="006D42D9">
          <w:pPr>
            <w:rPr>
              <w:rFonts w:ascii="Republika" w:hAnsi="Republika"/>
              <w:sz w:val="60"/>
              <w:szCs w:val="60"/>
            </w:rPr>
          </w:pPr>
        </w:p>
        <w:p w14:paraId="0634B9C6" w14:textId="77777777" w:rsidR="006C01FC" w:rsidRPr="006D42D9" w:rsidRDefault="006C01FC" w:rsidP="006D42D9">
          <w:pPr>
            <w:rPr>
              <w:rFonts w:ascii="Republika" w:hAnsi="Republika"/>
              <w:sz w:val="60"/>
              <w:szCs w:val="60"/>
            </w:rPr>
          </w:pPr>
        </w:p>
        <w:p w14:paraId="2FC797DA" w14:textId="77777777" w:rsidR="006C01FC" w:rsidRPr="006D42D9" w:rsidRDefault="006C01FC" w:rsidP="006D42D9">
          <w:pPr>
            <w:rPr>
              <w:rFonts w:ascii="Republika" w:hAnsi="Republika"/>
              <w:sz w:val="60"/>
              <w:szCs w:val="60"/>
            </w:rPr>
          </w:pPr>
        </w:p>
        <w:p w14:paraId="17196582" w14:textId="77777777" w:rsidR="006C01FC" w:rsidRPr="006D42D9" w:rsidRDefault="006C01FC" w:rsidP="006D42D9">
          <w:pPr>
            <w:rPr>
              <w:rFonts w:ascii="Republika" w:hAnsi="Republika"/>
              <w:sz w:val="60"/>
              <w:szCs w:val="60"/>
            </w:rPr>
          </w:pPr>
        </w:p>
        <w:p w14:paraId="4457E180" w14:textId="77777777" w:rsidR="006C01FC" w:rsidRPr="006D42D9" w:rsidRDefault="006C01FC" w:rsidP="006D42D9">
          <w:pPr>
            <w:rPr>
              <w:rFonts w:ascii="Republika" w:hAnsi="Republika"/>
              <w:sz w:val="60"/>
              <w:szCs w:val="60"/>
            </w:rPr>
          </w:pPr>
        </w:p>
        <w:p w14:paraId="7A72CAF5" w14:textId="77777777" w:rsidR="006C01FC" w:rsidRPr="006D42D9" w:rsidRDefault="006C01FC" w:rsidP="006D42D9">
          <w:pPr>
            <w:rPr>
              <w:rFonts w:ascii="Republika" w:hAnsi="Republika"/>
              <w:sz w:val="60"/>
              <w:szCs w:val="60"/>
            </w:rPr>
          </w:pPr>
        </w:p>
        <w:p w14:paraId="20E10295" w14:textId="77777777" w:rsidR="006C01FC" w:rsidRPr="006D42D9" w:rsidRDefault="006C01FC" w:rsidP="006D42D9">
          <w:pPr>
            <w:rPr>
              <w:rFonts w:ascii="Republika" w:hAnsi="Republika"/>
              <w:sz w:val="60"/>
              <w:szCs w:val="60"/>
            </w:rPr>
          </w:pPr>
        </w:p>
        <w:p w14:paraId="732CBF0E" w14:textId="77777777" w:rsidR="006C01FC" w:rsidRPr="006D42D9" w:rsidRDefault="006C01FC" w:rsidP="006D42D9">
          <w:pPr>
            <w:rPr>
              <w:rFonts w:ascii="Republika" w:hAnsi="Republika"/>
              <w:sz w:val="60"/>
              <w:szCs w:val="60"/>
            </w:rPr>
          </w:pPr>
        </w:p>
        <w:p w14:paraId="16AA6D61" w14:textId="77777777" w:rsidR="006C01FC" w:rsidRDefault="006C01FC" w:rsidP="006D42D9">
          <w:pPr>
            <w:rPr>
              <w:rFonts w:ascii="Republika" w:hAnsi="Republika"/>
              <w:sz w:val="60"/>
              <w:szCs w:val="60"/>
            </w:rPr>
          </w:pPr>
        </w:p>
        <w:p w14:paraId="2332EE4B" w14:textId="77777777" w:rsidR="00537C34" w:rsidRPr="006D42D9" w:rsidRDefault="00537C34" w:rsidP="006D42D9">
          <w:pPr>
            <w:rPr>
              <w:rFonts w:ascii="Republika" w:hAnsi="Republika"/>
              <w:sz w:val="60"/>
              <w:szCs w:val="60"/>
            </w:rPr>
          </w:pPr>
        </w:p>
      </w:tc>
    </w:tr>
  </w:tbl>
  <w:p w14:paraId="514720B2" w14:textId="77777777" w:rsidR="00946C49" w:rsidRPr="008F3500" w:rsidRDefault="00C97431" w:rsidP="00946C49">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4E363164" wp14:editId="1011B694">
              <wp:simplePos x="0" y="0"/>
              <wp:positionH relativeFrom="column">
                <wp:posOffset>-431800</wp:posOffset>
              </wp:positionH>
              <wp:positionV relativeFrom="page">
                <wp:posOffset>3600450</wp:posOffset>
              </wp:positionV>
              <wp:extent cx="252095" cy="0"/>
              <wp:effectExtent l="6350" t="9525" r="825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2745"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946C49" w:rsidRPr="008F3500">
      <w:rPr>
        <w:rFonts w:ascii="Republika" w:hAnsi="Republika"/>
      </w:rPr>
      <w:t>REPUBLIKA SLOVENIJA</w:t>
    </w:r>
  </w:p>
  <w:p w14:paraId="30BE22C2" w14:textId="77777777" w:rsidR="00946C49" w:rsidRPr="00946C49" w:rsidRDefault="00856825"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gospodarski razvoj in tehnologijo</w:t>
    </w:r>
  </w:p>
  <w:p w14:paraId="09483B01" w14:textId="77777777" w:rsidR="005712A3" w:rsidRDefault="005712A3" w:rsidP="005712A3">
    <w:pPr>
      <w:pStyle w:val="Glava"/>
      <w:tabs>
        <w:tab w:val="clear" w:pos="4320"/>
        <w:tab w:val="clear" w:pos="8640"/>
        <w:tab w:val="left" w:pos="5112"/>
      </w:tabs>
      <w:spacing w:before="240" w:line="240" w:lineRule="exact"/>
      <w:rPr>
        <w:rFonts w:cs="Arial"/>
        <w:sz w:val="16"/>
      </w:rPr>
    </w:pPr>
  </w:p>
  <w:p w14:paraId="330C56A0" w14:textId="310C9984" w:rsidR="00872C07" w:rsidRPr="008F3500" w:rsidRDefault="00872C07" w:rsidP="00872C07">
    <w:pPr>
      <w:pStyle w:val="Glava"/>
      <w:tabs>
        <w:tab w:val="clear" w:pos="4320"/>
        <w:tab w:val="clear" w:pos="8640"/>
        <w:tab w:val="left" w:pos="5112"/>
      </w:tabs>
      <w:spacing w:before="240" w:line="240" w:lineRule="exact"/>
      <w:rPr>
        <w:rFonts w:cs="Arial"/>
        <w:sz w:val="16"/>
      </w:rPr>
    </w:pPr>
    <w:r>
      <w:rPr>
        <w:rFonts w:cs="Arial"/>
        <w:sz w:val="16"/>
      </w:rPr>
      <w:t xml:space="preserve">Kotnikova </w:t>
    </w:r>
    <w:r w:rsidR="002D3C86">
      <w:rPr>
        <w:rFonts w:cs="Arial"/>
        <w:sz w:val="16"/>
      </w:rPr>
      <w:t xml:space="preserve">ulica </w:t>
    </w:r>
    <w:r>
      <w:rPr>
        <w:rFonts w:cs="Arial"/>
        <w:sz w:val="16"/>
      </w:rPr>
      <w:t>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p>
  <w:p w14:paraId="7B6419FA" w14:textId="14F272EA" w:rsidR="00872C07" w:rsidRPr="008F3500" w:rsidRDefault="00872C07" w:rsidP="00872C07">
    <w:pPr>
      <w:pStyle w:val="Glava"/>
      <w:tabs>
        <w:tab w:val="clear" w:pos="4320"/>
        <w:tab w:val="clear" w:pos="8640"/>
        <w:tab w:val="left" w:pos="5112"/>
      </w:tabs>
      <w:spacing w:line="240" w:lineRule="exact"/>
      <w:rPr>
        <w:rFonts w:cs="Arial"/>
        <w:sz w:val="16"/>
      </w:rPr>
    </w:pPr>
  </w:p>
  <w:p w14:paraId="4A459490" w14:textId="77777777" w:rsidR="00872C07" w:rsidRPr="008F3500" w:rsidRDefault="00872C07"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9A1D23" w:rsidRPr="009403F0">
        <w:rPr>
          <w:rStyle w:val="Hiperpovezava"/>
          <w:rFonts w:cs="Arial"/>
          <w:sz w:val="16"/>
        </w:rPr>
        <w:t>gp.mgrt@gov.si</w:t>
      </w:r>
    </w:hyperlink>
    <w:r w:rsidR="009A1D23">
      <w:rPr>
        <w:rFonts w:cs="Arial"/>
        <w:sz w:val="16"/>
      </w:rPr>
      <w:t xml:space="preserve"> </w:t>
    </w:r>
  </w:p>
  <w:p w14:paraId="6A61452E" w14:textId="77777777" w:rsidR="00872C07" w:rsidRPr="008F3500" w:rsidRDefault="00872C07"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9A1D23" w:rsidRPr="009403F0">
        <w:rPr>
          <w:rStyle w:val="Hiperpovezava"/>
          <w:rFonts w:cs="Arial"/>
          <w:sz w:val="16"/>
        </w:rPr>
        <w:t>www.mgrt.gov.si</w:t>
      </w:r>
    </w:hyperlink>
    <w:r w:rsidR="009A1D23">
      <w:rPr>
        <w:rFonts w:cs="Arial"/>
        <w:sz w:val="16"/>
      </w:rPr>
      <w:t xml:space="preserve"> </w:t>
    </w:r>
  </w:p>
  <w:p w14:paraId="30A7F2FE" w14:textId="77777777" w:rsidR="00EC0549" w:rsidRPr="008F3500" w:rsidRDefault="00EC0549" w:rsidP="00EC0549">
    <w:pPr>
      <w:pStyle w:val="Glava"/>
      <w:tabs>
        <w:tab w:val="clear" w:pos="4320"/>
        <w:tab w:val="clear" w:pos="8640"/>
        <w:tab w:val="left" w:pos="5112"/>
      </w:tabs>
      <w:spacing w:line="240" w:lineRule="exact"/>
      <w:rPr>
        <w:rFonts w:cs="Arial"/>
        <w:sz w:val="16"/>
      </w:rPr>
    </w:pPr>
  </w:p>
  <w:p w14:paraId="3621C8B9" w14:textId="77777777" w:rsidR="00B76818" w:rsidRPr="008F3500" w:rsidRDefault="00B76818" w:rsidP="00B76818">
    <w:pPr>
      <w:pStyle w:val="Glava"/>
      <w:tabs>
        <w:tab w:val="clear" w:pos="4320"/>
        <w:tab w:val="clear" w:pos="8640"/>
        <w:tab w:val="left" w:pos="5112"/>
      </w:tabs>
      <w:spacing w:line="240" w:lineRule="exact"/>
      <w:rPr>
        <w:rFonts w:cs="Arial"/>
        <w:sz w:val="16"/>
      </w:rPr>
    </w:pPr>
    <w:r w:rsidRPr="008F3500">
      <w:rPr>
        <w:rFonts w:cs="Arial"/>
        <w:sz w:val="16"/>
      </w:rPr>
      <w:tab/>
    </w:r>
  </w:p>
  <w:p w14:paraId="491E41DD" w14:textId="77777777" w:rsidR="006C01FC" w:rsidRPr="008F3500" w:rsidRDefault="006C01FC"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18617BA"/>
    <w:multiLevelType w:val="hybridMultilevel"/>
    <w:tmpl w:val="FE50FAFA"/>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965242"/>
    <w:multiLevelType w:val="hybridMultilevel"/>
    <w:tmpl w:val="77E87B7A"/>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EC3C77"/>
    <w:multiLevelType w:val="hybridMultilevel"/>
    <w:tmpl w:val="B79C68FA"/>
    <w:lvl w:ilvl="0" w:tplc="04240017">
      <w:start w:val="1"/>
      <w:numFmt w:val="lowerLetter"/>
      <w:pStyle w:val="Oznaenseznam5"/>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71F1B"/>
    <w:multiLevelType w:val="hybridMultilevel"/>
    <w:tmpl w:val="2158A4C4"/>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056458"/>
    <w:multiLevelType w:val="hybridMultilevel"/>
    <w:tmpl w:val="C418863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1334EB"/>
    <w:multiLevelType w:val="hybridMultilevel"/>
    <w:tmpl w:val="9A2861FE"/>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5E7194"/>
    <w:multiLevelType w:val="hybridMultilevel"/>
    <w:tmpl w:val="2DCA0F2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952703"/>
    <w:multiLevelType w:val="hybridMultilevel"/>
    <w:tmpl w:val="989E930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5B09D5"/>
    <w:multiLevelType w:val="hybridMultilevel"/>
    <w:tmpl w:val="CD34FD8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0481"/>
    <w:multiLevelType w:val="hybridMultilevel"/>
    <w:tmpl w:val="E08CF0D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E872FB"/>
    <w:multiLevelType w:val="hybridMultilevel"/>
    <w:tmpl w:val="C102233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A54F7C"/>
    <w:multiLevelType w:val="hybridMultilevel"/>
    <w:tmpl w:val="2BA479DA"/>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397EAC"/>
    <w:multiLevelType w:val="hybridMultilevel"/>
    <w:tmpl w:val="A78AE5CE"/>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8" w15:restartNumberingAfterBreak="0">
    <w:nsid w:val="20ED54B3"/>
    <w:multiLevelType w:val="hybridMultilevel"/>
    <w:tmpl w:val="404E545E"/>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051296"/>
    <w:multiLevelType w:val="hybridMultilevel"/>
    <w:tmpl w:val="65BA0258"/>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pStyle w:val="Naslov2"/>
      <w:lvlText w:val=""/>
      <w:lvlJc w:val="left"/>
      <w:pPr>
        <w:tabs>
          <w:tab w:val="num" w:pos="1789"/>
        </w:tabs>
        <w:ind w:left="1789" w:hanging="360"/>
      </w:pPr>
      <w:rPr>
        <w:rFonts w:ascii="Wingdings" w:hAnsi="Wingdings" w:cs="Wingdings" w:hint="default"/>
        <w:sz w:val="18"/>
        <w:szCs w:val="18"/>
      </w:rPr>
    </w:lvl>
    <w:lvl w:ilvl="2" w:tplc="04240005">
      <w:start w:val="1"/>
      <w:numFmt w:val="bullet"/>
      <w:pStyle w:val="Naslov31"/>
      <w:lvlText w:val=""/>
      <w:lvlJc w:val="left"/>
      <w:pPr>
        <w:tabs>
          <w:tab w:val="num" w:pos="2509"/>
        </w:tabs>
        <w:ind w:left="2509" w:hanging="360"/>
      </w:pPr>
      <w:rPr>
        <w:rFonts w:ascii="Wingdings" w:hAnsi="Wingdings" w:cs="Wingdings" w:hint="default"/>
      </w:rPr>
    </w:lvl>
    <w:lvl w:ilvl="3" w:tplc="04240001">
      <w:start w:val="1"/>
      <w:numFmt w:val="bullet"/>
      <w:pStyle w:val="Naslov41"/>
      <w:lvlText w:val=""/>
      <w:lvlJc w:val="left"/>
      <w:pPr>
        <w:tabs>
          <w:tab w:val="num" w:pos="3229"/>
        </w:tabs>
        <w:ind w:left="3229" w:hanging="360"/>
      </w:pPr>
      <w:rPr>
        <w:rFonts w:ascii="Symbol" w:hAnsi="Symbol" w:cs="Symbol" w:hint="default"/>
      </w:rPr>
    </w:lvl>
    <w:lvl w:ilvl="4" w:tplc="0424000B">
      <w:start w:val="1"/>
      <w:numFmt w:val="bullet"/>
      <w:pStyle w:val="Naslov5"/>
      <w:lvlText w:val=""/>
      <w:lvlJc w:val="left"/>
      <w:pPr>
        <w:ind w:left="3949" w:hanging="360"/>
      </w:pPr>
      <w:rPr>
        <w:rFonts w:ascii="Wingdings" w:hAnsi="Wingdings" w:cs="Wingdings" w:hint="default"/>
      </w:rPr>
    </w:lvl>
    <w:lvl w:ilvl="5" w:tplc="04240005">
      <w:start w:val="1"/>
      <w:numFmt w:val="bullet"/>
      <w:pStyle w:val="Naslov61"/>
      <w:lvlText w:val=""/>
      <w:lvlJc w:val="left"/>
      <w:pPr>
        <w:tabs>
          <w:tab w:val="num" w:pos="4669"/>
        </w:tabs>
        <w:ind w:left="4669" w:hanging="360"/>
      </w:pPr>
      <w:rPr>
        <w:rFonts w:ascii="Wingdings" w:hAnsi="Wingdings" w:cs="Wingdings" w:hint="default"/>
      </w:rPr>
    </w:lvl>
    <w:lvl w:ilvl="6" w:tplc="04240001">
      <w:start w:val="1"/>
      <w:numFmt w:val="bullet"/>
      <w:pStyle w:val="Naslov71"/>
      <w:lvlText w:val=""/>
      <w:lvlJc w:val="left"/>
      <w:pPr>
        <w:tabs>
          <w:tab w:val="num" w:pos="5389"/>
        </w:tabs>
        <w:ind w:left="5389" w:hanging="360"/>
      </w:pPr>
      <w:rPr>
        <w:rFonts w:ascii="Symbol" w:hAnsi="Symbol" w:cs="Symbol" w:hint="default"/>
      </w:rPr>
    </w:lvl>
    <w:lvl w:ilvl="7" w:tplc="04240003">
      <w:start w:val="1"/>
      <w:numFmt w:val="bullet"/>
      <w:pStyle w:val="Naslov81"/>
      <w:lvlText w:val="o"/>
      <w:lvlJc w:val="left"/>
      <w:pPr>
        <w:tabs>
          <w:tab w:val="num" w:pos="6109"/>
        </w:tabs>
        <w:ind w:left="6109" w:hanging="360"/>
      </w:pPr>
      <w:rPr>
        <w:rFonts w:ascii="Courier New" w:hAnsi="Courier New" w:cs="Courier New" w:hint="default"/>
      </w:rPr>
    </w:lvl>
    <w:lvl w:ilvl="8" w:tplc="04240005">
      <w:start w:val="1"/>
      <w:numFmt w:val="bullet"/>
      <w:pStyle w:val="Naslov91"/>
      <w:lvlText w:val=""/>
      <w:lvlJc w:val="left"/>
      <w:pPr>
        <w:tabs>
          <w:tab w:val="num" w:pos="6829"/>
        </w:tabs>
        <w:ind w:left="6829" w:hanging="360"/>
      </w:pPr>
      <w:rPr>
        <w:rFonts w:ascii="Wingdings" w:hAnsi="Wingdings" w:cs="Wingdings" w:hint="default"/>
      </w:rPr>
    </w:lvl>
  </w:abstractNum>
  <w:abstractNum w:abstractNumId="21"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49089D"/>
    <w:multiLevelType w:val="hybridMultilevel"/>
    <w:tmpl w:val="442C97B4"/>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E7D1A77"/>
    <w:multiLevelType w:val="hybridMultilevel"/>
    <w:tmpl w:val="E440F45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ED626B"/>
    <w:multiLevelType w:val="hybridMultilevel"/>
    <w:tmpl w:val="D160D0C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8FE369C"/>
    <w:multiLevelType w:val="hybridMultilevel"/>
    <w:tmpl w:val="846E153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B283050"/>
    <w:multiLevelType w:val="hybridMultilevel"/>
    <w:tmpl w:val="5DDE7512"/>
    <w:lvl w:ilvl="0" w:tplc="B5DEBA36">
      <w:start w:val="2"/>
      <w:numFmt w:val="bullet"/>
      <w:lvlText w:val="-"/>
      <w:lvlJc w:val="left"/>
      <w:pPr>
        <w:ind w:left="644"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351C31"/>
    <w:multiLevelType w:val="hybridMultilevel"/>
    <w:tmpl w:val="5D68E0A2"/>
    <w:lvl w:ilvl="0" w:tplc="E8A48CB6">
      <w:start w:val="1"/>
      <w:numFmt w:val="decimal"/>
      <w:lvlText w:val="%1."/>
      <w:lvlJc w:val="left"/>
      <w:pPr>
        <w:ind w:left="720" w:hanging="360"/>
      </w:pPr>
      <w:rPr>
        <w:rFonts w:ascii="Arial"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F8B09C1"/>
    <w:multiLevelType w:val="hybridMultilevel"/>
    <w:tmpl w:val="A8C879F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2D1183"/>
    <w:multiLevelType w:val="hybridMultilevel"/>
    <w:tmpl w:val="F6C46AAE"/>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B34196"/>
    <w:multiLevelType w:val="hybridMultilevel"/>
    <w:tmpl w:val="9F342EC4"/>
    <w:lvl w:ilvl="0" w:tplc="E8A48CB6">
      <w:start w:val="1"/>
      <w:numFmt w:val="decimal"/>
      <w:lvlText w:val="%1."/>
      <w:lvlJc w:val="left"/>
      <w:pPr>
        <w:ind w:left="720" w:hanging="360"/>
      </w:pPr>
      <w:rPr>
        <w:rFonts w:ascii="Arial"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7956A8C"/>
    <w:multiLevelType w:val="hybridMultilevel"/>
    <w:tmpl w:val="8258FE9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BAE0EF3"/>
    <w:multiLevelType w:val="hybridMultilevel"/>
    <w:tmpl w:val="74704856"/>
    <w:lvl w:ilvl="0" w:tplc="D12C1E8C">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296EB8"/>
    <w:multiLevelType w:val="hybridMultilevel"/>
    <w:tmpl w:val="D436A088"/>
    <w:lvl w:ilvl="0" w:tplc="233E7242">
      <w:numFmt w:val="bullet"/>
      <w:pStyle w:val="Oznaenseznam3"/>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8" w15:restartNumberingAfterBreak="0">
    <w:nsid w:val="4F8F7983"/>
    <w:multiLevelType w:val="hybridMultilevel"/>
    <w:tmpl w:val="E2F0B9D0"/>
    <w:lvl w:ilvl="0" w:tplc="E8A48CB6">
      <w:start w:val="1"/>
      <w:numFmt w:val="decimal"/>
      <w:lvlText w:val="%1."/>
      <w:lvlJc w:val="left"/>
      <w:pPr>
        <w:ind w:left="720" w:hanging="360"/>
      </w:pPr>
      <w:rPr>
        <w:rFonts w:ascii="Arial" w:hAnsi="Arial"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F942A6E"/>
    <w:multiLevelType w:val="hybridMultilevel"/>
    <w:tmpl w:val="049C371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DC033E"/>
    <w:multiLevelType w:val="hybridMultilevel"/>
    <w:tmpl w:val="169CDEB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0C02E56"/>
    <w:multiLevelType w:val="hybridMultilevel"/>
    <w:tmpl w:val="ABA4522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0C14B23"/>
    <w:multiLevelType w:val="hybridMultilevel"/>
    <w:tmpl w:val="A99AFF24"/>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14D3918"/>
    <w:multiLevelType w:val="hybridMultilevel"/>
    <w:tmpl w:val="2D28D26A"/>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45" w15:restartNumberingAfterBreak="0">
    <w:nsid w:val="58341DBD"/>
    <w:multiLevelType w:val="hybridMultilevel"/>
    <w:tmpl w:val="FADA1FA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47" w15:restartNumberingAfterBreak="0">
    <w:nsid w:val="5A7D4566"/>
    <w:multiLevelType w:val="hybridMultilevel"/>
    <w:tmpl w:val="3510FBC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EB51BEE"/>
    <w:multiLevelType w:val="hybridMultilevel"/>
    <w:tmpl w:val="5FC43C1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FC60861"/>
    <w:multiLevelType w:val="hybridMultilevel"/>
    <w:tmpl w:val="6164C99E"/>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07C51A4"/>
    <w:multiLevelType w:val="hybridMultilevel"/>
    <w:tmpl w:val="B134890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1A5C75"/>
    <w:multiLevelType w:val="hybridMultilevel"/>
    <w:tmpl w:val="4A004134"/>
    <w:lvl w:ilvl="0" w:tplc="B5DEBA36">
      <w:start w:val="2"/>
      <w:numFmt w:val="bullet"/>
      <w:pStyle w:val="Oznaenseznam"/>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3F3A7D"/>
    <w:multiLevelType w:val="hybridMultilevel"/>
    <w:tmpl w:val="BBB49DB6"/>
    <w:lvl w:ilvl="0" w:tplc="04240017">
      <w:start w:val="1"/>
      <w:numFmt w:val="lowerLetter"/>
      <w:lvlText w:val="%1)"/>
      <w:lvlJc w:val="left"/>
      <w:pPr>
        <w:ind w:left="720" w:hanging="360"/>
      </w:pPr>
    </w:lvl>
    <w:lvl w:ilvl="1" w:tplc="D12C1E8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AFC2139"/>
    <w:multiLevelType w:val="hybridMultilevel"/>
    <w:tmpl w:val="8D50CC9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D1E5E2E"/>
    <w:multiLevelType w:val="hybridMultilevel"/>
    <w:tmpl w:val="C9E01010"/>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1424346"/>
    <w:multiLevelType w:val="hybridMultilevel"/>
    <w:tmpl w:val="3BAEEA32"/>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159455B"/>
    <w:multiLevelType w:val="hybridMultilevel"/>
    <w:tmpl w:val="D5A81164"/>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17B43F2"/>
    <w:multiLevelType w:val="multilevel"/>
    <w:tmpl w:val="20A6E5BC"/>
    <w:lvl w:ilvl="0">
      <w:start w:val="1"/>
      <w:numFmt w:val="bullet"/>
      <w:pStyle w:val="Oznaenseznam1"/>
      <w:lvlText w:val="•"/>
      <w:lvlJc w:val="left"/>
      <w:pPr>
        <w:tabs>
          <w:tab w:val="num" w:pos="346"/>
        </w:tabs>
        <w:ind w:left="346" w:hanging="346"/>
      </w:pPr>
      <w:rPr>
        <w:rFonts w:ascii="Georgia" w:hAnsi="Georgia" w:hint="default"/>
        <w:color w:val="auto"/>
      </w:rPr>
    </w:lvl>
    <w:lvl w:ilvl="1">
      <w:start w:val="1"/>
      <w:numFmt w:val="bullet"/>
      <w:pStyle w:val="Oznaenseznam21"/>
      <w:lvlText w:val="-"/>
      <w:lvlJc w:val="left"/>
      <w:pPr>
        <w:tabs>
          <w:tab w:val="num" w:pos="691"/>
        </w:tabs>
        <w:ind w:left="691" w:hanging="345"/>
      </w:pPr>
      <w:rPr>
        <w:rFonts w:ascii="Arial" w:hAnsi="Arial" w:hint="default"/>
        <w:color w:val="auto"/>
      </w:rPr>
    </w:lvl>
    <w:lvl w:ilvl="2">
      <w:start w:val="1"/>
      <w:numFmt w:val="bullet"/>
      <w:pStyle w:val="Oznaenseznam31"/>
      <w:lvlText w:val="◦"/>
      <w:lvlJc w:val="left"/>
      <w:pPr>
        <w:tabs>
          <w:tab w:val="num" w:pos="1037"/>
        </w:tabs>
        <w:ind w:left="1037" w:hanging="346"/>
      </w:pPr>
      <w:rPr>
        <w:rFonts w:ascii="Georgia" w:hAnsi="Georgia" w:hint="default"/>
        <w:color w:val="auto"/>
      </w:rPr>
    </w:lvl>
    <w:lvl w:ilvl="3">
      <w:start w:val="1"/>
      <w:numFmt w:val="bullet"/>
      <w:pStyle w:val="Oznaenseznam41"/>
      <w:lvlText w:val="›"/>
      <w:lvlJc w:val="left"/>
      <w:pPr>
        <w:tabs>
          <w:tab w:val="num" w:pos="1382"/>
        </w:tabs>
        <w:ind w:left="1382" w:hanging="345"/>
      </w:pPr>
      <w:rPr>
        <w:rFonts w:ascii="Georgia" w:hAnsi="Georgia" w:hint="default"/>
        <w:color w:val="auto"/>
      </w:rPr>
    </w:lvl>
    <w:lvl w:ilvl="4">
      <w:start w:val="1"/>
      <w:numFmt w:val="bullet"/>
      <w:pStyle w:val="Oznaenseznam51"/>
      <w:lvlText w:val="~"/>
      <w:lvlJc w:val="left"/>
      <w:pPr>
        <w:tabs>
          <w:tab w:val="num" w:pos="1728"/>
        </w:tabs>
        <w:ind w:left="1728" w:hanging="346"/>
      </w:pPr>
      <w:rPr>
        <w:rFonts w:ascii="Georgia" w:hAnsi="Georgia" w:hint="default"/>
        <w:color w:val="auto"/>
      </w:rPr>
    </w:lvl>
    <w:lvl w:ilvl="5">
      <w:start w:val="1"/>
      <w:numFmt w:val="bullet"/>
      <w:pStyle w:val="Oznaenseznam1"/>
      <w:lvlText w:val="•"/>
      <w:lvlJc w:val="left"/>
      <w:pPr>
        <w:tabs>
          <w:tab w:val="num" w:pos="2074"/>
        </w:tabs>
        <w:ind w:left="2074" w:hanging="346"/>
      </w:pPr>
      <w:rPr>
        <w:rFonts w:ascii="Georgia" w:hAnsi="Georgia" w:hint="default"/>
        <w:color w:val="auto"/>
      </w:rPr>
    </w:lvl>
    <w:lvl w:ilvl="6">
      <w:start w:val="1"/>
      <w:numFmt w:val="bullet"/>
      <w:pStyle w:val="Oznaenseznam21"/>
      <w:lvlText w:val="-"/>
      <w:lvlJc w:val="left"/>
      <w:pPr>
        <w:tabs>
          <w:tab w:val="num" w:pos="2419"/>
        </w:tabs>
        <w:ind w:left="2419" w:hanging="345"/>
      </w:pPr>
      <w:rPr>
        <w:rFonts w:ascii="Arial" w:hAnsi="Arial" w:hint="default"/>
        <w:color w:val="auto"/>
      </w:rPr>
    </w:lvl>
    <w:lvl w:ilvl="7">
      <w:start w:val="1"/>
      <w:numFmt w:val="bullet"/>
      <w:pStyle w:val="Oznaenseznam31"/>
      <w:lvlText w:val="◦"/>
      <w:lvlJc w:val="left"/>
      <w:pPr>
        <w:tabs>
          <w:tab w:val="num" w:pos="2765"/>
        </w:tabs>
        <w:ind w:left="2765" w:hanging="346"/>
      </w:pPr>
      <w:rPr>
        <w:rFonts w:ascii="Georgia" w:hAnsi="Georgia" w:hint="default"/>
        <w:color w:val="auto"/>
      </w:rPr>
    </w:lvl>
    <w:lvl w:ilvl="8">
      <w:start w:val="1"/>
      <w:numFmt w:val="bullet"/>
      <w:pStyle w:val="Oznaenseznam41"/>
      <w:lvlText w:val="›"/>
      <w:lvlJc w:val="left"/>
      <w:pPr>
        <w:tabs>
          <w:tab w:val="num" w:pos="3110"/>
        </w:tabs>
        <w:ind w:left="3110" w:hanging="345"/>
      </w:pPr>
      <w:rPr>
        <w:rFonts w:ascii="Georgia" w:hAnsi="Georgia" w:hint="default"/>
        <w:color w:val="auto"/>
      </w:rPr>
    </w:lvl>
  </w:abstractNum>
  <w:abstractNum w:abstractNumId="58" w15:restartNumberingAfterBreak="0">
    <w:nsid w:val="72323522"/>
    <w:multiLevelType w:val="hybridMultilevel"/>
    <w:tmpl w:val="48BCA42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2934ABD"/>
    <w:multiLevelType w:val="multilevel"/>
    <w:tmpl w:val="747A11BC"/>
    <w:lvl w:ilvl="0">
      <w:start w:val="1"/>
      <w:numFmt w:val="decimal"/>
      <w:pStyle w:val="Otevilenseznam1"/>
      <w:lvlText w:val="%1."/>
      <w:lvlJc w:val="left"/>
      <w:pPr>
        <w:tabs>
          <w:tab w:val="num" w:pos="346"/>
        </w:tabs>
        <w:ind w:left="346" w:hanging="346"/>
      </w:pPr>
      <w:rPr>
        <w:rFonts w:hint="default"/>
      </w:rPr>
    </w:lvl>
    <w:lvl w:ilvl="1">
      <w:start w:val="1"/>
      <w:numFmt w:val="decimal"/>
      <w:pStyle w:val="Otevilenseznam21"/>
      <w:lvlText w:val="%2."/>
      <w:lvlJc w:val="left"/>
      <w:pPr>
        <w:tabs>
          <w:tab w:val="num" w:pos="691"/>
        </w:tabs>
        <w:ind w:left="691" w:hanging="345"/>
      </w:pPr>
      <w:rPr>
        <w:rFonts w:hint="default"/>
      </w:rPr>
    </w:lvl>
    <w:lvl w:ilvl="2">
      <w:start w:val="1"/>
      <w:numFmt w:val="decimal"/>
      <w:pStyle w:val="Otevilenseznam31"/>
      <w:lvlText w:val="%3."/>
      <w:lvlJc w:val="left"/>
      <w:pPr>
        <w:tabs>
          <w:tab w:val="num" w:pos="1037"/>
        </w:tabs>
        <w:ind w:left="1037" w:hanging="346"/>
      </w:pPr>
      <w:rPr>
        <w:rFonts w:hint="default"/>
      </w:rPr>
    </w:lvl>
    <w:lvl w:ilvl="3">
      <w:start w:val="1"/>
      <w:numFmt w:val="decimal"/>
      <w:pStyle w:val="Otevilenseznam41"/>
      <w:lvlText w:val="%4."/>
      <w:lvlJc w:val="left"/>
      <w:pPr>
        <w:tabs>
          <w:tab w:val="num" w:pos="1382"/>
        </w:tabs>
        <w:ind w:left="1382" w:hanging="345"/>
      </w:pPr>
      <w:rPr>
        <w:rFonts w:hint="default"/>
      </w:rPr>
    </w:lvl>
    <w:lvl w:ilvl="4">
      <w:start w:val="1"/>
      <w:numFmt w:val="decimal"/>
      <w:pStyle w:val="Otevilenseznam51"/>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60" w15:restartNumberingAfterBreak="0">
    <w:nsid w:val="76ED34CA"/>
    <w:multiLevelType w:val="hybridMultilevel"/>
    <w:tmpl w:val="E8F49E8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77F120A"/>
    <w:multiLevelType w:val="hybridMultilevel"/>
    <w:tmpl w:val="7490170A"/>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8022D7F"/>
    <w:multiLevelType w:val="hybridMultilevel"/>
    <w:tmpl w:val="19402198"/>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4" w15:restartNumberingAfterBreak="0">
    <w:nsid w:val="7C6A3BFF"/>
    <w:multiLevelType w:val="hybridMultilevel"/>
    <w:tmpl w:val="DDEEA4A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CD25FB1"/>
    <w:multiLevelType w:val="hybridMultilevel"/>
    <w:tmpl w:val="94F2AF4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D2F50EA"/>
    <w:multiLevelType w:val="hybridMultilevel"/>
    <w:tmpl w:val="F06C0416"/>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D8A66AE"/>
    <w:multiLevelType w:val="hybridMultilevel"/>
    <w:tmpl w:val="0248FC78"/>
    <w:lvl w:ilvl="0" w:tplc="D12C1E8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EF95C34"/>
    <w:multiLevelType w:val="hybridMultilevel"/>
    <w:tmpl w:val="20F6DD4C"/>
    <w:lvl w:ilvl="0" w:tplc="B5DEBA36">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5882749">
    <w:abstractNumId w:val="16"/>
  </w:num>
  <w:num w:numId="2" w16cid:durableId="1429156348">
    <w:abstractNumId w:val="20"/>
  </w:num>
  <w:num w:numId="3" w16cid:durableId="1389307837">
    <w:abstractNumId w:val="51"/>
  </w:num>
  <w:num w:numId="4" w16cid:durableId="932930005">
    <w:abstractNumId w:val="8"/>
  </w:num>
  <w:num w:numId="5" w16cid:durableId="1890453374">
    <w:abstractNumId w:val="36"/>
  </w:num>
  <w:num w:numId="6" w16cid:durableId="664167467">
    <w:abstractNumId w:val="37"/>
  </w:num>
  <w:num w:numId="7" w16cid:durableId="402417292">
    <w:abstractNumId w:val="4"/>
  </w:num>
  <w:num w:numId="8" w16cid:durableId="1726565154">
    <w:abstractNumId w:val="25"/>
  </w:num>
  <w:num w:numId="9" w16cid:durableId="1963026105">
    <w:abstractNumId w:val="27"/>
    <w:lvlOverride w:ilvl="0">
      <w:startOverride w:val="1"/>
    </w:lvlOverride>
  </w:num>
  <w:num w:numId="10" w16cid:durableId="902638734">
    <w:abstractNumId w:val="57"/>
  </w:num>
  <w:num w:numId="11" w16cid:durableId="193078390">
    <w:abstractNumId w:val="17"/>
  </w:num>
  <w:num w:numId="12" w16cid:durableId="2007781804">
    <w:abstractNumId w:val="0"/>
  </w:num>
  <w:num w:numId="13" w16cid:durableId="1790586058">
    <w:abstractNumId w:val="46"/>
  </w:num>
  <w:num w:numId="14" w16cid:durableId="1832259125">
    <w:abstractNumId w:val="44"/>
  </w:num>
  <w:num w:numId="15" w16cid:durableId="1038429665">
    <w:abstractNumId w:val="63"/>
  </w:num>
  <w:num w:numId="16" w16cid:durableId="1249117637">
    <w:abstractNumId w:val="21"/>
  </w:num>
  <w:num w:numId="17" w16cid:durableId="121651341">
    <w:abstractNumId w:val="29"/>
  </w:num>
  <w:num w:numId="18" w16cid:durableId="841286098">
    <w:abstractNumId w:val="5"/>
  </w:num>
  <w:num w:numId="19" w16cid:durableId="21789822">
    <w:abstractNumId w:val="3"/>
  </w:num>
  <w:num w:numId="20" w16cid:durableId="1171287644">
    <w:abstractNumId w:val="59"/>
  </w:num>
  <w:num w:numId="21" w16cid:durableId="512913070">
    <w:abstractNumId w:val="62"/>
  </w:num>
  <w:num w:numId="22" w16cid:durableId="1667005862">
    <w:abstractNumId w:val="13"/>
  </w:num>
  <w:num w:numId="23" w16cid:durableId="629240351">
    <w:abstractNumId w:val="42"/>
  </w:num>
  <w:num w:numId="24" w16cid:durableId="1877427315">
    <w:abstractNumId w:val="68"/>
  </w:num>
  <w:num w:numId="25" w16cid:durableId="883564965">
    <w:abstractNumId w:val="12"/>
  </w:num>
  <w:num w:numId="26" w16cid:durableId="1610965812">
    <w:abstractNumId w:val="28"/>
  </w:num>
  <w:num w:numId="27" w16cid:durableId="376396043">
    <w:abstractNumId w:val="14"/>
  </w:num>
  <w:num w:numId="28" w16cid:durableId="1385983768">
    <w:abstractNumId w:val="32"/>
  </w:num>
  <w:num w:numId="29" w16cid:durableId="866597391">
    <w:abstractNumId w:val="18"/>
  </w:num>
  <w:num w:numId="30" w16cid:durableId="410853212">
    <w:abstractNumId w:val="6"/>
  </w:num>
  <w:num w:numId="31" w16cid:durableId="1012493827">
    <w:abstractNumId w:val="55"/>
  </w:num>
  <w:num w:numId="32" w16cid:durableId="1086879966">
    <w:abstractNumId w:val="1"/>
  </w:num>
  <w:num w:numId="33" w16cid:durableId="642809338">
    <w:abstractNumId w:val="34"/>
  </w:num>
  <w:num w:numId="34" w16cid:durableId="790829339">
    <w:abstractNumId w:val="40"/>
  </w:num>
  <w:num w:numId="35" w16cid:durableId="1278558077">
    <w:abstractNumId w:val="61"/>
  </w:num>
  <w:num w:numId="36" w16cid:durableId="1867718085">
    <w:abstractNumId w:val="30"/>
  </w:num>
  <w:num w:numId="37" w16cid:durableId="1263565958">
    <w:abstractNumId w:val="48"/>
  </w:num>
  <w:num w:numId="38" w16cid:durableId="1641839786">
    <w:abstractNumId w:val="66"/>
  </w:num>
  <w:num w:numId="39" w16cid:durableId="1459177654">
    <w:abstractNumId w:val="52"/>
  </w:num>
  <w:num w:numId="40" w16cid:durableId="754135390">
    <w:abstractNumId w:val="47"/>
  </w:num>
  <w:num w:numId="41" w16cid:durableId="265430078">
    <w:abstractNumId w:val="26"/>
  </w:num>
  <w:num w:numId="42" w16cid:durableId="649989056">
    <w:abstractNumId w:val="53"/>
  </w:num>
  <w:num w:numId="43" w16cid:durableId="2044134273">
    <w:abstractNumId w:val="64"/>
  </w:num>
  <w:num w:numId="44" w16cid:durableId="652025717">
    <w:abstractNumId w:val="2"/>
  </w:num>
  <w:num w:numId="45" w16cid:durableId="2114352065">
    <w:abstractNumId w:val="60"/>
  </w:num>
  <w:num w:numId="46" w16cid:durableId="180552695">
    <w:abstractNumId w:val="54"/>
  </w:num>
  <w:num w:numId="47" w16cid:durableId="976028796">
    <w:abstractNumId w:val="56"/>
  </w:num>
  <w:num w:numId="48" w16cid:durableId="1036078824">
    <w:abstractNumId w:val="43"/>
  </w:num>
  <w:num w:numId="49" w16cid:durableId="1382244433">
    <w:abstractNumId w:val="58"/>
  </w:num>
  <w:num w:numId="50" w16cid:durableId="1062480843">
    <w:abstractNumId w:val="22"/>
  </w:num>
  <w:num w:numId="51" w16cid:durableId="1002389690">
    <w:abstractNumId w:val="45"/>
  </w:num>
  <w:num w:numId="52" w16cid:durableId="1351831264">
    <w:abstractNumId w:val="23"/>
  </w:num>
  <w:num w:numId="53" w16cid:durableId="919369685">
    <w:abstractNumId w:val="50"/>
  </w:num>
  <w:num w:numId="54" w16cid:durableId="1779060396">
    <w:abstractNumId w:val="33"/>
  </w:num>
  <w:num w:numId="55" w16cid:durableId="1924030655">
    <w:abstractNumId w:val="41"/>
  </w:num>
  <w:num w:numId="56" w16cid:durableId="1203906730">
    <w:abstractNumId w:val="19"/>
  </w:num>
  <w:num w:numId="57" w16cid:durableId="1255170379">
    <w:abstractNumId w:val="24"/>
  </w:num>
  <w:num w:numId="58" w16cid:durableId="1332830404">
    <w:abstractNumId w:val="11"/>
  </w:num>
  <w:num w:numId="59" w16cid:durableId="2040548578">
    <w:abstractNumId w:val="10"/>
  </w:num>
  <w:num w:numId="60" w16cid:durableId="1090547564">
    <w:abstractNumId w:val="15"/>
  </w:num>
  <w:num w:numId="61" w16cid:durableId="1343437902">
    <w:abstractNumId w:val="7"/>
  </w:num>
  <w:num w:numId="62" w16cid:durableId="995181083">
    <w:abstractNumId w:val="67"/>
  </w:num>
  <w:num w:numId="63" w16cid:durableId="1423137828">
    <w:abstractNumId w:val="35"/>
  </w:num>
  <w:num w:numId="64" w16cid:durableId="601492634">
    <w:abstractNumId w:val="38"/>
  </w:num>
  <w:num w:numId="65" w16cid:durableId="489371772">
    <w:abstractNumId w:val="31"/>
  </w:num>
  <w:num w:numId="66" w16cid:durableId="999041642">
    <w:abstractNumId w:val="65"/>
  </w:num>
  <w:num w:numId="67" w16cid:durableId="1848909420">
    <w:abstractNumId w:val="39"/>
  </w:num>
  <w:num w:numId="68" w16cid:durableId="1219824405">
    <w:abstractNumId w:val="49"/>
  </w:num>
  <w:num w:numId="69" w16cid:durableId="1472479743">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D1"/>
    <w:rsid w:val="00023A88"/>
    <w:rsid w:val="00043ACB"/>
    <w:rsid w:val="00085F14"/>
    <w:rsid w:val="000935AD"/>
    <w:rsid w:val="000A3D3E"/>
    <w:rsid w:val="000A7238"/>
    <w:rsid w:val="000D0989"/>
    <w:rsid w:val="001253DA"/>
    <w:rsid w:val="001259AD"/>
    <w:rsid w:val="001357B2"/>
    <w:rsid w:val="001854D3"/>
    <w:rsid w:val="001A3EF3"/>
    <w:rsid w:val="001C0B24"/>
    <w:rsid w:val="001F2844"/>
    <w:rsid w:val="001F5EF8"/>
    <w:rsid w:val="00202A77"/>
    <w:rsid w:val="0021675C"/>
    <w:rsid w:val="00271CE5"/>
    <w:rsid w:val="00273812"/>
    <w:rsid w:val="00282020"/>
    <w:rsid w:val="00292D3C"/>
    <w:rsid w:val="002A30A9"/>
    <w:rsid w:val="002A3807"/>
    <w:rsid w:val="002B72A8"/>
    <w:rsid w:val="002C0407"/>
    <w:rsid w:val="002D3C86"/>
    <w:rsid w:val="002D7A2F"/>
    <w:rsid w:val="002E3898"/>
    <w:rsid w:val="0032481F"/>
    <w:rsid w:val="00326321"/>
    <w:rsid w:val="00327A29"/>
    <w:rsid w:val="003636BF"/>
    <w:rsid w:val="00363966"/>
    <w:rsid w:val="0037479F"/>
    <w:rsid w:val="003845B4"/>
    <w:rsid w:val="003854A3"/>
    <w:rsid w:val="00385C79"/>
    <w:rsid w:val="00387B1A"/>
    <w:rsid w:val="00392E7B"/>
    <w:rsid w:val="003E1C74"/>
    <w:rsid w:val="003E3ED9"/>
    <w:rsid w:val="003F62B8"/>
    <w:rsid w:val="00415B2B"/>
    <w:rsid w:val="0046396D"/>
    <w:rsid w:val="004708CD"/>
    <w:rsid w:val="0047145E"/>
    <w:rsid w:val="00476BD2"/>
    <w:rsid w:val="004B5360"/>
    <w:rsid w:val="004C3B04"/>
    <w:rsid w:val="00500DB2"/>
    <w:rsid w:val="00502E41"/>
    <w:rsid w:val="005235C6"/>
    <w:rsid w:val="00526246"/>
    <w:rsid w:val="005264D1"/>
    <w:rsid w:val="00537C34"/>
    <w:rsid w:val="00537E1C"/>
    <w:rsid w:val="00555390"/>
    <w:rsid w:val="005647BB"/>
    <w:rsid w:val="00567106"/>
    <w:rsid w:val="005712A3"/>
    <w:rsid w:val="005B56A8"/>
    <w:rsid w:val="005E1D3C"/>
    <w:rsid w:val="005E7866"/>
    <w:rsid w:val="0062053A"/>
    <w:rsid w:val="00624C80"/>
    <w:rsid w:val="00632253"/>
    <w:rsid w:val="00642714"/>
    <w:rsid w:val="006455CE"/>
    <w:rsid w:val="00651FCC"/>
    <w:rsid w:val="00690D03"/>
    <w:rsid w:val="006A5BEA"/>
    <w:rsid w:val="006A6FC6"/>
    <w:rsid w:val="006B2B83"/>
    <w:rsid w:val="006C01FC"/>
    <w:rsid w:val="006C13C6"/>
    <w:rsid w:val="006D42D9"/>
    <w:rsid w:val="00717ED3"/>
    <w:rsid w:val="00733017"/>
    <w:rsid w:val="00736298"/>
    <w:rsid w:val="00783310"/>
    <w:rsid w:val="00790879"/>
    <w:rsid w:val="007A4A6D"/>
    <w:rsid w:val="007A709B"/>
    <w:rsid w:val="007A7CDF"/>
    <w:rsid w:val="007D1BCF"/>
    <w:rsid w:val="007D75CF"/>
    <w:rsid w:val="007E6DC5"/>
    <w:rsid w:val="00803CF2"/>
    <w:rsid w:val="00814213"/>
    <w:rsid w:val="00815FFB"/>
    <w:rsid w:val="00834A2B"/>
    <w:rsid w:val="00856825"/>
    <w:rsid w:val="00872C07"/>
    <w:rsid w:val="0088043C"/>
    <w:rsid w:val="008906C9"/>
    <w:rsid w:val="008C5738"/>
    <w:rsid w:val="008D04F0"/>
    <w:rsid w:val="008F3500"/>
    <w:rsid w:val="00923DF2"/>
    <w:rsid w:val="00924E3C"/>
    <w:rsid w:val="00946C49"/>
    <w:rsid w:val="00960B9C"/>
    <w:rsid w:val="009612BB"/>
    <w:rsid w:val="009A1D23"/>
    <w:rsid w:val="009B2262"/>
    <w:rsid w:val="009B27AA"/>
    <w:rsid w:val="00A125C5"/>
    <w:rsid w:val="00A5039D"/>
    <w:rsid w:val="00A65EE7"/>
    <w:rsid w:val="00A70133"/>
    <w:rsid w:val="00AA0D95"/>
    <w:rsid w:val="00AA738F"/>
    <w:rsid w:val="00AE3E18"/>
    <w:rsid w:val="00AF6180"/>
    <w:rsid w:val="00AF662F"/>
    <w:rsid w:val="00B03033"/>
    <w:rsid w:val="00B17141"/>
    <w:rsid w:val="00B31575"/>
    <w:rsid w:val="00B76818"/>
    <w:rsid w:val="00B8547D"/>
    <w:rsid w:val="00C250D5"/>
    <w:rsid w:val="00C52AF0"/>
    <w:rsid w:val="00C92898"/>
    <w:rsid w:val="00C97431"/>
    <w:rsid w:val="00CA583C"/>
    <w:rsid w:val="00CC4F46"/>
    <w:rsid w:val="00CE7514"/>
    <w:rsid w:val="00CF12BA"/>
    <w:rsid w:val="00D13754"/>
    <w:rsid w:val="00D248DE"/>
    <w:rsid w:val="00D31518"/>
    <w:rsid w:val="00D8542D"/>
    <w:rsid w:val="00DC6A71"/>
    <w:rsid w:val="00DE5B46"/>
    <w:rsid w:val="00DE771A"/>
    <w:rsid w:val="00E0357D"/>
    <w:rsid w:val="00E24EC2"/>
    <w:rsid w:val="00E44978"/>
    <w:rsid w:val="00E7150D"/>
    <w:rsid w:val="00EB1A2E"/>
    <w:rsid w:val="00EB230A"/>
    <w:rsid w:val="00EC0549"/>
    <w:rsid w:val="00ED6763"/>
    <w:rsid w:val="00ED678E"/>
    <w:rsid w:val="00F04BF9"/>
    <w:rsid w:val="00F240BB"/>
    <w:rsid w:val="00F46724"/>
    <w:rsid w:val="00F51E77"/>
    <w:rsid w:val="00F57FED"/>
    <w:rsid w:val="00FD3538"/>
    <w:rsid w:val="00FD6532"/>
    <w:rsid w:val="00FE20AC"/>
    <w:rsid w:val="00FE27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793C1523"/>
  <w15:docId w15:val="{09C9151F-22A1-49E3-B405-C9E9E120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1"/>
    <w:uiPriority w:val="9"/>
    <w:semiHidden/>
    <w:unhideWhenUsed/>
    <w:qFormat/>
    <w:rsid w:val="003E3ED9"/>
    <w:pPr>
      <w:keepNext/>
      <w:keepLines/>
      <w:numPr>
        <w:ilvl w:val="1"/>
        <w:numId w:val="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1"/>
    <w:uiPriority w:val="9"/>
    <w:semiHidden/>
    <w:unhideWhenUsed/>
    <w:qFormat/>
    <w:rsid w:val="003E3ED9"/>
    <w:pPr>
      <w:keepNext/>
      <w:keepLines/>
      <w:tabs>
        <w:tab w:val="num" w:pos="2509"/>
      </w:tabs>
      <w:spacing w:before="40" w:line="259" w:lineRule="auto"/>
      <w:ind w:left="2509" w:hanging="36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1"/>
    <w:uiPriority w:val="9"/>
    <w:semiHidden/>
    <w:unhideWhenUsed/>
    <w:qFormat/>
    <w:rsid w:val="003E3ED9"/>
    <w:pPr>
      <w:keepNext/>
      <w:keepLines/>
      <w:tabs>
        <w:tab w:val="num" w:pos="3229"/>
      </w:tabs>
      <w:spacing w:before="40" w:line="259" w:lineRule="auto"/>
      <w:ind w:left="3229" w:hanging="360"/>
      <w:outlineLvl w:val="3"/>
    </w:pPr>
    <w:rPr>
      <w:rFonts w:asciiTheme="majorHAnsi" w:eastAsiaTheme="majorEastAsia" w:hAnsiTheme="majorHAnsi" w:cstheme="majorBidi"/>
      <w:i/>
      <w:iCs/>
      <w:color w:val="365F91" w:themeColor="accent1" w:themeShade="BF"/>
      <w:sz w:val="22"/>
      <w:szCs w:val="22"/>
    </w:rPr>
  </w:style>
  <w:style w:type="paragraph" w:styleId="Naslov5">
    <w:name w:val="heading 5"/>
    <w:basedOn w:val="Navaden"/>
    <w:next w:val="Navaden"/>
    <w:link w:val="Naslov5Znak1"/>
    <w:uiPriority w:val="9"/>
    <w:semiHidden/>
    <w:unhideWhenUsed/>
    <w:qFormat/>
    <w:rsid w:val="003E3ED9"/>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Naslov6">
    <w:name w:val="heading 6"/>
    <w:basedOn w:val="Navaden"/>
    <w:next w:val="Navaden"/>
    <w:link w:val="Naslov6Znak1"/>
    <w:uiPriority w:val="9"/>
    <w:semiHidden/>
    <w:unhideWhenUsed/>
    <w:qFormat/>
    <w:rsid w:val="003E3ED9"/>
    <w:pPr>
      <w:keepNext/>
      <w:keepLines/>
      <w:tabs>
        <w:tab w:val="num" w:pos="4669"/>
      </w:tabs>
      <w:spacing w:before="40" w:line="259" w:lineRule="auto"/>
      <w:ind w:left="4669" w:hanging="360"/>
      <w:outlineLvl w:val="5"/>
    </w:pPr>
    <w:rPr>
      <w:rFonts w:asciiTheme="majorHAnsi" w:eastAsiaTheme="majorEastAsia" w:hAnsiTheme="majorHAnsi" w:cstheme="majorBidi"/>
      <w:color w:val="243F60" w:themeColor="accent1" w:themeShade="7F"/>
      <w:sz w:val="22"/>
      <w:szCs w:val="22"/>
    </w:rPr>
  </w:style>
  <w:style w:type="paragraph" w:styleId="Naslov7">
    <w:name w:val="heading 7"/>
    <w:basedOn w:val="Navaden"/>
    <w:next w:val="Navaden"/>
    <w:link w:val="Naslov7Znak1"/>
    <w:uiPriority w:val="9"/>
    <w:semiHidden/>
    <w:unhideWhenUsed/>
    <w:qFormat/>
    <w:rsid w:val="003E3ED9"/>
    <w:pPr>
      <w:keepNext/>
      <w:keepLines/>
      <w:tabs>
        <w:tab w:val="num" w:pos="5389"/>
      </w:tabs>
      <w:spacing w:before="40" w:line="259" w:lineRule="auto"/>
      <w:ind w:left="5389" w:hanging="360"/>
      <w:outlineLvl w:val="6"/>
    </w:pPr>
    <w:rPr>
      <w:rFonts w:asciiTheme="majorHAnsi" w:eastAsiaTheme="majorEastAsia" w:hAnsiTheme="majorHAnsi" w:cstheme="majorBidi"/>
      <w:i/>
      <w:iCs/>
      <w:color w:val="243F60" w:themeColor="accent1" w:themeShade="7F"/>
      <w:sz w:val="22"/>
      <w:szCs w:val="22"/>
    </w:rPr>
  </w:style>
  <w:style w:type="paragraph" w:styleId="Naslov8">
    <w:name w:val="heading 8"/>
    <w:basedOn w:val="Navaden"/>
    <w:next w:val="Navaden"/>
    <w:link w:val="Naslov8Znak1"/>
    <w:uiPriority w:val="9"/>
    <w:semiHidden/>
    <w:unhideWhenUsed/>
    <w:qFormat/>
    <w:rsid w:val="003E3ED9"/>
    <w:pPr>
      <w:keepNext/>
      <w:keepLines/>
      <w:tabs>
        <w:tab w:val="num" w:pos="6109"/>
      </w:tabs>
      <w:spacing w:before="40" w:line="259" w:lineRule="auto"/>
      <w:ind w:left="6109"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1"/>
    <w:uiPriority w:val="9"/>
    <w:semiHidden/>
    <w:unhideWhenUsed/>
    <w:qFormat/>
    <w:rsid w:val="003E3ED9"/>
    <w:pPr>
      <w:keepNext/>
      <w:keepLines/>
      <w:tabs>
        <w:tab w:val="num" w:pos="6829"/>
      </w:tabs>
      <w:spacing w:before="40" w:line="259" w:lineRule="auto"/>
      <w:ind w:left="6829"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qFormat/>
    <w:rsid w:val="00AD2B87"/>
    <w:pPr>
      <w:tabs>
        <w:tab w:val="center" w:pos="4320"/>
        <w:tab w:val="right" w:pos="8640"/>
      </w:tabs>
    </w:pPr>
  </w:style>
  <w:style w:type="paragraph" w:styleId="Noga">
    <w:name w:val="footer"/>
    <w:aliases w:val="|| 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B03033"/>
    <w:rPr>
      <w:rFonts w:ascii="Arial" w:hAnsi="Arial"/>
      <w:szCs w:val="24"/>
      <w:lang w:val="en-US" w:eastAsia="en-US"/>
    </w:rPr>
  </w:style>
  <w:style w:type="paragraph" w:styleId="Besedilooblaka">
    <w:name w:val="Balloon Text"/>
    <w:basedOn w:val="Navaden"/>
    <w:link w:val="BesedilooblakaZnak"/>
    <w:uiPriority w:val="99"/>
    <w:rsid w:val="00C9743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C97431"/>
    <w:rPr>
      <w:rFonts w:ascii="Tahoma" w:hAnsi="Tahoma" w:cs="Tahoma"/>
      <w:sz w:val="16"/>
      <w:szCs w:val="16"/>
      <w:lang w:eastAsia="en-US"/>
    </w:rPr>
  </w:style>
  <w:style w:type="paragraph" w:styleId="Odstavekseznama">
    <w:name w:val="List Paragraph"/>
    <w:aliases w:val="K1,Table of contents numbered,Elenco num ARGEA,body,Odsek zoznamu2"/>
    <w:basedOn w:val="Navaden"/>
    <w:link w:val="OdstavekseznamaZnak"/>
    <w:uiPriority w:val="34"/>
    <w:qFormat/>
    <w:rsid w:val="005264D1"/>
    <w:pPr>
      <w:ind w:left="720"/>
      <w:contextualSpacing/>
    </w:pPr>
  </w:style>
  <w:style w:type="character" w:customStyle="1" w:styleId="Naslov2Znak">
    <w:name w:val="Naslov 2 Znak"/>
    <w:basedOn w:val="Privzetapisavaodstavka"/>
    <w:link w:val="Naslov21"/>
    <w:uiPriority w:val="9"/>
    <w:rsid w:val="003E3ED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1"/>
    <w:uiPriority w:val="9"/>
    <w:rsid w:val="003E3ED9"/>
    <w:rPr>
      <w:rFonts w:asciiTheme="majorHAnsi" w:eastAsiaTheme="majorEastAsia" w:hAnsiTheme="majorHAnsi" w:cstheme="majorBidi"/>
      <w:color w:val="243F60" w:themeColor="accent1" w:themeShade="7F"/>
      <w:sz w:val="24"/>
      <w:szCs w:val="24"/>
      <w:lang w:eastAsia="en-US"/>
    </w:rPr>
  </w:style>
  <w:style w:type="character" w:customStyle="1" w:styleId="Naslov4Znak">
    <w:name w:val="Naslov 4 Znak"/>
    <w:basedOn w:val="Privzetapisavaodstavka"/>
    <w:link w:val="Naslov41"/>
    <w:uiPriority w:val="9"/>
    <w:rsid w:val="003E3ED9"/>
    <w:rPr>
      <w:rFonts w:asciiTheme="majorHAnsi" w:eastAsiaTheme="majorEastAsia" w:hAnsiTheme="majorHAnsi" w:cstheme="majorBidi"/>
      <w:i/>
      <w:iCs/>
      <w:color w:val="365F91" w:themeColor="accent1" w:themeShade="BF"/>
      <w:szCs w:val="24"/>
      <w:lang w:eastAsia="en-US"/>
    </w:rPr>
  </w:style>
  <w:style w:type="character" w:customStyle="1" w:styleId="Naslov5Znak">
    <w:name w:val="Naslov 5 Znak"/>
    <w:basedOn w:val="Privzetapisavaodstavka"/>
    <w:link w:val="Naslov51"/>
    <w:uiPriority w:val="9"/>
    <w:rsid w:val="003E3ED9"/>
    <w:rPr>
      <w:rFonts w:asciiTheme="majorHAnsi" w:eastAsiaTheme="majorEastAsia" w:hAnsiTheme="majorHAnsi" w:cstheme="majorBidi"/>
      <w:color w:val="365F91" w:themeColor="accent1" w:themeShade="BF"/>
      <w:szCs w:val="24"/>
      <w:lang w:eastAsia="en-US"/>
    </w:rPr>
  </w:style>
  <w:style w:type="character" w:customStyle="1" w:styleId="Naslov6Znak">
    <w:name w:val="Naslov 6 Znak"/>
    <w:basedOn w:val="Privzetapisavaodstavka"/>
    <w:link w:val="Naslov61"/>
    <w:uiPriority w:val="9"/>
    <w:rsid w:val="003E3ED9"/>
    <w:rPr>
      <w:rFonts w:asciiTheme="majorHAnsi" w:eastAsiaTheme="majorEastAsia" w:hAnsiTheme="majorHAnsi" w:cstheme="majorBidi"/>
      <w:color w:val="243F60" w:themeColor="accent1" w:themeShade="7F"/>
      <w:szCs w:val="24"/>
      <w:lang w:eastAsia="en-US"/>
    </w:rPr>
  </w:style>
  <w:style w:type="character" w:customStyle="1" w:styleId="Naslov7Znak">
    <w:name w:val="Naslov 7 Znak"/>
    <w:basedOn w:val="Privzetapisavaodstavka"/>
    <w:link w:val="Naslov71"/>
    <w:uiPriority w:val="9"/>
    <w:rsid w:val="003E3ED9"/>
    <w:rPr>
      <w:rFonts w:asciiTheme="majorHAnsi" w:eastAsiaTheme="majorEastAsia" w:hAnsiTheme="majorHAnsi" w:cstheme="majorBidi"/>
      <w:i/>
      <w:iCs/>
      <w:color w:val="243F60" w:themeColor="accent1" w:themeShade="7F"/>
      <w:szCs w:val="24"/>
      <w:lang w:eastAsia="en-US"/>
    </w:rPr>
  </w:style>
  <w:style w:type="character" w:customStyle="1" w:styleId="Naslov8Znak">
    <w:name w:val="Naslov 8 Znak"/>
    <w:basedOn w:val="Privzetapisavaodstavka"/>
    <w:link w:val="Naslov81"/>
    <w:uiPriority w:val="9"/>
    <w:rsid w:val="003E3ED9"/>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1"/>
    <w:uiPriority w:val="9"/>
    <w:semiHidden/>
    <w:rsid w:val="003E3ED9"/>
    <w:rPr>
      <w:rFonts w:asciiTheme="majorHAnsi" w:eastAsiaTheme="majorEastAsia" w:hAnsiTheme="majorHAnsi" w:cstheme="majorBidi"/>
      <w:i/>
      <w:iCs/>
      <w:color w:val="272727" w:themeColor="text1" w:themeTint="D8"/>
      <w:sz w:val="21"/>
      <w:szCs w:val="21"/>
      <w:lang w:eastAsia="en-US"/>
    </w:rPr>
  </w:style>
  <w:style w:type="character" w:customStyle="1" w:styleId="NogaZnak">
    <w:name w:val="Noga Znak"/>
    <w:aliases w:val="|| Footer Znak"/>
    <w:basedOn w:val="Privzetapisavaodstavka"/>
    <w:link w:val="Noga"/>
    <w:uiPriority w:val="99"/>
    <w:rsid w:val="003E3ED9"/>
    <w:rPr>
      <w:rFonts w:ascii="Arial" w:hAnsi="Arial"/>
      <w:szCs w:val="24"/>
      <w:lang w:eastAsia="en-US"/>
    </w:rPr>
  </w:style>
  <w:style w:type="character" w:customStyle="1" w:styleId="OdstavekseznamaZnak">
    <w:name w:val="Odstavek seznama Znak"/>
    <w:aliases w:val="K1 Znak,Table of contents numbered Znak,Elenco num ARGEA Znak,body Znak,Odsek zoznamu2 Znak"/>
    <w:link w:val="Odstavekseznama"/>
    <w:uiPriority w:val="34"/>
    <w:qFormat/>
    <w:locked/>
    <w:rsid w:val="003E3ED9"/>
    <w:rPr>
      <w:rFonts w:ascii="Arial" w:hAnsi="Arial"/>
      <w:szCs w:val="24"/>
      <w:lang w:eastAsia="en-US"/>
    </w:rPr>
  </w:style>
  <w:style w:type="character" w:styleId="Pripombasklic">
    <w:name w:val="annotation reference"/>
    <w:aliases w:val="Komentar - sklic"/>
    <w:basedOn w:val="Privzetapisavaodstavka"/>
    <w:uiPriority w:val="99"/>
    <w:unhideWhenUsed/>
    <w:rsid w:val="003E3ED9"/>
    <w:rPr>
      <w:sz w:val="16"/>
      <w:szCs w:val="16"/>
    </w:rPr>
  </w:style>
  <w:style w:type="paragraph" w:styleId="Pripombabesedilo">
    <w:name w:val="annotation text"/>
    <w:basedOn w:val="Navaden"/>
    <w:link w:val="PripombabesediloZnak"/>
    <w:uiPriority w:val="99"/>
    <w:unhideWhenUsed/>
    <w:rsid w:val="003E3ED9"/>
    <w:pPr>
      <w:spacing w:after="16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3E3ED9"/>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uiPriority w:val="99"/>
    <w:semiHidden/>
    <w:unhideWhenUsed/>
    <w:rsid w:val="003E3ED9"/>
    <w:rPr>
      <w:b/>
      <w:bCs/>
    </w:rPr>
  </w:style>
  <w:style w:type="character" w:customStyle="1" w:styleId="ZadevapripombeZnak">
    <w:name w:val="Zadeva pripombe Znak"/>
    <w:basedOn w:val="PripombabesediloZnak"/>
    <w:link w:val="Zadevapripombe"/>
    <w:uiPriority w:val="99"/>
    <w:semiHidden/>
    <w:rsid w:val="003E3ED9"/>
    <w:rPr>
      <w:rFonts w:asciiTheme="minorHAnsi" w:eastAsiaTheme="minorHAnsi" w:hAnsiTheme="minorHAnsi" w:cstheme="minorBidi"/>
      <w:b/>
      <w:bCs/>
      <w:lang w:eastAsia="en-US"/>
    </w:rPr>
  </w:style>
  <w:style w:type="paragraph" w:customStyle="1" w:styleId="Default">
    <w:name w:val="Default"/>
    <w:rsid w:val="003E3ED9"/>
    <w:pPr>
      <w:autoSpaceDE w:val="0"/>
      <w:autoSpaceDN w:val="0"/>
      <w:adjustRightInd w:val="0"/>
    </w:pPr>
    <w:rPr>
      <w:rFonts w:ascii="Tahoma" w:eastAsiaTheme="minorHAnsi" w:hAnsi="Tahoma" w:cs="Tahoma"/>
      <w:color w:val="000000"/>
      <w:sz w:val="24"/>
      <w:szCs w:val="24"/>
      <w:lang w:eastAsia="en-US"/>
    </w:rPr>
  </w:style>
  <w:style w:type="paragraph" w:styleId="Revizija">
    <w:name w:val="Revision"/>
    <w:hidden/>
    <w:uiPriority w:val="99"/>
    <w:semiHidden/>
    <w:rsid w:val="003E3ED9"/>
    <w:rPr>
      <w:rFonts w:asciiTheme="minorHAnsi" w:eastAsiaTheme="minorHAnsi" w:hAnsiTheme="minorHAnsi" w:cstheme="minorBidi"/>
      <w:sz w:val="22"/>
      <w:szCs w:val="22"/>
      <w:lang w:eastAsia="en-US"/>
    </w:rPr>
  </w:style>
  <w:style w:type="character" w:customStyle="1" w:styleId="Naslov1Znak">
    <w:name w:val="Naslov 1 Znak"/>
    <w:aliases w:val="NASLOV Znak"/>
    <w:basedOn w:val="Privzetapisavaodstavka"/>
    <w:link w:val="Naslov1"/>
    <w:rsid w:val="003E3ED9"/>
    <w:rPr>
      <w:rFonts w:ascii="Arial" w:hAnsi="Arial"/>
      <w:b/>
      <w:kern w:val="32"/>
      <w:sz w:val="28"/>
      <w:szCs w:val="32"/>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Znak5"/>
    <w:basedOn w:val="Navaden"/>
    <w:link w:val="Sprotnaopomba-besediloZnak"/>
    <w:uiPriority w:val="99"/>
    <w:unhideWhenUsed/>
    <w:qFormat/>
    <w:rsid w:val="003E3ED9"/>
    <w:pPr>
      <w:spacing w:line="240" w:lineRule="auto"/>
    </w:pPr>
    <w:rPr>
      <w:rFonts w:eastAsiaTheme="minorHAnsi" w:cstheme="minorBidi"/>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Char Char Znak, Znak5 Znak"/>
    <w:basedOn w:val="Privzetapisavaodstavka"/>
    <w:link w:val="Sprotnaopomba-besedilo"/>
    <w:uiPriority w:val="99"/>
    <w:rsid w:val="003E3ED9"/>
    <w:rPr>
      <w:rFonts w:ascii="Arial" w:eastAsiaTheme="minorHAnsi" w:hAnsi="Arial" w:cstheme="minorBidi"/>
      <w:lang w:eastAsia="en-US"/>
    </w:rPr>
  </w:style>
  <w:style w:type="character" w:styleId="Sprotnaopomba-sklic">
    <w:name w:val="footnote reference"/>
    <w:aliases w:val="Footnote symbol,Footnote,Fussnota,Footnote reference number,note TESI,SUPERS,EN Footnote Reference,-E Fußnotenzeichen,Times 10 Point,Exposant 3 Point,E...,nota de rodapé,Footnote Reference_LVL6,Footnote Reference_LVL61,Footnot,fr"/>
    <w:basedOn w:val="Privzetapisavaodstavka"/>
    <w:uiPriority w:val="99"/>
    <w:unhideWhenUsed/>
    <w:qFormat/>
    <w:rsid w:val="003E3ED9"/>
    <w:rPr>
      <w:vertAlign w:val="superscript"/>
    </w:rPr>
  </w:style>
  <w:style w:type="paragraph" w:customStyle="1" w:styleId="Naslov21">
    <w:name w:val="Naslov 21"/>
    <w:basedOn w:val="Navaden"/>
    <w:next w:val="Navaden"/>
    <w:link w:val="Naslov2Znak"/>
    <w:uiPriority w:val="9"/>
    <w:unhideWhenUsed/>
    <w:qFormat/>
    <w:rsid w:val="003E3E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customStyle="1" w:styleId="Naslov31">
    <w:name w:val="Naslov 31"/>
    <w:basedOn w:val="Navaden"/>
    <w:next w:val="Navaden"/>
    <w:link w:val="Naslov3Znak"/>
    <w:uiPriority w:val="9"/>
    <w:unhideWhenUsed/>
    <w:qFormat/>
    <w:rsid w:val="003E3ED9"/>
    <w:pPr>
      <w:keepNext/>
      <w:keepLines/>
      <w:numPr>
        <w:ilvl w:val="2"/>
        <w:numId w:val="2"/>
      </w:numPr>
      <w:spacing w:before="40"/>
      <w:ind w:left="720" w:hanging="432"/>
      <w:outlineLvl w:val="2"/>
    </w:pPr>
    <w:rPr>
      <w:rFonts w:asciiTheme="majorHAnsi" w:eastAsiaTheme="majorEastAsia" w:hAnsiTheme="majorHAnsi" w:cstheme="majorBidi"/>
      <w:color w:val="243F60" w:themeColor="accent1" w:themeShade="7F"/>
      <w:sz w:val="24"/>
    </w:rPr>
  </w:style>
  <w:style w:type="paragraph" w:customStyle="1" w:styleId="Naslov41">
    <w:name w:val="Naslov 41"/>
    <w:basedOn w:val="Navaden"/>
    <w:next w:val="Navaden"/>
    <w:link w:val="Naslov4Znak"/>
    <w:uiPriority w:val="9"/>
    <w:unhideWhenUsed/>
    <w:qFormat/>
    <w:rsid w:val="003E3ED9"/>
    <w:pPr>
      <w:keepNext/>
      <w:keepLines/>
      <w:numPr>
        <w:ilvl w:val="3"/>
        <w:numId w:val="2"/>
      </w:numPr>
      <w:spacing w:before="40"/>
      <w:ind w:left="864" w:hanging="144"/>
      <w:outlineLvl w:val="3"/>
    </w:pPr>
    <w:rPr>
      <w:rFonts w:asciiTheme="majorHAnsi" w:eastAsiaTheme="majorEastAsia" w:hAnsiTheme="majorHAnsi" w:cstheme="majorBidi"/>
      <w:i/>
      <w:iCs/>
      <w:color w:val="365F91" w:themeColor="accent1" w:themeShade="BF"/>
    </w:rPr>
  </w:style>
  <w:style w:type="paragraph" w:customStyle="1" w:styleId="Naslov51">
    <w:name w:val="Naslov 51"/>
    <w:basedOn w:val="Navaden"/>
    <w:next w:val="Navaden"/>
    <w:link w:val="Naslov5Znak"/>
    <w:uiPriority w:val="9"/>
    <w:unhideWhenUsed/>
    <w:qFormat/>
    <w:rsid w:val="003E3ED9"/>
    <w:pPr>
      <w:keepNext/>
      <w:keepLines/>
      <w:spacing w:before="40"/>
      <w:outlineLvl w:val="4"/>
    </w:pPr>
    <w:rPr>
      <w:rFonts w:asciiTheme="majorHAnsi" w:eastAsiaTheme="majorEastAsia" w:hAnsiTheme="majorHAnsi" w:cstheme="majorBidi"/>
      <w:color w:val="365F91" w:themeColor="accent1" w:themeShade="BF"/>
    </w:rPr>
  </w:style>
  <w:style w:type="paragraph" w:customStyle="1" w:styleId="Naslov61">
    <w:name w:val="Naslov 61"/>
    <w:next w:val="Navaden"/>
    <w:link w:val="Naslov6Znak"/>
    <w:uiPriority w:val="9"/>
    <w:unhideWhenUsed/>
    <w:qFormat/>
    <w:rsid w:val="003E3ED9"/>
    <w:pPr>
      <w:keepNext/>
      <w:keepLines/>
      <w:numPr>
        <w:ilvl w:val="5"/>
        <w:numId w:val="2"/>
      </w:numPr>
      <w:spacing w:before="40" w:line="260" w:lineRule="atLeast"/>
      <w:ind w:left="1152" w:hanging="432"/>
      <w:outlineLvl w:val="5"/>
    </w:pPr>
    <w:rPr>
      <w:rFonts w:asciiTheme="majorHAnsi" w:eastAsiaTheme="majorEastAsia" w:hAnsiTheme="majorHAnsi" w:cstheme="majorBidi"/>
      <w:color w:val="243F60" w:themeColor="accent1" w:themeShade="7F"/>
      <w:szCs w:val="24"/>
      <w:lang w:eastAsia="en-US"/>
    </w:rPr>
  </w:style>
  <w:style w:type="paragraph" w:customStyle="1" w:styleId="Naslov71">
    <w:name w:val="Naslov 71"/>
    <w:next w:val="Navaden"/>
    <w:link w:val="Naslov7Znak"/>
    <w:uiPriority w:val="9"/>
    <w:unhideWhenUsed/>
    <w:qFormat/>
    <w:rsid w:val="003E3ED9"/>
    <w:pPr>
      <w:keepNext/>
      <w:keepLines/>
      <w:numPr>
        <w:ilvl w:val="6"/>
        <w:numId w:val="2"/>
      </w:numPr>
      <w:spacing w:before="40" w:line="260" w:lineRule="atLeast"/>
      <w:ind w:left="1296" w:hanging="288"/>
      <w:outlineLvl w:val="6"/>
    </w:pPr>
    <w:rPr>
      <w:rFonts w:asciiTheme="majorHAnsi" w:eastAsiaTheme="majorEastAsia" w:hAnsiTheme="majorHAnsi" w:cstheme="majorBidi"/>
      <w:i/>
      <w:iCs/>
      <w:color w:val="243F60" w:themeColor="accent1" w:themeShade="7F"/>
      <w:szCs w:val="24"/>
      <w:lang w:eastAsia="en-US"/>
    </w:rPr>
  </w:style>
  <w:style w:type="paragraph" w:customStyle="1" w:styleId="Naslov81">
    <w:name w:val="Naslov 81"/>
    <w:basedOn w:val="Navaden"/>
    <w:next w:val="Telobesedila"/>
    <w:link w:val="Naslov8Znak"/>
    <w:uiPriority w:val="9"/>
    <w:unhideWhenUsed/>
    <w:qFormat/>
    <w:rsid w:val="003E3ED9"/>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customStyle="1" w:styleId="Naslov91">
    <w:name w:val="Naslov 91"/>
    <w:basedOn w:val="Navaden"/>
    <w:next w:val="Telobesedila"/>
    <w:link w:val="Naslov9Znak"/>
    <w:uiPriority w:val="9"/>
    <w:semiHidden/>
    <w:unhideWhenUsed/>
    <w:qFormat/>
    <w:rsid w:val="003E3ED9"/>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numbering" w:customStyle="1" w:styleId="Brezseznama1">
    <w:name w:val="Brez seznama1"/>
    <w:next w:val="Brezseznama"/>
    <w:uiPriority w:val="99"/>
    <w:semiHidden/>
    <w:unhideWhenUsed/>
    <w:rsid w:val="003E3ED9"/>
  </w:style>
  <w:style w:type="paragraph" w:styleId="Kazalovsebine1">
    <w:name w:val="toc 1"/>
    <w:basedOn w:val="Navaden"/>
    <w:next w:val="Navaden"/>
    <w:autoRedefine/>
    <w:uiPriority w:val="39"/>
    <w:rsid w:val="003E3ED9"/>
    <w:pPr>
      <w:tabs>
        <w:tab w:val="left" w:pos="480"/>
        <w:tab w:val="right" w:leader="dot" w:pos="9059"/>
      </w:tabs>
      <w:spacing w:line="240" w:lineRule="auto"/>
    </w:pPr>
    <w:rPr>
      <w:rFonts w:ascii="Times New Roman" w:hAnsi="Times New Roman"/>
      <w:b/>
      <w:i/>
      <w:sz w:val="24"/>
      <w:szCs w:val="20"/>
      <w:lang w:eastAsia="sl-SI"/>
    </w:rPr>
  </w:style>
  <w:style w:type="paragraph" w:customStyle="1" w:styleId="Kazaloslik1">
    <w:name w:val="Kazalo slik1"/>
    <w:basedOn w:val="Navaden"/>
    <w:next w:val="Navaden"/>
    <w:uiPriority w:val="99"/>
    <w:unhideWhenUsed/>
    <w:rsid w:val="003E3ED9"/>
    <w:pPr>
      <w:spacing w:line="240" w:lineRule="atLeast"/>
    </w:pPr>
    <w:rPr>
      <w:rFonts w:eastAsiaTheme="minorHAnsi" w:cstheme="minorBidi"/>
      <w:szCs w:val="22"/>
    </w:rPr>
  </w:style>
  <w:style w:type="paragraph" w:customStyle="1" w:styleId="BeschriftungChar2Cha1">
    <w:name w:val="Beschriftung Char2 Cha1"/>
    <w:basedOn w:val="Navaden"/>
    <w:next w:val="Navaden"/>
    <w:uiPriority w:val="35"/>
    <w:unhideWhenUsed/>
    <w:qFormat/>
    <w:rsid w:val="003E3ED9"/>
    <w:pPr>
      <w:spacing w:after="200" w:line="240" w:lineRule="auto"/>
    </w:pPr>
    <w:rPr>
      <w:rFonts w:eastAsiaTheme="minorHAnsi" w:cstheme="minorBidi"/>
      <w:i/>
      <w:iCs/>
      <w:color w:val="000000"/>
      <w:sz w:val="18"/>
      <w:szCs w:val="18"/>
    </w:rPr>
  </w:style>
  <w:style w:type="paragraph" w:customStyle="1" w:styleId="Style1">
    <w:name w:val="Style1"/>
    <w:basedOn w:val="Navaden"/>
    <w:rsid w:val="003E3ED9"/>
    <w:pPr>
      <w:numPr>
        <w:numId w:val="2"/>
      </w:numPr>
      <w:spacing w:after="60" w:line="240" w:lineRule="auto"/>
      <w:jc w:val="both"/>
    </w:pPr>
    <w:rPr>
      <w:rFonts w:ascii="Times New Roman" w:hAnsi="Times New Roman"/>
      <w:szCs w:val="20"/>
      <w:lang w:eastAsia="sl-SI"/>
    </w:rPr>
  </w:style>
  <w:style w:type="paragraph" w:customStyle="1" w:styleId="navaden0">
    <w:name w:val="navaden"/>
    <w:basedOn w:val="Navaden"/>
    <w:rsid w:val="003E3ED9"/>
    <w:pPr>
      <w:tabs>
        <w:tab w:val="left" w:pos="0"/>
      </w:tabs>
      <w:spacing w:line="240" w:lineRule="auto"/>
      <w:jc w:val="both"/>
    </w:pPr>
    <w:rPr>
      <w:rFonts w:ascii="Times New Roman" w:hAnsi="Times New Roman"/>
      <w:szCs w:val="20"/>
      <w:lang w:eastAsia="sl-SI"/>
    </w:rPr>
  </w:style>
  <w:style w:type="table" w:customStyle="1" w:styleId="Tabelasvetlamrea1poudarek11">
    <w:name w:val="Tabela – svetla mreža 1 (poudarek 1)1"/>
    <w:basedOn w:val="Navadnatabela"/>
    <w:next w:val="Tabelasvetlamrea1poudarek1"/>
    <w:uiPriority w:val="46"/>
    <w:rsid w:val="003E3ED9"/>
    <w:tblPr>
      <w:tblStyleRowBandSize w:val="1"/>
      <w:tblStyleColBandSize w:val="1"/>
      <w:tblBorders>
        <w:top w:val="single" w:sz="4" w:space="0" w:color="B9D7E3"/>
        <w:left w:val="single" w:sz="4" w:space="0" w:color="B9D7E3"/>
        <w:bottom w:val="single" w:sz="4" w:space="0" w:color="B9D7E3"/>
        <w:right w:val="single" w:sz="4" w:space="0" w:color="B9D7E3"/>
        <w:insideH w:val="single" w:sz="4" w:space="0" w:color="B9D7E3"/>
        <w:insideV w:val="single" w:sz="4" w:space="0" w:color="B9D7E3"/>
      </w:tblBorders>
    </w:tblPr>
    <w:tblStylePr w:type="firstRow">
      <w:rPr>
        <w:b/>
        <w:bCs/>
      </w:rPr>
      <w:tblPr/>
      <w:tcPr>
        <w:tcBorders>
          <w:bottom w:val="single" w:sz="12" w:space="0" w:color="97C3D5"/>
        </w:tcBorders>
      </w:tcPr>
    </w:tblStylePr>
    <w:tblStylePr w:type="lastRow">
      <w:rPr>
        <w:b/>
        <w:bCs/>
      </w:rPr>
      <w:tblPr/>
      <w:tcPr>
        <w:tcBorders>
          <w:top w:val="double" w:sz="2" w:space="0" w:color="97C3D5"/>
        </w:tcBorders>
      </w:tcPr>
    </w:tblStylePr>
    <w:tblStylePr w:type="firstCol">
      <w:rPr>
        <w:b/>
        <w:bCs/>
      </w:rPr>
    </w:tblStylePr>
    <w:tblStylePr w:type="lastCol">
      <w:rPr>
        <w:b/>
        <w:bCs/>
      </w:rPr>
    </w:tblStylePr>
  </w:style>
  <w:style w:type="table" w:customStyle="1" w:styleId="Tabelatemnamrea5poudarek11">
    <w:name w:val="Tabela – temna mreža 5 (poudarek 1)1"/>
    <w:basedOn w:val="Navadnatabela"/>
    <w:next w:val="Tabelatemnamrea5poudarek1"/>
    <w:uiPriority w:val="50"/>
    <w:rsid w:val="003E3E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EB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29DB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29DB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29DB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29DBA"/>
      </w:tcPr>
    </w:tblStylePr>
    <w:tblStylePr w:type="band1Vert">
      <w:tblPr/>
      <w:tcPr>
        <w:shd w:val="clear" w:color="auto" w:fill="B9D7E3"/>
      </w:tcPr>
    </w:tblStylePr>
    <w:tblStylePr w:type="band1Horz">
      <w:tblPr/>
      <w:tcPr>
        <w:shd w:val="clear" w:color="auto" w:fill="B9D7E3"/>
      </w:tcPr>
    </w:tblStylePr>
  </w:style>
  <w:style w:type="paragraph" w:styleId="Kazalovsebine2">
    <w:name w:val="toc 2"/>
    <w:basedOn w:val="Navaden"/>
    <w:next w:val="Navaden"/>
    <w:autoRedefine/>
    <w:uiPriority w:val="39"/>
    <w:unhideWhenUsed/>
    <w:rsid w:val="003E3ED9"/>
    <w:pPr>
      <w:spacing w:after="100"/>
      <w:ind w:left="200"/>
    </w:pPr>
  </w:style>
  <w:style w:type="paragraph" w:styleId="Kazalovsebine3">
    <w:name w:val="toc 3"/>
    <w:basedOn w:val="Navaden"/>
    <w:next w:val="Navaden"/>
    <w:autoRedefine/>
    <w:uiPriority w:val="39"/>
    <w:unhideWhenUsed/>
    <w:rsid w:val="003E3ED9"/>
    <w:pPr>
      <w:spacing w:after="100"/>
      <w:ind w:left="400"/>
    </w:pPr>
  </w:style>
  <w:style w:type="paragraph" w:customStyle="1" w:styleId="Naslovpredpisa">
    <w:name w:val="Naslov_predpisa"/>
    <w:basedOn w:val="Navaden"/>
    <w:link w:val="NaslovpredpisaZnak"/>
    <w:qFormat/>
    <w:rsid w:val="003E3ED9"/>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3E3ED9"/>
    <w:rPr>
      <w:rFonts w:ascii="Arial" w:hAnsi="Arial" w:cs="Arial"/>
      <w:b/>
      <w:sz w:val="22"/>
      <w:szCs w:val="22"/>
    </w:rPr>
  </w:style>
  <w:style w:type="paragraph" w:customStyle="1" w:styleId="ParagraphNumbering">
    <w:name w:val="Paragraph Numbering"/>
    <w:basedOn w:val="Navaden"/>
    <w:link w:val="ParagraphNumberingChar"/>
    <w:qFormat/>
    <w:rsid w:val="003E3ED9"/>
    <w:pPr>
      <w:numPr>
        <w:numId w:val="4"/>
      </w:numPr>
      <w:spacing w:after="240" w:line="240" w:lineRule="auto"/>
    </w:pPr>
    <w:rPr>
      <w:rFonts w:ascii="Times New Roman" w:hAnsi="Times New Roman"/>
      <w:sz w:val="24"/>
      <w:lang w:val="en-US"/>
    </w:rPr>
  </w:style>
  <w:style w:type="character" w:customStyle="1" w:styleId="ParagraphNumberingChar">
    <w:name w:val="Paragraph Numbering Char"/>
    <w:link w:val="ParagraphNumbering"/>
    <w:rsid w:val="003E3ED9"/>
    <w:rPr>
      <w:sz w:val="24"/>
      <w:szCs w:val="24"/>
      <w:lang w:val="en-US" w:eastAsia="en-US"/>
    </w:rPr>
  </w:style>
  <w:style w:type="character" w:customStyle="1" w:styleId="hps">
    <w:name w:val="hps"/>
    <w:basedOn w:val="Privzetapisavaodstavka"/>
    <w:rsid w:val="003E3ED9"/>
  </w:style>
  <w:style w:type="paragraph" w:customStyle="1" w:styleId="Sprotnaopomba-besedilo1">
    <w:name w:val="Sprotna opomba - besedilo1"/>
    <w:basedOn w:val="Navaden"/>
    <w:rsid w:val="003E3ED9"/>
    <w:pPr>
      <w:tabs>
        <w:tab w:val="left" w:pos="1700"/>
        <w:tab w:val="left" w:pos="2041"/>
        <w:tab w:val="left" w:pos="2381"/>
      </w:tabs>
      <w:suppressAutoHyphens/>
      <w:autoSpaceDN w:val="0"/>
      <w:spacing w:after="120" w:line="240" w:lineRule="auto"/>
      <w:ind w:left="850" w:hanging="850"/>
      <w:jc w:val="both"/>
    </w:pPr>
    <w:rPr>
      <w:rFonts w:ascii="Times New Roman" w:eastAsia="MS Mincho" w:hAnsi="Times New Roman"/>
      <w:kern w:val="3"/>
      <w:szCs w:val="20"/>
      <w:lang w:val="en-GB" w:eastAsia="zh-CN"/>
    </w:rPr>
  </w:style>
  <w:style w:type="paragraph" w:styleId="Telobesedila">
    <w:name w:val="Body Text"/>
    <w:basedOn w:val="Navaden"/>
    <w:link w:val="TelobesedilaZnak"/>
    <w:uiPriority w:val="99"/>
    <w:qFormat/>
    <w:rsid w:val="003E3ED9"/>
    <w:pPr>
      <w:suppressAutoHyphens/>
      <w:spacing w:line="240" w:lineRule="auto"/>
    </w:pPr>
    <w:rPr>
      <w:rFonts w:ascii="Tahoma" w:hAnsi="Tahoma"/>
      <w:color w:val="008000"/>
      <w:sz w:val="22"/>
      <w:szCs w:val="22"/>
      <w:lang w:val="en-US" w:eastAsia="ar-SA"/>
    </w:rPr>
  </w:style>
  <w:style w:type="character" w:customStyle="1" w:styleId="TelobesedilaZnak">
    <w:name w:val="Telo besedila Znak"/>
    <w:basedOn w:val="Privzetapisavaodstavka"/>
    <w:link w:val="Telobesedila"/>
    <w:uiPriority w:val="99"/>
    <w:rsid w:val="003E3ED9"/>
    <w:rPr>
      <w:rFonts w:ascii="Tahoma" w:hAnsi="Tahoma"/>
      <w:color w:val="008000"/>
      <w:sz w:val="22"/>
      <w:szCs w:val="22"/>
      <w:lang w:val="en-US" w:eastAsia="ar-SA"/>
    </w:rPr>
  </w:style>
  <w:style w:type="paragraph" w:customStyle="1" w:styleId="AOHead1">
    <w:name w:val="AOHead1"/>
    <w:basedOn w:val="Navaden"/>
    <w:next w:val="Navaden"/>
    <w:rsid w:val="003E3ED9"/>
    <w:pPr>
      <w:keepNext/>
      <w:numPr>
        <w:numId w:val="6"/>
      </w:numPr>
      <w:spacing w:before="240"/>
      <w:jc w:val="both"/>
      <w:outlineLvl w:val="0"/>
    </w:pPr>
    <w:rPr>
      <w:rFonts w:ascii="Times New Roman" w:hAnsi="Times New Roman"/>
      <w:b/>
      <w:bCs/>
      <w:caps/>
      <w:snapToGrid w:val="0"/>
      <w:sz w:val="22"/>
      <w:szCs w:val="22"/>
      <w:lang w:val="hu-HU"/>
    </w:rPr>
  </w:style>
  <w:style w:type="paragraph" w:customStyle="1" w:styleId="AOHead2">
    <w:name w:val="AOHead2"/>
    <w:basedOn w:val="Navaden"/>
    <w:next w:val="Navaden"/>
    <w:rsid w:val="003E3ED9"/>
    <w:pPr>
      <w:keepNext/>
      <w:numPr>
        <w:ilvl w:val="1"/>
        <w:numId w:val="6"/>
      </w:numPr>
      <w:spacing w:before="240"/>
      <w:jc w:val="both"/>
      <w:outlineLvl w:val="1"/>
    </w:pPr>
    <w:rPr>
      <w:rFonts w:ascii="Times New Roman" w:hAnsi="Times New Roman"/>
      <w:b/>
      <w:bCs/>
      <w:snapToGrid w:val="0"/>
      <w:sz w:val="22"/>
      <w:szCs w:val="22"/>
      <w:lang w:val="hu-HU"/>
    </w:rPr>
  </w:style>
  <w:style w:type="paragraph" w:customStyle="1" w:styleId="AOHead3">
    <w:name w:val="AOHead3"/>
    <w:basedOn w:val="Navaden"/>
    <w:next w:val="Navaden"/>
    <w:rsid w:val="003E3ED9"/>
    <w:pPr>
      <w:numPr>
        <w:ilvl w:val="2"/>
        <w:numId w:val="6"/>
      </w:numPr>
      <w:spacing w:before="240"/>
      <w:jc w:val="both"/>
      <w:outlineLvl w:val="2"/>
    </w:pPr>
    <w:rPr>
      <w:rFonts w:ascii="Times New Roman" w:hAnsi="Times New Roman"/>
      <w:snapToGrid w:val="0"/>
      <w:sz w:val="22"/>
      <w:szCs w:val="22"/>
      <w:lang w:val="hu-HU"/>
    </w:rPr>
  </w:style>
  <w:style w:type="paragraph" w:customStyle="1" w:styleId="AOHead4">
    <w:name w:val="AOHead4"/>
    <w:basedOn w:val="Navaden"/>
    <w:next w:val="Navaden"/>
    <w:rsid w:val="003E3ED9"/>
    <w:pPr>
      <w:numPr>
        <w:ilvl w:val="3"/>
        <w:numId w:val="6"/>
      </w:numPr>
      <w:spacing w:before="240"/>
      <w:jc w:val="both"/>
      <w:outlineLvl w:val="3"/>
    </w:pPr>
    <w:rPr>
      <w:rFonts w:ascii="Times New Roman" w:hAnsi="Times New Roman"/>
      <w:snapToGrid w:val="0"/>
      <w:sz w:val="22"/>
      <w:szCs w:val="22"/>
      <w:lang w:val="hu-HU"/>
    </w:rPr>
  </w:style>
  <w:style w:type="paragraph" w:customStyle="1" w:styleId="AOHead5">
    <w:name w:val="AOHead5"/>
    <w:basedOn w:val="Navaden"/>
    <w:next w:val="Navaden"/>
    <w:rsid w:val="003E3ED9"/>
    <w:pPr>
      <w:numPr>
        <w:ilvl w:val="4"/>
        <w:numId w:val="6"/>
      </w:numPr>
      <w:spacing w:before="240"/>
      <w:jc w:val="both"/>
      <w:outlineLvl w:val="4"/>
    </w:pPr>
    <w:rPr>
      <w:rFonts w:ascii="Times New Roman" w:hAnsi="Times New Roman"/>
      <w:snapToGrid w:val="0"/>
      <w:sz w:val="22"/>
      <w:szCs w:val="22"/>
      <w:lang w:val="hu-HU"/>
    </w:rPr>
  </w:style>
  <w:style w:type="paragraph" w:customStyle="1" w:styleId="AOHead6">
    <w:name w:val="AOHead6"/>
    <w:basedOn w:val="Navaden"/>
    <w:next w:val="Navaden"/>
    <w:rsid w:val="003E3ED9"/>
    <w:pPr>
      <w:numPr>
        <w:ilvl w:val="5"/>
        <w:numId w:val="6"/>
      </w:numPr>
      <w:spacing w:before="240"/>
      <w:jc w:val="both"/>
      <w:outlineLvl w:val="5"/>
    </w:pPr>
    <w:rPr>
      <w:rFonts w:ascii="Times New Roman" w:hAnsi="Times New Roman"/>
      <w:snapToGrid w:val="0"/>
      <w:sz w:val="22"/>
      <w:szCs w:val="22"/>
      <w:lang w:val="hu-HU"/>
    </w:rPr>
  </w:style>
  <w:style w:type="paragraph" w:customStyle="1" w:styleId="NaslovTOC1">
    <w:name w:val="Naslov TOC1"/>
    <w:basedOn w:val="Naslov1"/>
    <w:next w:val="Navaden"/>
    <w:uiPriority w:val="39"/>
    <w:unhideWhenUsed/>
    <w:qFormat/>
    <w:rsid w:val="003E3ED9"/>
    <w:pPr>
      <w:keepNext w:val="0"/>
      <w:keepLines/>
      <w:spacing w:after="0" w:line="259" w:lineRule="auto"/>
      <w:ind w:left="2"/>
      <w:outlineLvl w:val="9"/>
    </w:pPr>
    <w:rPr>
      <w:rFonts w:ascii="Cambria" w:hAnsi="Cambria"/>
      <w:b w:val="0"/>
      <w:color w:val="529DBA"/>
      <w:kern w:val="0"/>
      <w:sz w:val="32"/>
      <w:szCs w:val="20"/>
      <w:lang w:eastAsia="en-US"/>
      <w14:textFill>
        <w14:solidFill>
          <w14:srgbClr w14:val="529DBA">
            <w14:lumMod w14:val="75000"/>
            <w14:lumMod w14:val="40000"/>
            <w14:lumOff w14:val="60000"/>
          </w14:srgbClr>
        </w14:solidFill>
      </w14:textFill>
    </w:rPr>
  </w:style>
  <w:style w:type="paragraph" w:customStyle="1" w:styleId="Golobesedilo1">
    <w:name w:val="Golo besedilo1"/>
    <w:basedOn w:val="Navaden"/>
    <w:rsid w:val="003E3ED9"/>
    <w:pPr>
      <w:suppressAutoHyphens/>
      <w:spacing w:line="240" w:lineRule="auto"/>
    </w:pPr>
    <w:rPr>
      <w:rFonts w:ascii="Courier New" w:hAnsi="Courier New"/>
      <w:szCs w:val="20"/>
      <w:lang w:eastAsia="ar-SA"/>
    </w:rPr>
  </w:style>
  <w:style w:type="paragraph" w:customStyle="1" w:styleId="ZnakZnak1">
    <w:name w:val="Znak Znak1"/>
    <w:basedOn w:val="AOHead3"/>
    <w:next w:val="Navaden"/>
    <w:rsid w:val="003E3ED9"/>
    <w:pPr>
      <w:numPr>
        <w:numId w:val="5"/>
      </w:numPr>
    </w:pPr>
  </w:style>
  <w:style w:type="paragraph" w:customStyle="1" w:styleId="tevilnatoka1">
    <w:name w:val="tevilnatoka1"/>
    <w:basedOn w:val="Navaden"/>
    <w:rsid w:val="003E3ED9"/>
    <w:pPr>
      <w:spacing w:line="240" w:lineRule="auto"/>
      <w:ind w:left="425" w:hanging="425"/>
      <w:jc w:val="both"/>
    </w:pPr>
    <w:rPr>
      <w:rFonts w:cs="Arial"/>
      <w:sz w:val="22"/>
      <w:szCs w:val="22"/>
      <w:lang w:eastAsia="sl-SI"/>
    </w:rPr>
  </w:style>
  <w:style w:type="paragraph" w:customStyle="1" w:styleId="footnotedescription">
    <w:name w:val="footnote description"/>
    <w:next w:val="Navaden"/>
    <w:link w:val="footnotedescriptionChar"/>
    <w:hidden/>
    <w:rsid w:val="003E3ED9"/>
    <w:pPr>
      <w:spacing w:line="259" w:lineRule="auto"/>
    </w:pPr>
    <w:rPr>
      <w:rFonts w:ascii="Georgia" w:eastAsia="Georgia" w:hAnsi="Georgia" w:cs="Georgia"/>
      <w:color w:val="000000"/>
      <w:sz w:val="18"/>
      <w:szCs w:val="22"/>
    </w:rPr>
  </w:style>
  <w:style w:type="character" w:customStyle="1" w:styleId="footnotedescriptionChar">
    <w:name w:val="footnote description Char"/>
    <w:link w:val="footnotedescription"/>
    <w:rsid w:val="003E3ED9"/>
    <w:rPr>
      <w:rFonts w:ascii="Georgia" w:eastAsia="Georgia" w:hAnsi="Georgia" w:cs="Georgia"/>
      <w:color w:val="000000"/>
      <w:sz w:val="18"/>
      <w:szCs w:val="22"/>
    </w:rPr>
  </w:style>
  <w:style w:type="character" w:customStyle="1" w:styleId="footnotemark">
    <w:name w:val="footnote mark"/>
    <w:hidden/>
    <w:rsid w:val="003E3ED9"/>
    <w:rPr>
      <w:rFonts w:ascii="Georgia" w:eastAsia="Georgia" w:hAnsi="Georgia" w:cs="Georgia"/>
      <w:color w:val="000000"/>
      <w:sz w:val="16"/>
      <w:vertAlign w:val="superscript"/>
    </w:rPr>
  </w:style>
  <w:style w:type="table" w:customStyle="1" w:styleId="TableGrid">
    <w:name w:val="TableGrid"/>
    <w:rsid w:val="003E3ED9"/>
    <w:rPr>
      <w:rFonts w:asciiTheme="minorHAnsi" w:hAnsiTheme="minorHAnsi" w:cstheme="minorBidi"/>
      <w:sz w:val="22"/>
      <w:szCs w:val="22"/>
    </w:rPr>
    <w:tblPr>
      <w:tblCellMar>
        <w:top w:w="0" w:type="dxa"/>
        <w:left w:w="0" w:type="dxa"/>
        <w:bottom w:w="0" w:type="dxa"/>
        <w:right w:w="0" w:type="dxa"/>
      </w:tblCellMar>
    </w:tblPr>
  </w:style>
  <w:style w:type="numbering" w:customStyle="1" w:styleId="Brezseznama11">
    <w:name w:val="Brez seznama11"/>
    <w:next w:val="Brezseznama"/>
    <w:uiPriority w:val="99"/>
    <w:semiHidden/>
    <w:unhideWhenUsed/>
    <w:rsid w:val="003E3ED9"/>
  </w:style>
  <w:style w:type="paragraph" w:customStyle="1" w:styleId="ZnakZnak11">
    <w:name w:val="Znak Znak11"/>
    <w:basedOn w:val="AOHead3"/>
    <w:next w:val="Navaden"/>
    <w:rsid w:val="003E3ED9"/>
    <w:pPr>
      <w:numPr>
        <w:ilvl w:val="0"/>
        <w:numId w:val="0"/>
      </w:numPr>
      <w:ind w:left="2160" w:hanging="360"/>
    </w:pPr>
  </w:style>
  <w:style w:type="paragraph" w:customStyle="1" w:styleId="Oddelek">
    <w:name w:val="Oddelek"/>
    <w:basedOn w:val="Navaden"/>
    <w:link w:val="OddelekZnak1"/>
    <w:qFormat/>
    <w:rsid w:val="003E3ED9"/>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eastAsia="sl-SI"/>
    </w:rPr>
  </w:style>
  <w:style w:type="paragraph" w:customStyle="1" w:styleId="rkovnatokazaodstavkom">
    <w:name w:val="Črkovna točka_za odstavkom"/>
    <w:basedOn w:val="Navaden"/>
    <w:qFormat/>
    <w:rsid w:val="003E3ED9"/>
    <w:pPr>
      <w:numPr>
        <w:numId w:val="9"/>
      </w:numPr>
      <w:overflowPunct w:val="0"/>
      <w:autoSpaceDE w:val="0"/>
      <w:autoSpaceDN w:val="0"/>
      <w:adjustRightInd w:val="0"/>
      <w:spacing w:line="200" w:lineRule="exact"/>
      <w:jc w:val="both"/>
      <w:textAlignment w:val="baseline"/>
    </w:pPr>
    <w:rPr>
      <w:rFonts w:eastAsia="Calibri"/>
      <w:szCs w:val="20"/>
      <w:lang w:eastAsia="sl-SI"/>
    </w:rPr>
  </w:style>
  <w:style w:type="paragraph" w:styleId="Navadensplet">
    <w:name w:val="Normal (Web)"/>
    <w:basedOn w:val="Navaden"/>
    <w:uiPriority w:val="99"/>
    <w:unhideWhenUsed/>
    <w:rsid w:val="003E3ED9"/>
    <w:pPr>
      <w:spacing w:before="100" w:beforeAutospacing="1" w:after="100" w:afterAutospacing="1" w:line="240" w:lineRule="auto"/>
    </w:pPr>
    <w:rPr>
      <w:rFonts w:ascii="Roboto" w:hAnsi="Roboto"/>
      <w:color w:val="333333"/>
      <w:sz w:val="24"/>
      <w:lang w:eastAsia="sl-SI"/>
    </w:rPr>
  </w:style>
  <w:style w:type="paragraph" w:customStyle="1" w:styleId="slikasredina">
    <w:name w:val="slikasredina"/>
    <w:basedOn w:val="Navaden"/>
    <w:rsid w:val="003E3ED9"/>
    <w:pPr>
      <w:spacing w:before="300" w:after="300" w:line="240" w:lineRule="auto"/>
      <w:ind w:left="300" w:right="300"/>
      <w:jc w:val="center"/>
    </w:pPr>
    <w:rPr>
      <w:rFonts w:ascii="Roboto" w:hAnsi="Roboto"/>
      <w:color w:val="333333"/>
      <w:sz w:val="24"/>
      <w:lang w:eastAsia="sl-SI"/>
    </w:rPr>
  </w:style>
  <w:style w:type="character" w:styleId="Poudarek">
    <w:name w:val="Emphasis"/>
    <w:basedOn w:val="Privzetapisavaodstavka"/>
    <w:uiPriority w:val="99"/>
    <w:qFormat/>
    <w:rsid w:val="003E3ED9"/>
    <w:rPr>
      <w:rFonts w:ascii="inherit" w:hAnsi="inherit" w:hint="default"/>
      <w:i/>
      <w:iCs/>
      <w:bdr w:val="none" w:sz="0" w:space="0" w:color="auto" w:frame="1"/>
      <w:vertAlign w:val="baseline"/>
    </w:rPr>
  </w:style>
  <w:style w:type="paragraph" w:customStyle="1" w:styleId="Oznaenseznam1">
    <w:name w:val="Označen seznam1"/>
    <w:basedOn w:val="Navaden"/>
    <w:next w:val="Oznaenseznam"/>
    <w:uiPriority w:val="99"/>
    <w:unhideWhenUsed/>
    <w:qFormat/>
    <w:rsid w:val="003E3ED9"/>
    <w:pPr>
      <w:numPr>
        <w:ilvl w:val="5"/>
        <w:numId w:val="10"/>
      </w:numPr>
      <w:tabs>
        <w:tab w:val="clear" w:pos="2074"/>
      </w:tabs>
      <w:spacing w:before="60" w:after="120" w:line="240" w:lineRule="auto"/>
      <w:ind w:left="346" w:hanging="360"/>
      <w:jc w:val="both"/>
    </w:pPr>
    <w:rPr>
      <w:rFonts w:asciiTheme="minorHAnsi" w:eastAsiaTheme="minorHAnsi" w:hAnsiTheme="minorHAnsi" w:cstheme="minorBidi"/>
      <w:szCs w:val="20"/>
    </w:rPr>
  </w:style>
  <w:style w:type="paragraph" w:customStyle="1" w:styleId="Oznaenseznam21">
    <w:name w:val="Označen seznam 21"/>
    <w:basedOn w:val="Navaden"/>
    <w:next w:val="Oznaenseznam2"/>
    <w:unhideWhenUsed/>
    <w:qFormat/>
    <w:rsid w:val="003E3ED9"/>
    <w:pPr>
      <w:numPr>
        <w:ilvl w:val="6"/>
        <w:numId w:val="10"/>
      </w:numPr>
      <w:tabs>
        <w:tab w:val="clear" w:pos="2419"/>
      </w:tabs>
      <w:spacing w:after="120" w:line="240" w:lineRule="auto"/>
      <w:ind w:left="692" w:hanging="346"/>
      <w:jc w:val="both"/>
    </w:pPr>
    <w:rPr>
      <w:rFonts w:asciiTheme="minorHAnsi" w:eastAsiaTheme="minorHAnsi" w:hAnsiTheme="minorHAnsi" w:cstheme="minorBidi"/>
      <w:szCs w:val="20"/>
    </w:rPr>
  </w:style>
  <w:style w:type="paragraph" w:customStyle="1" w:styleId="Oznaenseznam31">
    <w:name w:val="Označen seznam 31"/>
    <w:basedOn w:val="Navaden"/>
    <w:next w:val="Oznaenseznam3"/>
    <w:uiPriority w:val="99"/>
    <w:unhideWhenUsed/>
    <w:qFormat/>
    <w:rsid w:val="003E3ED9"/>
    <w:pPr>
      <w:numPr>
        <w:ilvl w:val="7"/>
        <w:numId w:val="10"/>
      </w:numPr>
      <w:tabs>
        <w:tab w:val="clear" w:pos="2765"/>
      </w:tabs>
      <w:spacing w:after="120" w:line="240" w:lineRule="auto"/>
      <w:ind w:left="1038" w:hanging="360"/>
    </w:pPr>
    <w:rPr>
      <w:rFonts w:asciiTheme="minorHAnsi" w:eastAsiaTheme="minorHAnsi" w:hAnsiTheme="minorHAnsi" w:cstheme="minorBidi"/>
      <w:szCs w:val="20"/>
    </w:rPr>
  </w:style>
  <w:style w:type="paragraph" w:customStyle="1" w:styleId="Oznaenseznam41">
    <w:name w:val="Označen seznam 41"/>
    <w:basedOn w:val="Navaden"/>
    <w:next w:val="Oznaenseznam4"/>
    <w:unhideWhenUsed/>
    <w:qFormat/>
    <w:rsid w:val="003E3ED9"/>
    <w:pPr>
      <w:numPr>
        <w:ilvl w:val="8"/>
        <w:numId w:val="10"/>
      </w:numPr>
      <w:tabs>
        <w:tab w:val="clear" w:pos="3110"/>
      </w:tabs>
      <w:spacing w:after="120" w:line="240" w:lineRule="auto"/>
      <w:ind w:left="6480" w:hanging="360"/>
    </w:pPr>
    <w:rPr>
      <w:rFonts w:asciiTheme="minorHAnsi" w:eastAsiaTheme="minorHAnsi" w:hAnsiTheme="minorHAnsi" w:cstheme="minorBidi"/>
      <w:szCs w:val="20"/>
    </w:rPr>
  </w:style>
  <w:style w:type="paragraph" w:customStyle="1" w:styleId="Oznaenseznam51">
    <w:name w:val="Označen seznam 51"/>
    <w:basedOn w:val="Navaden"/>
    <w:next w:val="Oznaenseznam5"/>
    <w:unhideWhenUsed/>
    <w:rsid w:val="003E3ED9"/>
    <w:pPr>
      <w:numPr>
        <w:ilvl w:val="4"/>
        <w:numId w:val="10"/>
      </w:numPr>
      <w:tabs>
        <w:tab w:val="clear" w:pos="1728"/>
      </w:tabs>
      <w:spacing w:after="120" w:line="240" w:lineRule="auto"/>
      <w:ind w:left="3600" w:hanging="360"/>
    </w:pPr>
    <w:rPr>
      <w:rFonts w:asciiTheme="minorHAnsi" w:eastAsiaTheme="minorHAnsi" w:hAnsiTheme="minorHAnsi" w:cstheme="minorBidi"/>
      <w:szCs w:val="20"/>
    </w:rPr>
  </w:style>
  <w:style w:type="character" w:customStyle="1" w:styleId="NapisZnak">
    <w:name w:val="Napis Znak"/>
    <w:link w:val="Napis"/>
    <w:uiPriority w:val="35"/>
    <w:semiHidden/>
    <w:rsid w:val="003E3ED9"/>
    <w:rPr>
      <w:rFonts w:ascii="Arial" w:eastAsia="Calibri" w:hAnsi="Arial"/>
      <w:i/>
      <w:iCs/>
      <w:color w:val="000000"/>
      <w:sz w:val="18"/>
      <w:szCs w:val="18"/>
      <w:lang w:eastAsia="en-US"/>
    </w:rPr>
  </w:style>
  <w:style w:type="paragraph" w:customStyle="1" w:styleId="Source">
    <w:name w:val="Source"/>
    <w:basedOn w:val="Telobesedila"/>
    <w:link w:val="SourceChar"/>
    <w:uiPriority w:val="99"/>
    <w:qFormat/>
    <w:rsid w:val="003E3ED9"/>
    <w:pPr>
      <w:suppressAutoHyphens w:val="0"/>
      <w:spacing w:before="120" w:after="160"/>
      <w:jc w:val="both"/>
    </w:pPr>
    <w:rPr>
      <w:rFonts w:ascii="Calibri" w:eastAsia="Calibri" w:hAnsi="Calibri"/>
      <w:i/>
      <w:color w:val="auto"/>
      <w:sz w:val="18"/>
      <w:szCs w:val="20"/>
      <w:lang w:val="sl-SI" w:eastAsia="en-US"/>
    </w:rPr>
  </w:style>
  <w:style w:type="character" w:customStyle="1" w:styleId="SourceChar">
    <w:name w:val="Source Char"/>
    <w:link w:val="Source"/>
    <w:uiPriority w:val="99"/>
    <w:locked/>
    <w:rsid w:val="003E3ED9"/>
    <w:rPr>
      <w:rFonts w:ascii="Calibri" w:eastAsia="Calibri" w:hAnsi="Calibri"/>
      <w:i/>
      <w:sz w:val="18"/>
      <w:lang w:eastAsia="en-US"/>
    </w:rPr>
  </w:style>
  <w:style w:type="table" w:customStyle="1" w:styleId="PwCTableText">
    <w:name w:val="PwC Table Text"/>
    <w:basedOn w:val="Navadnatabela"/>
    <w:uiPriority w:val="99"/>
    <w:rsid w:val="003E3ED9"/>
    <w:pPr>
      <w:spacing w:before="100" w:beforeAutospacing="1" w:after="100" w:afterAutospacing="1"/>
    </w:pPr>
    <w:rPr>
      <w:rFonts w:ascii="Georgia" w:eastAsiaTheme="minorHAnsi" w:hAnsi="Georgia" w:cstheme="minorBidi"/>
      <w:sz w:val="18"/>
      <w:lang w:val="en-US" w:eastAsia="en-US"/>
    </w:rPr>
    <w:tblPr>
      <w:tblBorders>
        <w:insideH w:val="dotted" w:sz="4" w:space="0" w:color="529DBA"/>
      </w:tblBorders>
      <w:tblCellMar>
        <w:top w:w="72" w:type="dxa"/>
        <w:left w:w="115" w:type="dxa"/>
        <w:bottom w:w="72" w:type="dxa"/>
        <w:right w:w="115" w:type="dxa"/>
      </w:tblCellMar>
    </w:tblPr>
    <w:tcPr>
      <w:vAlign w:val="center"/>
    </w:tcPr>
    <w:tblStylePr w:type="firstRow">
      <w:pPr>
        <w:jc w:val="left"/>
      </w:pPr>
      <w:rPr>
        <w:rFonts w:ascii="Cambria" w:hAnsi="Cambria"/>
        <w:b/>
        <w:color w:val="000000"/>
        <w:sz w:val="18"/>
      </w:rPr>
      <w:tblPr/>
      <w:tcPr>
        <w:tcBorders>
          <w:top w:val="single" w:sz="6" w:space="0" w:color="529DBA"/>
          <w:left w:val="nil"/>
          <w:bottom w:val="single" w:sz="6" w:space="0" w:color="529DBA"/>
          <w:right w:val="nil"/>
          <w:insideH w:val="nil"/>
          <w:insideV w:val="nil"/>
          <w:tl2br w:val="nil"/>
          <w:tr2bl w:val="nil"/>
        </w:tcBorders>
      </w:tcPr>
    </w:tblStylePr>
  </w:style>
  <w:style w:type="character" w:styleId="Krepko">
    <w:name w:val="Strong"/>
    <w:basedOn w:val="Privzetapisavaodstavka"/>
    <w:uiPriority w:val="22"/>
    <w:qFormat/>
    <w:rsid w:val="003E3ED9"/>
    <w:rPr>
      <w:b/>
      <w:bCs/>
    </w:rPr>
  </w:style>
  <w:style w:type="paragraph" w:customStyle="1" w:styleId="AppendixHeading1">
    <w:name w:val="Appendix Heading 1"/>
    <w:basedOn w:val="Naslov1"/>
    <w:next w:val="AppendixHeading2"/>
    <w:rsid w:val="003E3ED9"/>
    <w:pPr>
      <w:keepNext w:val="0"/>
      <w:pageBreakBefore/>
      <w:numPr>
        <w:numId w:val="11"/>
      </w:numPr>
      <w:spacing w:before="0" w:after="480" w:line="0" w:lineRule="atLeast"/>
      <w:ind w:left="533"/>
    </w:pPr>
    <w:rPr>
      <w:rFonts w:ascii="Cambria" w:hAnsi="Cambria"/>
      <w:i/>
      <w:color w:val="999999"/>
      <w:kern w:val="0"/>
      <w:sz w:val="32"/>
      <w:szCs w:val="20"/>
      <w:lang w:eastAsia="en-US"/>
    </w:rPr>
  </w:style>
  <w:style w:type="paragraph" w:customStyle="1" w:styleId="AppendixHeading2">
    <w:name w:val="Appendix Heading 2"/>
    <w:basedOn w:val="AppendixHeading1"/>
    <w:next w:val="Telobesedila"/>
    <w:rsid w:val="003E3ED9"/>
    <w:pPr>
      <w:pageBreakBefore w:val="0"/>
      <w:numPr>
        <w:ilvl w:val="1"/>
      </w:numPr>
      <w:spacing w:after="160"/>
      <w:ind w:left="612"/>
      <w:outlineLvl w:val="1"/>
    </w:pPr>
    <w:rPr>
      <w:sz w:val="28"/>
    </w:rPr>
  </w:style>
  <w:style w:type="paragraph" w:customStyle="1" w:styleId="Address">
    <w:name w:val="Address"/>
    <w:basedOn w:val="Navaden"/>
    <w:link w:val="AddressChar"/>
    <w:qFormat/>
    <w:rsid w:val="003E3ED9"/>
    <w:pPr>
      <w:spacing w:line="200" w:lineRule="atLeast"/>
    </w:pPr>
    <w:rPr>
      <w:rFonts w:asciiTheme="minorHAnsi" w:eastAsiaTheme="minorHAnsi" w:hAnsiTheme="minorHAnsi" w:cstheme="minorBidi"/>
      <w:i/>
      <w:sz w:val="18"/>
      <w:szCs w:val="20"/>
    </w:rPr>
  </w:style>
  <w:style w:type="character" w:customStyle="1" w:styleId="AddressChar">
    <w:name w:val="Address Char"/>
    <w:basedOn w:val="Privzetapisavaodstavka"/>
    <w:link w:val="Address"/>
    <w:locked/>
    <w:rsid w:val="003E3ED9"/>
    <w:rPr>
      <w:rFonts w:asciiTheme="minorHAnsi" w:eastAsiaTheme="minorHAnsi" w:hAnsiTheme="minorHAnsi" w:cstheme="minorBidi"/>
      <w:i/>
      <w:sz w:val="18"/>
      <w:lang w:eastAsia="en-US"/>
    </w:rPr>
  </w:style>
  <w:style w:type="paragraph" w:customStyle="1" w:styleId="Blokbesedila1">
    <w:name w:val="Blok besedila1"/>
    <w:basedOn w:val="Telobesedila"/>
    <w:next w:val="Blokbesedila"/>
    <w:uiPriority w:val="99"/>
    <w:unhideWhenUsed/>
    <w:rsid w:val="003E3ED9"/>
    <w:pPr>
      <w:framePr w:wrap="around" w:vAnchor="text" w:hAnchor="text" w:y="1"/>
      <w:pBdr>
        <w:top w:val="single" w:sz="2" w:space="10" w:color="000000" w:shadow="1"/>
        <w:left w:val="single" w:sz="2" w:space="10" w:color="000000" w:shadow="1"/>
        <w:bottom w:val="single" w:sz="2" w:space="10" w:color="000000" w:shadow="1"/>
        <w:right w:val="single" w:sz="2" w:space="10" w:color="000000" w:shadow="1"/>
      </w:pBdr>
      <w:suppressAutoHyphens w:val="0"/>
      <w:spacing w:after="160"/>
      <w:ind w:left="232" w:right="232"/>
      <w:jc w:val="both"/>
    </w:pPr>
    <w:rPr>
      <w:rFonts w:ascii="Calibri" w:hAnsi="Calibri"/>
      <w:iCs/>
      <w:color w:val="000000"/>
      <w:szCs w:val="20"/>
      <w:lang w:val="sl-SI" w:eastAsia="en-US"/>
    </w:rPr>
  </w:style>
  <w:style w:type="paragraph" w:customStyle="1" w:styleId="BlockText3">
    <w:name w:val="Block Text 3"/>
    <w:basedOn w:val="Telobesedila"/>
    <w:rsid w:val="003E3ED9"/>
    <w:pPr>
      <w:pBdr>
        <w:top w:val="single" w:sz="8" w:space="10" w:color="529DBA"/>
        <w:left w:val="single" w:sz="8" w:space="10" w:color="529DBA"/>
        <w:bottom w:val="single" w:sz="8" w:space="10" w:color="529DBA"/>
        <w:right w:val="single" w:sz="8" w:space="10" w:color="529DBA"/>
      </w:pBdr>
      <w:shd w:val="clear" w:color="auto" w:fill="529DBA"/>
      <w:suppressAutoHyphens w:val="0"/>
      <w:spacing w:after="160"/>
      <w:ind w:left="230" w:right="230"/>
      <w:jc w:val="both"/>
    </w:pPr>
    <w:rPr>
      <w:rFonts w:ascii="Calibri" w:eastAsia="Calibri" w:hAnsi="Calibri"/>
      <w:b/>
      <w:i/>
      <w:color w:val="FFFFFF"/>
      <w:szCs w:val="20"/>
      <w:lang w:val="sl-SI" w:eastAsia="en-US"/>
    </w:rPr>
  </w:style>
  <w:style w:type="paragraph" w:customStyle="1" w:styleId="Callout">
    <w:name w:val="Callout"/>
    <w:basedOn w:val="Telobesedila"/>
    <w:next w:val="Telobesedila"/>
    <w:rsid w:val="003E3ED9"/>
    <w:pPr>
      <w:framePr w:w="2102" w:hSpace="230" w:wrap="around" w:vAnchor="text" w:hAnchor="page" w:x="1023" w:y="203"/>
      <w:suppressAutoHyphens w:val="0"/>
      <w:spacing w:after="160"/>
      <w:jc w:val="both"/>
    </w:pPr>
    <w:rPr>
      <w:rFonts w:ascii="Calibri" w:eastAsia="Calibri" w:hAnsi="Calibri"/>
      <w:i/>
      <w:color w:val="000000"/>
      <w:sz w:val="16"/>
      <w:szCs w:val="20"/>
      <w:lang w:val="sl-SI" w:eastAsia="en-US"/>
    </w:rPr>
  </w:style>
  <w:style w:type="paragraph" w:customStyle="1" w:styleId="Datum1">
    <w:name w:val="Datum1"/>
    <w:basedOn w:val="Navaden"/>
    <w:next w:val="Telobesedila"/>
    <w:uiPriority w:val="99"/>
    <w:unhideWhenUsed/>
    <w:rsid w:val="003E3ED9"/>
    <w:pPr>
      <w:spacing w:after="160" w:line="276" w:lineRule="auto"/>
      <w:ind w:left="2376"/>
    </w:pPr>
    <w:rPr>
      <w:rFonts w:asciiTheme="minorHAnsi" w:eastAsiaTheme="minorHAnsi" w:hAnsiTheme="minorHAnsi" w:cstheme="minorBidi"/>
      <w:sz w:val="28"/>
      <w:szCs w:val="20"/>
    </w:rPr>
  </w:style>
  <w:style w:type="character" w:customStyle="1" w:styleId="DatumZnak">
    <w:name w:val="Datum Znak"/>
    <w:basedOn w:val="Privzetapisavaodstavka"/>
    <w:link w:val="Datum"/>
    <w:uiPriority w:val="99"/>
    <w:rsid w:val="003E3ED9"/>
    <w:rPr>
      <w:rFonts w:ascii="Calibri" w:eastAsia="Calibri" w:hAnsi="Calibri"/>
      <w:sz w:val="28"/>
      <w:lang w:eastAsia="en-US"/>
    </w:rPr>
  </w:style>
  <w:style w:type="paragraph" w:customStyle="1" w:styleId="Disclaimer">
    <w:name w:val="Disclaimer"/>
    <w:basedOn w:val="Telobesedila"/>
    <w:link w:val="DisclaimerChar"/>
    <w:qFormat/>
    <w:rsid w:val="003E3ED9"/>
    <w:pPr>
      <w:suppressAutoHyphens w:val="0"/>
      <w:spacing w:line="140" w:lineRule="atLeast"/>
      <w:jc w:val="both"/>
    </w:pPr>
    <w:rPr>
      <w:rFonts w:ascii="Calibri" w:eastAsia="Calibri" w:hAnsi="Calibri"/>
      <w:color w:val="auto"/>
      <w:sz w:val="16"/>
      <w:szCs w:val="20"/>
      <w:lang w:val="sl-SI" w:eastAsia="en-US"/>
    </w:rPr>
  </w:style>
  <w:style w:type="character" w:customStyle="1" w:styleId="DisclaimerChar">
    <w:name w:val="Disclaimer Char"/>
    <w:basedOn w:val="Privzetapisavaodstavka"/>
    <w:link w:val="Disclaimer"/>
    <w:locked/>
    <w:rsid w:val="003E3ED9"/>
    <w:rPr>
      <w:rFonts w:ascii="Calibri" w:eastAsia="Calibri" w:hAnsi="Calibri"/>
      <w:sz w:val="16"/>
      <w:lang w:eastAsia="en-US"/>
    </w:rPr>
  </w:style>
  <w:style w:type="paragraph" w:customStyle="1" w:styleId="DividerHeader">
    <w:name w:val="Divider Header"/>
    <w:rsid w:val="003E3ED9"/>
    <w:pPr>
      <w:spacing w:after="240" w:line="240" w:lineRule="atLeast"/>
    </w:pPr>
    <w:rPr>
      <w:rFonts w:ascii="Cambria" w:eastAsiaTheme="minorHAnsi" w:hAnsi="Cambria" w:cstheme="minorBidi"/>
      <w:b/>
      <w:i/>
      <w:color w:val="000000"/>
      <w:sz w:val="64"/>
      <w:lang w:val="en-US" w:eastAsia="en-US"/>
    </w:rPr>
  </w:style>
  <w:style w:type="paragraph" w:customStyle="1" w:styleId="ExhibitHeading1">
    <w:name w:val="Exhibit Heading 1"/>
    <w:basedOn w:val="Telobesedila"/>
    <w:next w:val="Telobesedila"/>
    <w:qFormat/>
    <w:rsid w:val="003E3ED9"/>
    <w:pPr>
      <w:keepNext/>
      <w:pageBreakBefore/>
      <w:numPr>
        <w:ilvl w:val="3"/>
        <w:numId w:val="15"/>
      </w:numPr>
      <w:suppressAutoHyphens w:val="0"/>
      <w:spacing w:after="480" w:line="0" w:lineRule="atLeast"/>
      <w:ind w:left="0" w:firstLine="0"/>
      <w:jc w:val="both"/>
      <w:outlineLvl w:val="0"/>
    </w:pPr>
    <w:rPr>
      <w:rFonts w:ascii="Cambria" w:eastAsia="Calibri" w:hAnsi="Cambria"/>
      <w:b/>
      <w:i/>
      <w:color w:val="auto"/>
      <w:sz w:val="48"/>
      <w:szCs w:val="20"/>
      <w:lang w:val="sl-SI" w:eastAsia="en-US"/>
    </w:rPr>
  </w:style>
  <w:style w:type="paragraph" w:customStyle="1" w:styleId="ExhibitHeading2">
    <w:name w:val="Exhibit Heading 2"/>
    <w:basedOn w:val="ExhibitHeading1"/>
    <w:next w:val="Telobesedila"/>
    <w:qFormat/>
    <w:rsid w:val="003E3ED9"/>
    <w:pPr>
      <w:pageBreakBefore w:val="0"/>
      <w:numPr>
        <w:ilvl w:val="4"/>
      </w:numPr>
      <w:spacing w:after="160"/>
      <w:ind w:left="504" w:hanging="504"/>
      <w:outlineLvl w:val="1"/>
    </w:pPr>
    <w:rPr>
      <w:color w:val="000000"/>
      <w:sz w:val="32"/>
    </w:rPr>
  </w:style>
  <w:style w:type="paragraph" w:customStyle="1" w:styleId="ExhibitHeading3">
    <w:name w:val="Exhibit Heading 3"/>
    <w:basedOn w:val="ExhibitHeading2"/>
    <w:next w:val="Telobesedila"/>
    <w:qFormat/>
    <w:rsid w:val="003E3ED9"/>
    <w:pPr>
      <w:numPr>
        <w:ilvl w:val="2"/>
      </w:numPr>
      <w:ind w:left="648" w:hanging="648"/>
      <w:outlineLvl w:val="2"/>
    </w:pPr>
    <w:rPr>
      <w:sz w:val="28"/>
    </w:rPr>
  </w:style>
  <w:style w:type="paragraph" w:customStyle="1" w:styleId="ExhibitHeading4">
    <w:name w:val="Exhibit Heading 4"/>
    <w:basedOn w:val="ExhibitHeading3"/>
    <w:next w:val="Telobesedila"/>
    <w:qFormat/>
    <w:rsid w:val="003E3ED9"/>
    <w:pPr>
      <w:numPr>
        <w:ilvl w:val="3"/>
        <w:numId w:val="7"/>
      </w:numPr>
      <w:ind w:left="792" w:hanging="792"/>
      <w:outlineLvl w:val="3"/>
    </w:pPr>
    <w:rPr>
      <w:b w:val="0"/>
    </w:rPr>
  </w:style>
  <w:style w:type="paragraph" w:customStyle="1" w:styleId="ExhibitHeading5">
    <w:name w:val="Exhibit Heading 5"/>
    <w:basedOn w:val="ExhibitHeading4"/>
    <w:next w:val="Telobesedila"/>
    <w:qFormat/>
    <w:rsid w:val="003E3ED9"/>
    <w:pPr>
      <w:numPr>
        <w:ilvl w:val="4"/>
      </w:numPr>
      <w:ind w:left="864" w:hanging="864"/>
      <w:outlineLvl w:val="4"/>
    </w:pPr>
    <w:rPr>
      <w:sz w:val="24"/>
    </w:rPr>
  </w:style>
  <w:style w:type="character" w:customStyle="1" w:styleId="SledenaHiperpovezava1">
    <w:name w:val="SledenaHiperpovezava1"/>
    <w:basedOn w:val="Privzetapisavaodstavka"/>
    <w:uiPriority w:val="99"/>
    <w:semiHidden/>
    <w:unhideWhenUsed/>
    <w:rsid w:val="003E3ED9"/>
    <w:rPr>
      <w:color w:val="54B5A9"/>
      <w:u w:val="single"/>
    </w:rPr>
  </w:style>
  <w:style w:type="paragraph" w:customStyle="1" w:styleId="Guidance">
    <w:name w:val="Guidance"/>
    <w:basedOn w:val="Navaden"/>
    <w:link w:val="GuidanceChar"/>
    <w:uiPriority w:val="99"/>
    <w:qFormat/>
    <w:rsid w:val="003E3ED9"/>
    <w:pPr>
      <w:spacing w:after="100" w:afterAutospacing="1" w:line="276" w:lineRule="auto"/>
    </w:pPr>
    <w:rPr>
      <w:rFonts w:eastAsiaTheme="minorHAnsi" w:cstheme="minorBidi"/>
      <w:color w:val="00A5FF"/>
      <w:sz w:val="16"/>
      <w:szCs w:val="20"/>
    </w:rPr>
  </w:style>
  <w:style w:type="character" w:customStyle="1" w:styleId="GuidanceChar">
    <w:name w:val="Guidance Char"/>
    <w:basedOn w:val="Privzetapisavaodstavka"/>
    <w:link w:val="Guidance"/>
    <w:uiPriority w:val="99"/>
    <w:rsid w:val="003E3ED9"/>
    <w:rPr>
      <w:rFonts w:ascii="Arial" w:eastAsiaTheme="minorHAnsi" w:hAnsi="Arial" w:cstheme="minorBidi"/>
      <w:color w:val="00A5FF"/>
      <w:sz w:val="16"/>
      <w:lang w:eastAsia="en-US"/>
    </w:rPr>
  </w:style>
  <w:style w:type="character" w:customStyle="1" w:styleId="HTML-kratica1">
    <w:name w:val="HTML-kratica1"/>
    <w:basedOn w:val="Privzetapisavaodstavka"/>
    <w:uiPriority w:val="99"/>
    <w:semiHidden/>
    <w:unhideWhenUsed/>
    <w:rsid w:val="003E3ED9"/>
    <w:rPr>
      <w:color w:val="000000"/>
    </w:rPr>
  </w:style>
  <w:style w:type="paragraph" w:customStyle="1" w:styleId="Stvarnokazalo11">
    <w:name w:val="Stvarno kazalo 11"/>
    <w:basedOn w:val="Navaden"/>
    <w:next w:val="Navaden"/>
    <w:autoRedefine/>
    <w:uiPriority w:val="99"/>
    <w:unhideWhenUsed/>
    <w:rsid w:val="003E3ED9"/>
    <w:pPr>
      <w:spacing w:after="120" w:line="240" w:lineRule="auto"/>
      <w:ind w:left="202" w:hanging="202"/>
    </w:pPr>
    <w:rPr>
      <w:rFonts w:asciiTheme="minorHAnsi" w:eastAsiaTheme="minorHAnsi" w:hAnsiTheme="minorHAnsi" w:cstheme="minorBidi"/>
      <w:szCs w:val="20"/>
    </w:rPr>
  </w:style>
  <w:style w:type="paragraph" w:customStyle="1" w:styleId="Stvarnokazalo21">
    <w:name w:val="Stvarno kazalo 21"/>
    <w:basedOn w:val="Navaden"/>
    <w:next w:val="Navaden"/>
    <w:autoRedefine/>
    <w:uiPriority w:val="99"/>
    <w:unhideWhenUsed/>
    <w:rsid w:val="003E3ED9"/>
    <w:pPr>
      <w:spacing w:after="120" w:line="240" w:lineRule="auto"/>
      <w:ind w:left="404" w:hanging="202"/>
    </w:pPr>
    <w:rPr>
      <w:rFonts w:asciiTheme="minorHAnsi" w:eastAsiaTheme="minorHAnsi" w:hAnsiTheme="minorHAnsi" w:cstheme="minorBidi"/>
      <w:szCs w:val="20"/>
    </w:rPr>
  </w:style>
  <w:style w:type="paragraph" w:customStyle="1" w:styleId="Stvarnokazalo31">
    <w:name w:val="Stvarno kazalo 31"/>
    <w:basedOn w:val="Navaden"/>
    <w:next w:val="Navaden"/>
    <w:autoRedefine/>
    <w:uiPriority w:val="99"/>
    <w:unhideWhenUsed/>
    <w:rsid w:val="003E3ED9"/>
    <w:pPr>
      <w:spacing w:after="120" w:line="240" w:lineRule="auto"/>
      <w:ind w:left="605" w:hanging="202"/>
    </w:pPr>
    <w:rPr>
      <w:rFonts w:asciiTheme="minorHAnsi" w:eastAsiaTheme="minorHAnsi" w:hAnsiTheme="minorHAnsi" w:cstheme="minorBidi"/>
      <w:szCs w:val="20"/>
    </w:rPr>
  </w:style>
  <w:style w:type="paragraph" w:customStyle="1" w:styleId="Stvarnokazalo41">
    <w:name w:val="Stvarno kazalo 41"/>
    <w:basedOn w:val="Navaden"/>
    <w:next w:val="Navaden"/>
    <w:autoRedefine/>
    <w:uiPriority w:val="99"/>
    <w:unhideWhenUsed/>
    <w:rsid w:val="003E3ED9"/>
    <w:pPr>
      <w:spacing w:line="240" w:lineRule="auto"/>
      <w:ind w:left="800" w:hanging="200"/>
    </w:pPr>
    <w:rPr>
      <w:rFonts w:asciiTheme="minorHAnsi" w:eastAsiaTheme="minorHAnsi" w:hAnsiTheme="minorHAnsi" w:cstheme="minorBidi"/>
      <w:szCs w:val="20"/>
    </w:rPr>
  </w:style>
  <w:style w:type="paragraph" w:customStyle="1" w:styleId="Stvarnokazalo51">
    <w:name w:val="Stvarno kazalo 51"/>
    <w:basedOn w:val="Navaden"/>
    <w:next w:val="Navaden"/>
    <w:autoRedefine/>
    <w:uiPriority w:val="99"/>
    <w:unhideWhenUsed/>
    <w:rsid w:val="003E3ED9"/>
    <w:pPr>
      <w:spacing w:after="120" w:line="240" w:lineRule="auto"/>
      <w:ind w:left="1008" w:hanging="202"/>
    </w:pPr>
    <w:rPr>
      <w:rFonts w:asciiTheme="minorHAnsi" w:eastAsiaTheme="minorHAnsi" w:hAnsiTheme="minorHAnsi" w:cstheme="minorBidi"/>
      <w:szCs w:val="20"/>
    </w:rPr>
  </w:style>
  <w:style w:type="paragraph" w:customStyle="1" w:styleId="Stvarnokazalo61">
    <w:name w:val="Stvarno kazalo 61"/>
    <w:basedOn w:val="Navaden"/>
    <w:next w:val="Navaden"/>
    <w:autoRedefine/>
    <w:uiPriority w:val="99"/>
    <w:unhideWhenUsed/>
    <w:rsid w:val="003E3ED9"/>
    <w:pPr>
      <w:spacing w:after="120" w:line="240" w:lineRule="auto"/>
      <w:ind w:left="1196" w:hanging="202"/>
    </w:pPr>
    <w:rPr>
      <w:rFonts w:asciiTheme="minorHAnsi" w:eastAsiaTheme="minorHAnsi" w:hAnsiTheme="minorHAnsi" w:cstheme="minorBidi"/>
      <w:szCs w:val="20"/>
    </w:rPr>
  </w:style>
  <w:style w:type="paragraph" w:customStyle="1" w:styleId="Stvarnokazalo71">
    <w:name w:val="Stvarno kazalo 71"/>
    <w:basedOn w:val="Navaden"/>
    <w:next w:val="Navaden"/>
    <w:autoRedefine/>
    <w:uiPriority w:val="99"/>
    <w:unhideWhenUsed/>
    <w:rsid w:val="003E3ED9"/>
    <w:pPr>
      <w:spacing w:after="120" w:line="240" w:lineRule="auto"/>
      <w:ind w:left="1397" w:hanging="202"/>
    </w:pPr>
    <w:rPr>
      <w:rFonts w:asciiTheme="minorHAnsi" w:eastAsiaTheme="minorHAnsi" w:hAnsiTheme="minorHAnsi" w:cstheme="minorBidi"/>
      <w:szCs w:val="20"/>
    </w:rPr>
  </w:style>
  <w:style w:type="paragraph" w:customStyle="1" w:styleId="Stvarnokazalo81">
    <w:name w:val="Stvarno kazalo 81"/>
    <w:basedOn w:val="Navaden"/>
    <w:next w:val="Navaden"/>
    <w:autoRedefine/>
    <w:uiPriority w:val="99"/>
    <w:unhideWhenUsed/>
    <w:rsid w:val="003E3ED9"/>
    <w:pPr>
      <w:spacing w:after="120" w:line="240" w:lineRule="auto"/>
      <w:ind w:left="1599" w:hanging="202"/>
    </w:pPr>
    <w:rPr>
      <w:rFonts w:asciiTheme="minorHAnsi" w:eastAsiaTheme="minorHAnsi" w:hAnsiTheme="minorHAnsi" w:cstheme="minorBidi"/>
      <w:szCs w:val="20"/>
    </w:rPr>
  </w:style>
  <w:style w:type="paragraph" w:customStyle="1" w:styleId="Stvarnokazalo91">
    <w:name w:val="Stvarno kazalo 91"/>
    <w:basedOn w:val="Navaden"/>
    <w:next w:val="Navaden"/>
    <w:autoRedefine/>
    <w:uiPriority w:val="99"/>
    <w:unhideWhenUsed/>
    <w:rsid w:val="003E3ED9"/>
    <w:pPr>
      <w:spacing w:after="120" w:line="240" w:lineRule="auto"/>
      <w:ind w:left="1800" w:hanging="202"/>
    </w:pPr>
    <w:rPr>
      <w:rFonts w:asciiTheme="minorHAnsi" w:eastAsiaTheme="minorHAnsi" w:hAnsiTheme="minorHAnsi" w:cstheme="minorBidi"/>
      <w:szCs w:val="20"/>
    </w:rPr>
  </w:style>
  <w:style w:type="paragraph" w:customStyle="1" w:styleId="Stvarnokazalo-naslov1">
    <w:name w:val="Stvarno kazalo - naslov1"/>
    <w:basedOn w:val="Navaden"/>
    <w:next w:val="Stvarnokazalo1"/>
    <w:uiPriority w:val="99"/>
    <w:unhideWhenUsed/>
    <w:rsid w:val="003E3ED9"/>
    <w:pPr>
      <w:spacing w:after="160" w:line="240" w:lineRule="auto"/>
    </w:pPr>
    <w:rPr>
      <w:rFonts w:ascii="Cambria" w:hAnsi="Cambria"/>
      <w:b/>
      <w:bCs/>
      <w:szCs w:val="20"/>
    </w:rPr>
  </w:style>
  <w:style w:type="character" w:customStyle="1" w:styleId="Intenzivenpoudarek1">
    <w:name w:val="Intenziven poudarek1"/>
    <w:basedOn w:val="Privzetapisavaodstavka"/>
    <w:uiPriority w:val="21"/>
    <w:rsid w:val="003E3ED9"/>
    <w:rPr>
      <w:i/>
      <w:iCs/>
      <w:color w:val="529DBA"/>
    </w:rPr>
  </w:style>
  <w:style w:type="paragraph" w:customStyle="1" w:styleId="HeadingText">
    <w:name w:val="Heading Text"/>
    <w:basedOn w:val="Telobesedila"/>
    <w:next w:val="Telobesedila"/>
    <w:qFormat/>
    <w:rsid w:val="003E3ED9"/>
    <w:pPr>
      <w:suppressAutoHyphens w:val="0"/>
      <w:spacing w:after="80"/>
      <w:jc w:val="both"/>
    </w:pPr>
    <w:rPr>
      <w:rFonts w:ascii="Calibri" w:eastAsia="Calibri" w:hAnsi="Calibri"/>
      <w:b/>
      <w:color w:val="000000"/>
      <w:sz w:val="20"/>
      <w:szCs w:val="20"/>
      <w:lang w:val="sl-SI" w:eastAsia="en-US"/>
    </w:rPr>
  </w:style>
  <w:style w:type="character" w:customStyle="1" w:styleId="Intenzivensklic1">
    <w:name w:val="Intenziven sklic1"/>
    <w:basedOn w:val="Privzetapisavaodstavka"/>
    <w:uiPriority w:val="32"/>
    <w:rsid w:val="003E3ED9"/>
    <w:rPr>
      <w:b/>
      <w:bCs/>
      <w:smallCaps/>
      <w:color w:val="529DBA"/>
      <w:spacing w:val="5"/>
    </w:rPr>
  </w:style>
  <w:style w:type="paragraph" w:customStyle="1" w:styleId="Intenzivencitat1">
    <w:name w:val="Intenziven citat1"/>
    <w:basedOn w:val="Navaden"/>
    <w:next w:val="Navaden"/>
    <w:uiPriority w:val="30"/>
    <w:rsid w:val="003E3ED9"/>
    <w:pPr>
      <w:pBdr>
        <w:bottom w:val="single" w:sz="4" w:space="10" w:color="529DBA"/>
      </w:pBdr>
      <w:spacing w:before="200" w:after="280" w:line="276" w:lineRule="auto"/>
      <w:ind w:left="936" w:right="936"/>
    </w:pPr>
    <w:rPr>
      <w:rFonts w:asciiTheme="minorHAnsi" w:eastAsiaTheme="minorHAnsi" w:hAnsiTheme="minorHAnsi" w:cstheme="minorBidi"/>
      <w:b/>
      <w:i/>
      <w:iCs/>
      <w:color w:val="529DBA"/>
      <w:szCs w:val="20"/>
    </w:rPr>
  </w:style>
  <w:style w:type="character" w:customStyle="1" w:styleId="IntenzivencitatZnak">
    <w:name w:val="Intenziven citat Znak"/>
    <w:basedOn w:val="Privzetapisavaodstavka"/>
    <w:link w:val="Intenzivencitat"/>
    <w:uiPriority w:val="30"/>
    <w:rsid w:val="003E3ED9"/>
    <w:rPr>
      <w:rFonts w:ascii="Calibri" w:eastAsia="Calibri" w:hAnsi="Calibri"/>
      <w:b/>
      <w:i/>
      <w:iCs/>
      <w:color w:val="529DBA"/>
      <w:lang w:eastAsia="en-US"/>
    </w:rPr>
  </w:style>
  <w:style w:type="character" w:styleId="tevilkavrstice">
    <w:name w:val="line number"/>
    <w:basedOn w:val="Privzetapisavaodstavka"/>
    <w:uiPriority w:val="99"/>
    <w:unhideWhenUsed/>
    <w:rsid w:val="003E3ED9"/>
  </w:style>
  <w:style w:type="paragraph" w:customStyle="1" w:styleId="Seznam1">
    <w:name w:val="Seznam1"/>
    <w:basedOn w:val="Navaden"/>
    <w:next w:val="Seznam"/>
    <w:uiPriority w:val="99"/>
    <w:unhideWhenUsed/>
    <w:rsid w:val="003E3ED9"/>
    <w:pPr>
      <w:spacing w:after="120" w:line="240" w:lineRule="auto"/>
      <w:ind w:left="346"/>
    </w:pPr>
    <w:rPr>
      <w:rFonts w:asciiTheme="minorHAnsi" w:eastAsiaTheme="minorHAnsi" w:hAnsiTheme="minorHAnsi" w:cstheme="minorBidi"/>
      <w:szCs w:val="20"/>
    </w:rPr>
  </w:style>
  <w:style w:type="paragraph" w:customStyle="1" w:styleId="Seznam21">
    <w:name w:val="Seznam 21"/>
    <w:basedOn w:val="Seznam"/>
    <w:next w:val="Seznam2"/>
    <w:uiPriority w:val="99"/>
    <w:unhideWhenUsed/>
    <w:rsid w:val="003E3ED9"/>
    <w:pPr>
      <w:spacing w:after="120" w:line="240" w:lineRule="auto"/>
      <w:ind w:left="691" w:firstLine="0"/>
      <w:contextualSpacing w:val="0"/>
    </w:pPr>
    <w:rPr>
      <w:sz w:val="20"/>
      <w:szCs w:val="20"/>
    </w:rPr>
  </w:style>
  <w:style w:type="paragraph" w:customStyle="1" w:styleId="Seznam41">
    <w:name w:val="Seznam 41"/>
    <w:basedOn w:val="Seznam3"/>
    <w:next w:val="Seznam4"/>
    <w:uiPriority w:val="99"/>
    <w:unhideWhenUsed/>
    <w:rsid w:val="003E3ED9"/>
    <w:pPr>
      <w:spacing w:after="120" w:line="240" w:lineRule="auto"/>
      <w:ind w:left="1382" w:firstLine="0"/>
      <w:contextualSpacing w:val="0"/>
    </w:pPr>
    <w:rPr>
      <w:sz w:val="20"/>
      <w:szCs w:val="20"/>
    </w:rPr>
  </w:style>
  <w:style w:type="paragraph" w:customStyle="1" w:styleId="Seznam31">
    <w:name w:val="Seznam 31"/>
    <w:basedOn w:val="Seznam2"/>
    <w:next w:val="Seznam3"/>
    <w:uiPriority w:val="99"/>
    <w:unhideWhenUsed/>
    <w:rsid w:val="003E3ED9"/>
    <w:pPr>
      <w:spacing w:after="120" w:line="240" w:lineRule="auto"/>
      <w:ind w:left="2232" w:hanging="1195"/>
      <w:contextualSpacing w:val="0"/>
    </w:pPr>
    <w:rPr>
      <w:sz w:val="20"/>
      <w:szCs w:val="20"/>
    </w:rPr>
  </w:style>
  <w:style w:type="paragraph" w:customStyle="1" w:styleId="Seznam51">
    <w:name w:val="Seznam 51"/>
    <w:basedOn w:val="Navaden"/>
    <w:next w:val="Seznam5"/>
    <w:uiPriority w:val="99"/>
    <w:unhideWhenUsed/>
    <w:rsid w:val="003E3ED9"/>
    <w:pPr>
      <w:spacing w:after="120" w:line="240" w:lineRule="auto"/>
      <w:ind w:left="1728"/>
    </w:pPr>
    <w:rPr>
      <w:rFonts w:asciiTheme="minorHAnsi" w:eastAsiaTheme="minorHAnsi" w:hAnsiTheme="minorHAnsi" w:cstheme="minorBidi"/>
      <w:szCs w:val="20"/>
    </w:rPr>
  </w:style>
  <w:style w:type="paragraph" w:customStyle="1" w:styleId="ListAlpha">
    <w:name w:val="List Alpha"/>
    <w:basedOn w:val="Navaden"/>
    <w:qFormat/>
    <w:rsid w:val="003E3ED9"/>
    <w:pPr>
      <w:numPr>
        <w:ilvl w:val="4"/>
        <w:numId w:val="13"/>
      </w:numPr>
      <w:tabs>
        <w:tab w:val="clear" w:pos="1728"/>
        <w:tab w:val="num" w:pos="346"/>
      </w:tabs>
      <w:spacing w:after="120" w:line="240" w:lineRule="auto"/>
      <w:ind w:left="346"/>
    </w:pPr>
    <w:rPr>
      <w:rFonts w:asciiTheme="minorHAnsi" w:eastAsiaTheme="minorHAnsi" w:hAnsiTheme="minorHAnsi" w:cstheme="minorBidi"/>
      <w:szCs w:val="20"/>
    </w:rPr>
  </w:style>
  <w:style w:type="paragraph" w:customStyle="1" w:styleId="ListAlpha2">
    <w:name w:val="List Alpha 2"/>
    <w:basedOn w:val="ListAlpha"/>
    <w:qFormat/>
    <w:rsid w:val="003E3ED9"/>
    <w:pPr>
      <w:numPr>
        <w:ilvl w:val="1"/>
      </w:numPr>
      <w:tabs>
        <w:tab w:val="clear" w:pos="691"/>
      </w:tabs>
      <w:ind w:left="692" w:hanging="346"/>
    </w:pPr>
  </w:style>
  <w:style w:type="paragraph" w:customStyle="1" w:styleId="ListAlpha3">
    <w:name w:val="List Alpha 3"/>
    <w:basedOn w:val="ListAlpha"/>
    <w:qFormat/>
    <w:rsid w:val="003E3ED9"/>
    <w:pPr>
      <w:numPr>
        <w:ilvl w:val="2"/>
      </w:numPr>
    </w:pPr>
  </w:style>
  <w:style w:type="paragraph" w:customStyle="1" w:styleId="ListAlpha4">
    <w:name w:val="List Alpha 4"/>
    <w:basedOn w:val="ListAlpha3"/>
    <w:qFormat/>
    <w:rsid w:val="003E3ED9"/>
    <w:pPr>
      <w:numPr>
        <w:ilvl w:val="3"/>
      </w:numPr>
    </w:pPr>
  </w:style>
  <w:style w:type="paragraph" w:customStyle="1" w:styleId="ListAlpha5">
    <w:name w:val="List Alpha 5"/>
    <w:basedOn w:val="ListAlpha4"/>
    <w:rsid w:val="003E3ED9"/>
    <w:pPr>
      <w:numPr>
        <w:ilvl w:val="4"/>
        <w:numId w:val="5"/>
      </w:numPr>
    </w:pPr>
  </w:style>
  <w:style w:type="paragraph" w:customStyle="1" w:styleId="ListBullet6">
    <w:name w:val="List Bullet 6"/>
    <w:basedOn w:val="Oznaenseznam5"/>
    <w:qFormat/>
    <w:rsid w:val="003E3ED9"/>
    <w:pPr>
      <w:numPr>
        <w:numId w:val="0"/>
      </w:numPr>
      <w:tabs>
        <w:tab w:val="num" w:pos="2074"/>
      </w:tabs>
      <w:spacing w:after="120" w:line="240" w:lineRule="auto"/>
      <w:ind w:left="2074" w:hanging="346"/>
      <w:contextualSpacing w:val="0"/>
    </w:pPr>
    <w:rPr>
      <w:sz w:val="20"/>
      <w:szCs w:val="20"/>
    </w:rPr>
  </w:style>
  <w:style w:type="paragraph" w:customStyle="1" w:styleId="ListBullet7">
    <w:name w:val="List Bullet 7"/>
    <w:basedOn w:val="ListBullet6"/>
    <w:qFormat/>
    <w:rsid w:val="003E3ED9"/>
    <w:pPr>
      <w:numPr>
        <w:ilvl w:val="6"/>
      </w:numPr>
      <w:tabs>
        <w:tab w:val="num" w:pos="2074"/>
      </w:tabs>
      <w:ind w:left="2074" w:hanging="346"/>
    </w:pPr>
  </w:style>
  <w:style w:type="paragraph" w:customStyle="1" w:styleId="ListBullet8">
    <w:name w:val="List Bullet 8"/>
    <w:basedOn w:val="ListBullet7"/>
    <w:qFormat/>
    <w:rsid w:val="003E3ED9"/>
    <w:pPr>
      <w:numPr>
        <w:ilvl w:val="7"/>
      </w:numPr>
      <w:tabs>
        <w:tab w:val="num" w:pos="2074"/>
      </w:tabs>
      <w:ind w:left="2074" w:hanging="346"/>
    </w:pPr>
  </w:style>
  <w:style w:type="paragraph" w:customStyle="1" w:styleId="ListBullet9">
    <w:name w:val="List Bullet 9"/>
    <w:basedOn w:val="ListBullet8"/>
    <w:qFormat/>
    <w:rsid w:val="003E3ED9"/>
    <w:pPr>
      <w:numPr>
        <w:ilvl w:val="8"/>
      </w:numPr>
      <w:tabs>
        <w:tab w:val="num" w:pos="2074"/>
      </w:tabs>
      <w:ind w:left="2074" w:hanging="346"/>
    </w:pPr>
  </w:style>
  <w:style w:type="paragraph" w:customStyle="1" w:styleId="Otevilenseznam1">
    <w:name w:val="Oštevilčen seznam1"/>
    <w:basedOn w:val="Navaden"/>
    <w:next w:val="Otevilenseznam"/>
    <w:unhideWhenUsed/>
    <w:qFormat/>
    <w:rsid w:val="003E3ED9"/>
    <w:pPr>
      <w:numPr>
        <w:numId w:val="20"/>
      </w:numPr>
      <w:tabs>
        <w:tab w:val="clear" w:pos="346"/>
      </w:tabs>
      <w:spacing w:after="120" w:line="240" w:lineRule="auto"/>
      <w:ind w:left="720" w:hanging="360"/>
    </w:pPr>
    <w:rPr>
      <w:rFonts w:asciiTheme="minorHAnsi" w:eastAsiaTheme="minorHAnsi" w:hAnsiTheme="minorHAnsi" w:cstheme="minorBidi"/>
      <w:szCs w:val="20"/>
    </w:rPr>
  </w:style>
  <w:style w:type="paragraph" w:customStyle="1" w:styleId="Otevilenseznam21">
    <w:name w:val="Oštevilčen seznam 21"/>
    <w:basedOn w:val="Otevilenseznam"/>
    <w:next w:val="Otevilenseznam2"/>
    <w:uiPriority w:val="13"/>
    <w:unhideWhenUsed/>
    <w:qFormat/>
    <w:rsid w:val="003E3ED9"/>
    <w:pPr>
      <w:numPr>
        <w:ilvl w:val="1"/>
        <w:numId w:val="20"/>
      </w:numPr>
      <w:tabs>
        <w:tab w:val="clear" w:pos="691"/>
        <w:tab w:val="left" w:pos="792"/>
      </w:tabs>
      <w:spacing w:after="120" w:line="240" w:lineRule="auto"/>
      <w:ind w:left="1440" w:hanging="360"/>
      <w:contextualSpacing w:val="0"/>
    </w:pPr>
    <w:rPr>
      <w:sz w:val="20"/>
      <w:szCs w:val="20"/>
    </w:rPr>
  </w:style>
  <w:style w:type="paragraph" w:customStyle="1" w:styleId="Otevilenseznam31">
    <w:name w:val="Oštevilčen seznam 31"/>
    <w:basedOn w:val="Otevilenseznam2"/>
    <w:next w:val="Otevilenseznam3"/>
    <w:uiPriority w:val="13"/>
    <w:unhideWhenUsed/>
    <w:qFormat/>
    <w:rsid w:val="003E3ED9"/>
    <w:pPr>
      <w:numPr>
        <w:ilvl w:val="2"/>
        <w:numId w:val="20"/>
      </w:numPr>
      <w:tabs>
        <w:tab w:val="clear" w:pos="1037"/>
        <w:tab w:val="left" w:pos="1195"/>
      </w:tabs>
      <w:spacing w:after="120" w:line="240" w:lineRule="auto"/>
      <w:ind w:left="2160" w:hanging="360"/>
      <w:contextualSpacing w:val="0"/>
    </w:pPr>
    <w:rPr>
      <w:sz w:val="20"/>
      <w:szCs w:val="20"/>
    </w:rPr>
  </w:style>
  <w:style w:type="paragraph" w:customStyle="1" w:styleId="Otevilenseznam41">
    <w:name w:val="Oštevilčen seznam 41"/>
    <w:basedOn w:val="Otevilenseznam3"/>
    <w:next w:val="Otevilenseznam4"/>
    <w:uiPriority w:val="13"/>
    <w:unhideWhenUsed/>
    <w:qFormat/>
    <w:rsid w:val="003E3ED9"/>
    <w:pPr>
      <w:numPr>
        <w:ilvl w:val="3"/>
        <w:numId w:val="20"/>
      </w:numPr>
      <w:tabs>
        <w:tab w:val="clear" w:pos="1382"/>
        <w:tab w:val="left" w:pos="1642"/>
      </w:tabs>
      <w:spacing w:after="120" w:line="240" w:lineRule="auto"/>
      <w:ind w:left="2880" w:hanging="360"/>
      <w:contextualSpacing w:val="0"/>
    </w:pPr>
    <w:rPr>
      <w:sz w:val="20"/>
      <w:szCs w:val="20"/>
    </w:rPr>
  </w:style>
  <w:style w:type="paragraph" w:customStyle="1" w:styleId="Otevilenseznam51">
    <w:name w:val="Oštevilčen seznam 51"/>
    <w:basedOn w:val="Otevilenseznam4"/>
    <w:next w:val="Otevilenseznam5"/>
    <w:uiPriority w:val="13"/>
    <w:unhideWhenUsed/>
    <w:rsid w:val="003E3ED9"/>
    <w:pPr>
      <w:numPr>
        <w:ilvl w:val="4"/>
        <w:numId w:val="20"/>
      </w:numPr>
      <w:tabs>
        <w:tab w:val="clear" w:pos="1728"/>
        <w:tab w:val="left" w:pos="1987"/>
      </w:tabs>
      <w:spacing w:after="120" w:line="240" w:lineRule="auto"/>
      <w:ind w:left="3600" w:hanging="360"/>
      <w:contextualSpacing w:val="0"/>
    </w:pPr>
    <w:rPr>
      <w:sz w:val="20"/>
      <w:szCs w:val="20"/>
    </w:rPr>
  </w:style>
  <w:style w:type="paragraph" w:customStyle="1" w:styleId="Seznam-nadaljevanje1">
    <w:name w:val="Seznam - nadaljevanje1"/>
    <w:basedOn w:val="Navaden"/>
    <w:next w:val="Seznam-nadaljevanje"/>
    <w:uiPriority w:val="99"/>
    <w:unhideWhenUsed/>
    <w:qFormat/>
    <w:rsid w:val="003E3ED9"/>
    <w:pPr>
      <w:spacing w:after="120" w:line="240" w:lineRule="auto"/>
      <w:ind w:left="346"/>
    </w:pPr>
    <w:rPr>
      <w:rFonts w:asciiTheme="minorHAnsi" w:eastAsiaTheme="minorHAnsi" w:hAnsiTheme="minorHAnsi" w:cstheme="minorBidi"/>
      <w:szCs w:val="20"/>
    </w:rPr>
  </w:style>
  <w:style w:type="paragraph" w:customStyle="1" w:styleId="Seznam-nadaljevanje21">
    <w:name w:val="Seznam - nadaljevanje 21"/>
    <w:basedOn w:val="Seznam-nadaljevanje"/>
    <w:next w:val="Seznam-nadaljevanje2"/>
    <w:uiPriority w:val="99"/>
    <w:unhideWhenUsed/>
    <w:qFormat/>
    <w:rsid w:val="003E3ED9"/>
    <w:pPr>
      <w:spacing w:line="240" w:lineRule="auto"/>
      <w:ind w:left="691"/>
      <w:contextualSpacing w:val="0"/>
    </w:pPr>
    <w:rPr>
      <w:sz w:val="20"/>
      <w:szCs w:val="20"/>
    </w:rPr>
  </w:style>
  <w:style w:type="paragraph" w:customStyle="1" w:styleId="Seznam-nadaljevanje31">
    <w:name w:val="Seznam - nadaljevanje 31"/>
    <w:basedOn w:val="Otevilenseznam2"/>
    <w:next w:val="Seznam-nadaljevanje3"/>
    <w:uiPriority w:val="99"/>
    <w:unhideWhenUsed/>
    <w:qFormat/>
    <w:rsid w:val="003E3ED9"/>
    <w:pPr>
      <w:tabs>
        <w:tab w:val="left" w:pos="792"/>
      </w:tabs>
      <w:spacing w:after="120" w:line="240" w:lineRule="auto"/>
      <w:ind w:left="1037" w:firstLine="0"/>
      <w:contextualSpacing w:val="0"/>
    </w:pPr>
    <w:rPr>
      <w:sz w:val="20"/>
      <w:szCs w:val="20"/>
    </w:rPr>
  </w:style>
  <w:style w:type="paragraph" w:customStyle="1" w:styleId="Seznam-nadaljevanje41">
    <w:name w:val="Seznam - nadaljevanje 41"/>
    <w:basedOn w:val="Seznam-nadaljevanje3"/>
    <w:next w:val="Seznam-nadaljevanje4"/>
    <w:uiPriority w:val="99"/>
    <w:unhideWhenUsed/>
    <w:qFormat/>
    <w:rsid w:val="003E3ED9"/>
    <w:pPr>
      <w:tabs>
        <w:tab w:val="left" w:pos="792"/>
      </w:tabs>
      <w:spacing w:line="240" w:lineRule="auto"/>
      <w:ind w:left="1382"/>
      <w:contextualSpacing w:val="0"/>
    </w:pPr>
    <w:rPr>
      <w:sz w:val="20"/>
      <w:szCs w:val="20"/>
    </w:rPr>
  </w:style>
  <w:style w:type="paragraph" w:customStyle="1" w:styleId="Seznam-nadaljevanje51">
    <w:name w:val="Seznam - nadaljevanje 51"/>
    <w:basedOn w:val="Seznam-nadaljevanje4"/>
    <w:next w:val="Seznam-nadaljevanje5"/>
    <w:uiPriority w:val="99"/>
    <w:unhideWhenUsed/>
    <w:rsid w:val="003E3ED9"/>
    <w:pPr>
      <w:tabs>
        <w:tab w:val="left" w:pos="792"/>
      </w:tabs>
      <w:spacing w:line="240" w:lineRule="auto"/>
      <w:ind w:left="1728"/>
      <w:contextualSpacing w:val="0"/>
    </w:pPr>
    <w:rPr>
      <w:sz w:val="20"/>
      <w:szCs w:val="20"/>
    </w:rPr>
  </w:style>
  <w:style w:type="paragraph" w:customStyle="1" w:styleId="Makrobesedilo1">
    <w:name w:val="Makro besedilo1"/>
    <w:next w:val="Makrobesedilo"/>
    <w:link w:val="MakrobesediloZnak"/>
    <w:uiPriority w:val="99"/>
    <w:unhideWhenUsed/>
    <w:rsid w:val="003E3ED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sz w:val="22"/>
      <w:szCs w:val="22"/>
      <w:lang w:val="en-US" w:eastAsia="en-US"/>
    </w:rPr>
  </w:style>
  <w:style w:type="character" w:customStyle="1" w:styleId="MakrobesediloZnak">
    <w:name w:val="Makro besedilo Znak"/>
    <w:basedOn w:val="Privzetapisavaodstavka"/>
    <w:link w:val="Makrobesedilo1"/>
    <w:uiPriority w:val="99"/>
    <w:rsid w:val="003E3ED9"/>
    <w:rPr>
      <w:rFonts w:ascii="Consolas" w:eastAsia="Calibri" w:hAnsi="Consolas"/>
      <w:sz w:val="22"/>
      <w:szCs w:val="22"/>
      <w:lang w:val="en-US" w:eastAsia="en-US"/>
    </w:rPr>
  </w:style>
  <w:style w:type="paragraph" w:customStyle="1" w:styleId="Glavasporoila1">
    <w:name w:val="Glava sporočila1"/>
    <w:basedOn w:val="Navaden"/>
    <w:next w:val="Glavasporoila"/>
    <w:link w:val="GlavasporoilaZnak"/>
    <w:uiPriority w:val="99"/>
    <w:semiHidden/>
    <w:unhideWhenUsed/>
    <w:rsid w:val="003E3ED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w:hAnsi="Calibri"/>
      <w:sz w:val="24"/>
    </w:rPr>
  </w:style>
  <w:style w:type="character" w:customStyle="1" w:styleId="GlavasporoilaZnak">
    <w:name w:val="Glava sporočila Znak"/>
    <w:basedOn w:val="Privzetapisavaodstavka"/>
    <w:link w:val="Glavasporoila1"/>
    <w:uiPriority w:val="99"/>
    <w:semiHidden/>
    <w:rsid w:val="003E3ED9"/>
    <w:rPr>
      <w:rFonts w:ascii="Calibri" w:hAnsi="Calibri"/>
      <w:sz w:val="24"/>
      <w:szCs w:val="24"/>
      <w:shd w:val="pct20" w:color="auto" w:fill="auto"/>
      <w:lang w:eastAsia="en-US"/>
    </w:rPr>
  </w:style>
  <w:style w:type="paragraph" w:customStyle="1" w:styleId="Non-numberedHeading1">
    <w:name w:val="Non-numbered Heading 1"/>
    <w:basedOn w:val="Subheading"/>
    <w:next w:val="Telobesedila"/>
    <w:qFormat/>
    <w:rsid w:val="003E3ED9"/>
    <w:pPr>
      <w:pageBreakBefore/>
    </w:pPr>
    <w:rPr>
      <w:b/>
      <w:i/>
      <w:sz w:val="48"/>
    </w:rPr>
  </w:style>
  <w:style w:type="paragraph" w:customStyle="1" w:styleId="Subheading">
    <w:name w:val="Subheading"/>
    <w:basedOn w:val="Heading1wSubheading"/>
    <w:rsid w:val="003E3ED9"/>
    <w:pPr>
      <w:pageBreakBefore w:val="0"/>
      <w:spacing w:after="480"/>
      <w:ind w:left="360" w:hanging="360"/>
    </w:pPr>
    <w:rPr>
      <w:b w:val="0"/>
      <w:i w:val="0"/>
      <w:sz w:val="44"/>
    </w:rPr>
  </w:style>
  <w:style w:type="paragraph" w:customStyle="1" w:styleId="Heading1wSubheading">
    <w:name w:val="Heading 1 w/Subheading"/>
    <w:basedOn w:val="Naslov1"/>
    <w:next w:val="Subheading"/>
    <w:rsid w:val="003E3ED9"/>
    <w:pPr>
      <w:keepNext w:val="0"/>
      <w:pageBreakBefore/>
      <w:spacing w:before="0" w:after="0" w:line="0" w:lineRule="atLeast"/>
      <w:ind w:left="2"/>
    </w:pPr>
    <w:rPr>
      <w:rFonts w:ascii="Cambria" w:hAnsi="Cambria"/>
      <w:i/>
      <w:color w:val="999999"/>
      <w:kern w:val="0"/>
      <w:sz w:val="48"/>
      <w:szCs w:val="20"/>
      <w:lang w:eastAsia="en-US"/>
    </w:rPr>
  </w:style>
  <w:style w:type="paragraph" w:customStyle="1" w:styleId="Non-numberedHeading2">
    <w:name w:val="Non-numbered Heading 2"/>
    <w:basedOn w:val="Non-numberedHeading1"/>
    <w:next w:val="Telobesedila"/>
    <w:qFormat/>
    <w:rsid w:val="003E3ED9"/>
    <w:pPr>
      <w:pageBreakBefore w:val="0"/>
      <w:spacing w:after="160"/>
      <w:outlineLvl w:val="1"/>
    </w:pPr>
    <w:rPr>
      <w:sz w:val="32"/>
    </w:rPr>
  </w:style>
  <w:style w:type="paragraph" w:customStyle="1" w:styleId="Non-numberedHeading3">
    <w:name w:val="Non-numbered Heading 3"/>
    <w:basedOn w:val="Naslov3"/>
    <w:next w:val="Telobesedila"/>
    <w:qFormat/>
    <w:rsid w:val="003E3ED9"/>
    <w:pPr>
      <w:keepLines w:val="0"/>
      <w:tabs>
        <w:tab w:val="clear" w:pos="2509"/>
      </w:tabs>
      <w:spacing w:before="0" w:after="160" w:line="0" w:lineRule="atLeast"/>
      <w:ind w:left="0" w:firstLine="0"/>
    </w:pPr>
    <w:rPr>
      <w:b/>
      <w:i/>
      <w:color w:val="000000"/>
      <w:sz w:val="28"/>
    </w:rPr>
  </w:style>
  <w:style w:type="paragraph" w:customStyle="1" w:styleId="Non-numberedHeading4">
    <w:name w:val="Non-numbered Heading 4"/>
    <w:basedOn w:val="Non-numberedHeading3"/>
    <w:next w:val="Telobesedila"/>
    <w:qFormat/>
    <w:rsid w:val="003E3ED9"/>
    <w:pPr>
      <w:outlineLvl w:val="3"/>
    </w:pPr>
    <w:rPr>
      <w:b w:val="0"/>
    </w:rPr>
  </w:style>
  <w:style w:type="paragraph" w:customStyle="1" w:styleId="Non-numberedHeading5">
    <w:name w:val="Non-numbered Heading 5"/>
    <w:basedOn w:val="Non-numberedHeading4"/>
    <w:next w:val="Telobesedila"/>
    <w:rsid w:val="003E3ED9"/>
    <w:pPr>
      <w:outlineLvl w:val="4"/>
    </w:pPr>
    <w:rPr>
      <w:sz w:val="24"/>
    </w:rPr>
  </w:style>
  <w:style w:type="paragraph" w:customStyle="1" w:styleId="PwCAddress">
    <w:name w:val="PwC Address"/>
    <w:qFormat/>
    <w:rsid w:val="003E3ED9"/>
    <w:pPr>
      <w:spacing w:line="200" w:lineRule="atLeast"/>
    </w:pPr>
    <w:rPr>
      <w:rFonts w:asciiTheme="minorHAnsi" w:eastAsiaTheme="minorHAnsi" w:hAnsiTheme="minorHAnsi" w:cstheme="minorBidi"/>
      <w:b/>
      <w:sz w:val="24"/>
      <w:lang w:val="en-US" w:eastAsia="en-US"/>
    </w:rPr>
  </w:style>
  <w:style w:type="paragraph" w:customStyle="1" w:styleId="Citat1">
    <w:name w:val="Citat1"/>
    <w:basedOn w:val="Navaden"/>
    <w:next w:val="Navaden"/>
    <w:uiPriority w:val="29"/>
    <w:rsid w:val="003E3ED9"/>
    <w:pPr>
      <w:spacing w:after="160" w:line="276" w:lineRule="auto"/>
      <w:jc w:val="center"/>
    </w:pPr>
    <w:rPr>
      <w:rFonts w:asciiTheme="minorHAnsi" w:eastAsiaTheme="minorHAnsi" w:hAnsiTheme="minorHAnsi" w:cstheme="minorBidi"/>
      <w:i/>
      <w:iCs/>
      <w:color w:val="404040"/>
      <w:szCs w:val="20"/>
    </w:rPr>
  </w:style>
  <w:style w:type="character" w:customStyle="1" w:styleId="CitatZnak">
    <w:name w:val="Citat Znak"/>
    <w:basedOn w:val="Privzetapisavaodstavka"/>
    <w:link w:val="Citat"/>
    <w:uiPriority w:val="29"/>
    <w:rsid w:val="003E3ED9"/>
    <w:rPr>
      <w:rFonts w:ascii="Calibri" w:eastAsia="Calibri" w:hAnsi="Calibri"/>
      <w:i/>
      <w:iCs/>
      <w:color w:val="404040"/>
      <w:lang w:eastAsia="en-US"/>
    </w:rPr>
  </w:style>
  <w:style w:type="paragraph" w:customStyle="1" w:styleId="Podnaslov1">
    <w:name w:val="Podnaslov1"/>
    <w:basedOn w:val="Navaden"/>
    <w:next w:val="Navaden"/>
    <w:uiPriority w:val="11"/>
    <w:rsid w:val="003E3ED9"/>
    <w:pPr>
      <w:numPr>
        <w:ilvl w:val="1"/>
      </w:numPr>
      <w:spacing w:after="1200" w:line="240" w:lineRule="auto"/>
      <w:ind w:left="2376"/>
    </w:pPr>
    <w:rPr>
      <w:rFonts w:ascii="Cambria" w:hAnsi="Cambria" w:cstheme="minorBidi"/>
      <w:spacing w:val="15"/>
      <w:sz w:val="64"/>
      <w:szCs w:val="20"/>
    </w:rPr>
  </w:style>
  <w:style w:type="character" w:customStyle="1" w:styleId="PodnaslovZnak">
    <w:name w:val="Podnaslov Znak"/>
    <w:basedOn w:val="Privzetapisavaodstavka"/>
    <w:link w:val="Podnaslov"/>
    <w:uiPriority w:val="11"/>
    <w:rsid w:val="003E3ED9"/>
    <w:rPr>
      <w:rFonts w:ascii="Cambria" w:hAnsi="Cambria"/>
      <w:spacing w:val="15"/>
      <w:sz w:val="64"/>
      <w:lang w:eastAsia="en-US"/>
    </w:rPr>
  </w:style>
  <w:style w:type="character" w:customStyle="1" w:styleId="Neenpoudarek1">
    <w:name w:val="Nežen poudarek1"/>
    <w:basedOn w:val="Privzetapisavaodstavka"/>
    <w:uiPriority w:val="19"/>
    <w:rsid w:val="003E3ED9"/>
    <w:rPr>
      <w:i/>
      <w:iCs/>
      <w:color w:val="7F7F7F"/>
    </w:rPr>
  </w:style>
  <w:style w:type="paragraph" w:customStyle="1" w:styleId="Naslov10">
    <w:name w:val="Naslov1"/>
    <w:basedOn w:val="Navaden"/>
    <w:next w:val="Navaden"/>
    <w:uiPriority w:val="10"/>
    <w:rsid w:val="003E3ED9"/>
    <w:pPr>
      <w:spacing w:line="240" w:lineRule="auto"/>
      <w:ind w:left="2376"/>
      <w:contextualSpacing/>
    </w:pPr>
    <w:rPr>
      <w:rFonts w:ascii="Cambria" w:hAnsi="Cambria"/>
      <w:b/>
      <w:i/>
      <w:spacing w:val="-10"/>
      <w:kern w:val="28"/>
      <w:sz w:val="64"/>
      <w:szCs w:val="56"/>
    </w:rPr>
  </w:style>
  <w:style w:type="character" w:customStyle="1" w:styleId="NaslovZnak">
    <w:name w:val="Naslov Znak"/>
    <w:basedOn w:val="Privzetapisavaodstavka"/>
    <w:link w:val="Naslov"/>
    <w:uiPriority w:val="10"/>
    <w:rsid w:val="003E3ED9"/>
    <w:rPr>
      <w:rFonts w:ascii="Cambria" w:hAnsi="Cambria"/>
      <w:b/>
      <w:i/>
      <w:spacing w:val="-10"/>
      <w:kern w:val="28"/>
      <w:sz w:val="64"/>
      <w:szCs w:val="56"/>
      <w:lang w:eastAsia="en-US"/>
    </w:rPr>
  </w:style>
  <w:style w:type="paragraph" w:customStyle="1" w:styleId="Kazalovsebine41">
    <w:name w:val="Kazalo vsebine 41"/>
    <w:basedOn w:val="Navaden"/>
    <w:next w:val="Navaden"/>
    <w:autoRedefine/>
    <w:uiPriority w:val="39"/>
    <w:unhideWhenUsed/>
    <w:rsid w:val="003E3ED9"/>
    <w:pPr>
      <w:tabs>
        <w:tab w:val="right" w:leader="dot" w:pos="9360"/>
      </w:tabs>
      <w:spacing w:line="360" w:lineRule="auto"/>
      <w:ind w:left="1077"/>
    </w:pPr>
    <w:rPr>
      <w:rFonts w:asciiTheme="minorHAnsi" w:eastAsiaTheme="minorHAnsi" w:hAnsiTheme="minorHAnsi" w:cstheme="minorBidi"/>
      <w:szCs w:val="20"/>
    </w:rPr>
  </w:style>
  <w:style w:type="paragraph" w:customStyle="1" w:styleId="Kazalovsebine51">
    <w:name w:val="Kazalo vsebine 51"/>
    <w:basedOn w:val="Navaden"/>
    <w:next w:val="Navaden"/>
    <w:autoRedefine/>
    <w:uiPriority w:val="39"/>
    <w:unhideWhenUsed/>
    <w:rsid w:val="003E3ED9"/>
    <w:pPr>
      <w:spacing w:before="120" w:after="120" w:line="240" w:lineRule="atLeast"/>
      <w:ind w:left="806"/>
    </w:pPr>
    <w:rPr>
      <w:rFonts w:asciiTheme="minorHAnsi" w:eastAsiaTheme="minorHAnsi" w:hAnsiTheme="minorHAnsi" w:cstheme="minorBidi"/>
      <w:szCs w:val="20"/>
    </w:rPr>
  </w:style>
  <w:style w:type="paragraph" w:customStyle="1" w:styleId="ListRoman">
    <w:name w:val="List Roman"/>
    <w:basedOn w:val="Telobesedila"/>
    <w:qFormat/>
    <w:rsid w:val="003E3ED9"/>
    <w:pPr>
      <w:numPr>
        <w:numId w:val="14"/>
      </w:numPr>
      <w:suppressAutoHyphens w:val="0"/>
      <w:spacing w:after="120"/>
      <w:jc w:val="both"/>
    </w:pPr>
    <w:rPr>
      <w:rFonts w:ascii="Calibri" w:eastAsia="Calibri" w:hAnsi="Calibri"/>
      <w:color w:val="auto"/>
      <w:sz w:val="20"/>
      <w:szCs w:val="20"/>
      <w:lang w:val="sl-SI" w:eastAsia="en-US"/>
    </w:rPr>
  </w:style>
  <w:style w:type="paragraph" w:customStyle="1" w:styleId="ListRoman2">
    <w:name w:val="List Roman 2"/>
    <w:basedOn w:val="ListRoman"/>
    <w:qFormat/>
    <w:rsid w:val="003E3ED9"/>
    <w:pPr>
      <w:numPr>
        <w:ilvl w:val="1"/>
      </w:numPr>
      <w:tabs>
        <w:tab w:val="left" w:pos="792"/>
      </w:tabs>
    </w:pPr>
  </w:style>
  <w:style w:type="paragraph" w:customStyle="1" w:styleId="ListRoman3">
    <w:name w:val="List Roman 3"/>
    <w:basedOn w:val="ListRoman2"/>
    <w:qFormat/>
    <w:rsid w:val="003E3ED9"/>
    <w:pPr>
      <w:numPr>
        <w:ilvl w:val="2"/>
      </w:numPr>
      <w:tabs>
        <w:tab w:val="clear" w:pos="792"/>
        <w:tab w:val="left" w:pos="1195"/>
      </w:tabs>
    </w:pPr>
  </w:style>
  <w:style w:type="paragraph" w:customStyle="1" w:styleId="ListRoman4">
    <w:name w:val="List Roman 4"/>
    <w:basedOn w:val="ListRoman3"/>
    <w:qFormat/>
    <w:rsid w:val="003E3ED9"/>
    <w:pPr>
      <w:numPr>
        <w:ilvl w:val="3"/>
      </w:numPr>
      <w:tabs>
        <w:tab w:val="clear" w:pos="1195"/>
        <w:tab w:val="left" w:pos="1584"/>
      </w:tabs>
    </w:pPr>
  </w:style>
  <w:style w:type="paragraph" w:customStyle="1" w:styleId="ListRoman5">
    <w:name w:val="List Roman 5"/>
    <w:basedOn w:val="ListRoman4"/>
    <w:qFormat/>
    <w:rsid w:val="003E3ED9"/>
    <w:pPr>
      <w:numPr>
        <w:ilvl w:val="4"/>
      </w:numPr>
      <w:tabs>
        <w:tab w:val="clear" w:pos="1584"/>
        <w:tab w:val="left" w:pos="1987"/>
      </w:tabs>
    </w:pPr>
  </w:style>
  <w:style w:type="character" w:styleId="Besedilooznabemesta">
    <w:name w:val="Placeholder Text"/>
    <w:basedOn w:val="Privzetapisavaodstavka"/>
    <w:uiPriority w:val="99"/>
    <w:semiHidden/>
    <w:rsid w:val="003E3ED9"/>
    <w:rPr>
      <w:color w:val="808080"/>
    </w:rPr>
  </w:style>
  <w:style w:type="table" w:customStyle="1" w:styleId="PwCTableofFigures">
    <w:name w:val="PwC Table of Figures"/>
    <w:basedOn w:val="PwCTableText"/>
    <w:uiPriority w:val="99"/>
    <w:rsid w:val="003E3ED9"/>
    <w:pPr>
      <w:spacing w:after="0"/>
      <w:jc w:val="right"/>
    </w:pPr>
    <w:rPr>
      <w:rFonts w:ascii="Arial" w:hAnsi="Arial"/>
    </w:rPr>
    <w:tblPr/>
    <w:tblStylePr w:type="firstRow">
      <w:pPr>
        <w:jc w:val="right"/>
      </w:pPr>
      <w:rPr>
        <w:rFonts w:ascii="Cambria" w:hAnsi="Cambria"/>
        <w:b/>
        <w:color w:val="000000"/>
        <w:sz w:val="18"/>
      </w:rPr>
      <w:tblPr/>
      <w:tcPr>
        <w:tcBorders>
          <w:top w:val="single" w:sz="6" w:space="0" w:color="529DBA"/>
          <w:left w:val="nil"/>
          <w:bottom w:val="single" w:sz="6" w:space="0" w:color="529DBA"/>
          <w:right w:val="nil"/>
          <w:insideH w:val="nil"/>
          <w:insideV w:val="nil"/>
          <w:tl2br w:val="nil"/>
          <w:tr2bl w:val="nil"/>
        </w:tcBorders>
      </w:tcPr>
    </w:tblStylePr>
  </w:style>
  <w:style w:type="table" w:customStyle="1" w:styleId="SmartTextListTable">
    <w:name w:val="Smart Text List Table"/>
    <w:basedOn w:val="PwCTableText"/>
    <w:uiPriority w:val="99"/>
    <w:rsid w:val="003E3ED9"/>
    <w:pPr>
      <w:spacing w:after="0"/>
    </w:pPr>
    <w:tblPr/>
    <w:tblStylePr w:type="firstRow">
      <w:pPr>
        <w:jc w:val="left"/>
      </w:pPr>
      <w:rPr>
        <w:rFonts w:ascii="Cambria" w:hAnsi="Cambria"/>
        <w:b/>
        <w:color w:val="000000"/>
        <w:sz w:val="18"/>
      </w:rPr>
      <w:tblPr/>
      <w:tcPr>
        <w:tcBorders>
          <w:top w:val="nil"/>
          <w:left w:val="nil"/>
          <w:bottom w:val="single" w:sz="6" w:space="0" w:color="529DBA"/>
          <w:right w:val="nil"/>
          <w:insideH w:val="nil"/>
          <w:insideV w:val="nil"/>
          <w:tl2br w:val="nil"/>
          <w:tr2bl w:val="nil"/>
        </w:tcBorders>
      </w:tcPr>
    </w:tblStylePr>
  </w:style>
  <w:style w:type="table" w:customStyle="1" w:styleId="SmartBasicTable">
    <w:name w:val="Smart Basic Table"/>
    <w:basedOn w:val="PwCTableText"/>
    <w:uiPriority w:val="99"/>
    <w:rsid w:val="003E3ED9"/>
    <w:pPr>
      <w:spacing w:after="0"/>
    </w:pPr>
    <w:tblPr/>
    <w:tblStylePr w:type="firstRow">
      <w:pPr>
        <w:jc w:val="left"/>
      </w:pPr>
      <w:rPr>
        <w:rFonts w:ascii="Cambria" w:hAnsi="Cambria"/>
        <w:b/>
        <w:color w:val="000000"/>
        <w:sz w:val="18"/>
      </w:rPr>
      <w:tblPr/>
      <w:tcPr>
        <w:tcBorders>
          <w:top w:val="nil"/>
          <w:left w:val="nil"/>
          <w:bottom w:val="nil"/>
          <w:right w:val="nil"/>
          <w:insideH w:val="nil"/>
          <w:insideV w:val="nil"/>
          <w:tl2br w:val="nil"/>
          <w:tr2bl w:val="nil"/>
        </w:tcBorders>
      </w:tcPr>
    </w:tblStylePr>
    <w:tblStylePr w:type="firstCol">
      <w:rPr>
        <w:i/>
      </w:rPr>
    </w:tblStylePr>
  </w:style>
  <w:style w:type="paragraph" w:customStyle="1" w:styleId="Telobesedila-zamik1">
    <w:name w:val="Telo besedila - zamik1"/>
    <w:basedOn w:val="Navaden"/>
    <w:next w:val="Telobesedila-zamik"/>
    <w:link w:val="Telobesedila-zamikZnak"/>
    <w:uiPriority w:val="99"/>
    <w:semiHidden/>
    <w:unhideWhenUsed/>
    <w:rsid w:val="003E3ED9"/>
    <w:pPr>
      <w:spacing w:after="120" w:line="240" w:lineRule="auto"/>
      <w:ind w:left="360"/>
    </w:pPr>
    <w:rPr>
      <w:rFonts w:ascii="Calibri" w:eastAsia="Calibri" w:hAnsi="Calibri"/>
      <w:sz w:val="22"/>
      <w:szCs w:val="22"/>
    </w:rPr>
  </w:style>
  <w:style w:type="character" w:customStyle="1" w:styleId="Telobesedila-zamikZnak">
    <w:name w:val="Telo besedila - zamik Znak"/>
    <w:basedOn w:val="Privzetapisavaodstavka"/>
    <w:link w:val="Telobesedila-zamik1"/>
    <w:uiPriority w:val="99"/>
    <w:semiHidden/>
    <w:rsid w:val="003E3ED9"/>
    <w:rPr>
      <w:rFonts w:ascii="Calibri" w:eastAsia="Calibri" w:hAnsi="Calibri"/>
      <w:sz w:val="22"/>
      <w:szCs w:val="22"/>
      <w:lang w:eastAsia="en-US"/>
    </w:rPr>
  </w:style>
  <w:style w:type="character" w:styleId="Naslovknjige">
    <w:name w:val="Book Title"/>
    <w:basedOn w:val="Privzetapisavaodstavka"/>
    <w:uiPriority w:val="33"/>
    <w:rsid w:val="003E3ED9"/>
    <w:rPr>
      <w:b/>
      <w:bCs/>
      <w:i/>
      <w:iCs/>
      <w:spacing w:val="5"/>
    </w:rPr>
  </w:style>
  <w:style w:type="paragraph" w:customStyle="1" w:styleId="Brezrazmikov1">
    <w:name w:val="Brez razmikov1"/>
    <w:next w:val="Brezrazmikov"/>
    <w:uiPriority w:val="1"/>
    <w:rsid w:val="003E3ED9"/>
    <w:rPr>
      <w:rFonts w:asciiTheme="minorHAnsi" w:eastAsiaTheme="minorHAnsi" w:hAnsiTheme="minorHAnsi" w:cstheme="minorBidi"/>
      <w:lang w:val="en-US" w:eastAsia="en-US"/>
    </w:rPr>
  </w:style>
  <w:style w:type="character" w:customStyle="1" w:styleId="Neensklic1">
    <w:name w:val="Nežen sklic1"/>
    <w:basedOn w:val="Privzetapisavaodstavka"/>
    <w:uiPriority w:val="31"/>
    <w:rsid w:val="003E3ED9"/>
    <w:rPr>
      <w:smallCaps/>
      <w:color w:val="5A5A5A"/>
    </w:rPr>
  </w:style>
  <w:style w:type="paragraph" w:customStyle="1" w:styleId="AppendixHeading3">
    <w:name w:val="Appendix Heading 3"/>
    <w:basedOn w:val="AppendixHeading2"/>
    <w:next w:val="Telobesedila"/>
    <w:rsid w:val="003E3ED9"/>
    <w:pPr>
      <w:numPr>
        <w:ilvl w:val="0"/>
        <w:numId w:val="0"/>
      </w:numPr>
      <w:outlineLvl w:val="2"/>
    </w:pPr>
    <w:rPr>
      <w:sz w:val="24"/>
    </w:rPr>
  </w:style>
  <w:style w:type="paragraph" w:customStyle="1" w:styleId="AppendixHeading4">
    <w:name w:val="Appendix Heading 4"/>
    <w:basedOn w:val="AppendixHeading3"/>
    <w:next w:val="Telobesedila"/>
    <w:rsid w:val="003E3ED9"/>
    <w:pPr>
      <w:numPr>
        <w:ilvl w:val="3"/>
      </w:numPr>
      <w:outlineLvl w:val="3"/>
    </w:pPr>
    <w:rPr>
      <w:b w:val="0"/>
    </w:rPr>
  </w:style>
  <w:style w:type="paragraph" w:customStyle="1" w:styleId="AppendixHeading5">
    <w:name w:val="Appendix Heading 5"/>
    <w:basedOn w:val="AppendixHeading4"/>
    <w:next w:val="Telobesedila"/>
    <w:rsid w:val="003E3ED9"/>
    <w:pPr>
      <w:numPr>
        <w:ilvl w:val="4"/>
      </w:numPr>
      <w:outlineLvl w:val="4"/>
    </w:pPr>
    <w:rPr>
      <w:b/>
      <w:sz w:val="20"/>
      <w:u w:val="single"/>
    </w:rPr>
  </w:style>
  <w:style w:type="paragraph" w:customStyle="1" w:styleId="Kazalovirov-naslov1">
    <w:name w:val="Kazalo virov - naslov1"/>
    <w:basedOn w:val="Navaden"/>
    <w:next w:val="Navaden"/>
    <w:uiPriority w:val="99"/>
    <w:unhideWhenUsed/>
    <w:rsid w:val="003E3ED9"/>
    <w:pPr>
      <w:spacing w:before="120" w:after="160" w:line="240" w:lineRule="auto"/>
    </w:pPr>
    <w:rPr>
      <w:rFonts w:ascii="Cambria" w:hAnsi="Cambria"/>
      <w:b/>
      <w:bCs/>
      <w:sz w:val="24"/>
    </w:rPr>
  </w:style>
  <w:style w:type="paragraph" w:customStyle="1" w:styleId="BlockText2">
    <w:name w:val="Block Text 2"/>
    <w:basedOn w:val="Blokbesedila"/>
    <w:rsid w:val="003E3ED9"/>
    <w:pPr>
      <w:framePr w:wrap="around" w:vAnchor="text" w:hAnchor="text" w:y="1"/>
      <w:pBdr>
        <w:top w:val="single" w:sz="8" w:space="10" w:color="F2F2F2"/>
        <w:left w:val="single" w:sz="8" w:space="10" w:color="F2F2F2"/>
        <w:bottom w:val="single" w:sz="8" w:space="10" w:color="F2F2F2"/>
        <w:right w:val="single" w:sz="8" w:space="10" w:color="F2F2F2"/>
      </w:pBdr>
      <w:shd w:val="clear" w:color="auto" w:fill="D9D9D9"/>
      <w:spacing w:line="240" w:lineRule="auto"/>
      <w:ind w:left="232" w:right="232"/>
      <w:jc w:val="both"/>
    </w:pPr>
    <w:rPr>
      <w:i w:val="0"/>
      <w:color w:val="000000"/>
      <w:szCs w:val="20"/>
    </w:rPr>
  </w:style>
  <w:style w:type="paragraph" w:customStyle="1" w:styleId="Non-numberedHeading1wSubheading">
    <w:name w:val="Non-numbered Heading 1 w/Subheading"/>
    <w:basedOn w:val="Non-numberedHeading1"/>
    <w:next w:val="Subheading"/>
    <w:rsid w:val="003E3ED9"/>
    <w:pPr>
      <w:spacing w:after="0"/>
    </w:pPr>
  </w:style>
  <w:style w:type="paragraph" w:customStyle="1" w:styleId="AppendixHeading1wSubheading">
    <w:name w:val="Appendix Heading 1 w/Subheading"/>
    <w:basedOn w:val="AppendixHeading1"/>
    <w:next w:val="Subheading"/>
    <w:rsid w:val="003E3ED9"/>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3E3ED9"/>
    <w:pPr>
      <w:spacing w:after="0"/>
    </w:pPr>
  </w:style>
  <w:style w:type="paragraph" w:customStyle="1" w:styleId="Attorneyworkproduct">
    <w:name w:val="Attorney work product"/>
    <w:rsid w:val="003E3ED9"/>
    <w:pPr>
      <w:spacing w:after="200"/>
    </w:pPr>
    <w:rPr>
      <w:rFonts w:asciiTheme="minorHAnsi" w:eastAsiaTheme="minorHAnsi" w:hAnsiTheme="minorHAnsi" w:cstheme="minorBidi"/>
      <w:szCs w:val="22"/>
      <w:lang w:val="en-US" w:eastAsia="en-US"/>
    </w:rPr>
  </w:style>
  <w:style w:type="paragraph" w:customStyle="1" w:styleId="Heading3new">
    <w:name w:val="Heading 3_new"/>
    <w:basedOn w:val="Naslov3"/>
    <w:next w:val="Telobesedila"/>
    <w:qFormat/>
    <w:rsid w:val="003E3ED9"/>
    <w:pPr>
      <w:keepLines w:val="0"/>
      <w:numPr>
        <w:numId w:val="12"/>
      </w:numPr>
      <w:tabs>
        <w:tab w:val="clear" w:pos="1080"/>
      </w:tabs>
      <w:spacing w:before="0" w:after="160" w:line="0" w:lineRule="atLeast"/>
      <w:ind w:left="360"/>
    </w:pPr>
    <w:rPr>
      <w:b/>
      <w:i/>
      <w:color w:val="000000"/>
      <w:sz w:val="28"/>
    </w:rPr>
  </w:style>
  <w:style w:type="table" w:customStyle="1" w:styleId="MediumGrid3-Accent11">
    <w:name w:val="Medium Grid 3 - Accent 11"/>
    <w:basedOn w:val="Navadnatabela"/>
    <w:next w:val="Srednjamrea3poudarek1"/>
    <w:uiPriority w:val="69"/>
    <w:rsid w:val="003E3ED9"/>
    <w:rPr>
      <w:rFonts w:asciiTheme="minorHAnsi" w:eastAsiaTheme="minorHAnsi" w:hAnsiTheme="minorHAnsi" w:cstheme="minorBidi"/>
      <w:sz w:val="22"/>
      <w:szCs w:val="22"/>
      <w:lang w:val="hr-HR"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4E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29DB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29DB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29DB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29DB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8CD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CDDC"/>
      </w:tcPr>
    </w:tblStylePr>
  </w:style>
  <w:style w:type="table" w:customStyle="1" w:styleId="Srednjamrea3poudarek11">
    <w:name w:val="Srednja mreža 3 – poudarek 11"/>
    <w:basedOn w:val="Navadnatabela"/>
    <w:next w:val="Srednjamrea3poudarek1"/>
    <w:uiPriority w:val="69"/>
    <w:rsid w:val="003E3ED9"/>
    <w:rPr>
      <w:rFonts w:asciiTheme="minorHAnsi" w:eastAsiaTheme="minorHAnsi" w:hAnsiTheme="minorHAnsi" w:cstheme="minorBidi"/>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4E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29DB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29DB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29DB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29DB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8CD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CDDC"/>
      </w:tcPr>
    </w:tblStylePr>
  </w:style>
  <w:style w:type="paragraph" w:customStyle="1" w:styleId="Konnaopomba-besedilo1">
    <w:name w:val="Končna opomba - besedilo1"/>
    <w:basedOn w:val="Navaden"/>
    <w:next w:val="Konnaopomba-besedilo"/>
    <w:link w:val="Konnaopomba-besediloZnak"/>
    <w:uiPriority w:val="99"/>
    <w:semiHidden/>
    <w:unhideWhenUsed/>
    <w:rsid w:val="003E3ED9"/>
    <w:pPr>
      <w:spacing w:line="240" w:lineRule="auto"/>
    </w:pPr>
    <w:rPr>
      <w:rFonts w:ascii="Calibri" w:eastAsia="Calibri" w:hAnsi="Calibri"/>
      <w:sz w:val="22"/>
      <w:szCs w:val="22"/>
    </w:rPr>
  </w:style>
  <w:style w:type="character" w:customStyle="1" w:styleId="Konnaopomba-besediloZnak">
    <w:name w:val="Končna opomba - besedilo Znak"/>
    <w:basedOn w:val="Privzetapisavaodstavka"/>
    <w:link w:val="Konnaopomba-besedilo1"/>
    <w:uiPriority w:val="99"/>
    <w:semiHidden/>
    <w:rsid w:val="003E3ED9"/>
    <w:rPr>
      <w:rFonts w:ascii="Calibri" w:eastAsia="Calibri" w:hAnsi="Calibri"/>
      <w:sz w:val="22"/>
      <w:szCs w:val="22"/>
      <w:lang w:eastAsia="en-US"/>
    </w:rPr>
  </w:style>
  <w:style w:type="character" w:styleId="Konnaopomba-sklic">
    <w:name w:val="endnote reference"/>
    <w:basedOn w:val="Privzetapisavaodstavka"/>
    <w:uiPriority w:val="99"/>
    <w:unhideWhenUsed/>
    <w:rsid w:val="003E3ED9"/>
    <w:rPr>
      <w:vertAlign w:val="superscript"/>
    </w:rPr>
  </w:style>
  <w:style w:type="character" w:customStyle="1" w:styleId="apple-converted-space">
    <w:name w:val="apple-converted-space"/>
    <w:basedOn w:val="Privzetapisavaodstavka"/>
    <w:rsid w:val="003E3ED9"/>
  </w:style>
  <w:style w:type="character" w:customStyle="1" w:styleId="lexitem">
    <w:name w:val="lexitem"/>
    <w:basedOn w:val="Privzetapisavaodstavka"/>
    <w:rsid w:val="003E3ED9"/>
  </w:style>
  <w:style w:type="paragraph" w:styleId="HTML-oblikovano">
    <w:name w:val="HTML Preformatted"/>
    <w:basedOn w:val="Navaden"/>
    <w:link w:val="HTML-oblikovanoZnak"/>
    <w:uiPriority w:val="99"/>
    <w:unhideWhenUsed/>
    <w:rsid w:val="003E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3E3ED9"/>
    <w:rPr>
      <w:rFonts w:ascii="Courier New" w:hAnsi="Courier New" w:cs="Courier New"/>
    </w:rPr>
  </w:style>
  <w:style w:type="character" w:customStyle="1" w:styleId="blue">
    <w:name w:val="blue"/>
    <w:basedOn w:val="Privzetapisavaodstavka"/>
    <w:rsid w:val="003E3ED9"/>
  </w:style>
  <w:style w:type="character" w:customStyle="1" w:styleId="at1">
    <w:name w:val="a__t1"/>
    <w:basedOn w:val="Privzetapisavaodstavka"/>
    <w:rsid w:val="003E3ED9"/>
  </w:style>
  <w:style w:type="table" w:customStyle="1" w:styleId="Srednjesenenje2poudarek11">
    <w:name w:val="Srednje senčenje 2 – poudarek 11"/>
    <w:basedOn w:val="Navadnatabela"/>
    <w:next w:val="Srednjesenenje2poudarek1"/>
    <w:uiPriority w:val="64"/>
    <w:rsid w:val="003E3ED9"/>
    <w:pPr>
      <w:jc w:val="both"/>
    </w:pPr>
    <w:rPr>
      <w:rFonts w:asciiTheme="minorHAnsi" w:eastAsiaTheme="minorHAnsi"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29DB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29DBA"/>
      </w:tcPr>
    </w:tblStylePr>
    <w:tblStylePr w:type="lastCol">
      <w:rPr>
        <w:b/>
        <w:bCs/>
        <w:color w:val="FFFFFF"/>
      </w:rPr>
      <w:tblPr/>
      <w:tcPr>
        <w:tcBorders>
          <w:left w:val="nil"/>
          <w:right w:val="nil"/>
          <w:insideH w:val="nil"/>
          <w:insideV w:val="nil"/>
        </w:tcBorders>
        <w:shd w:val="clear" w:color="auto" w:fill="529DB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3E3ED9"/>
    <w:rPr>
      <w:color w:val="000000"/>
      <w:vertAlign w:val="superscript"/>
    </w:rPr>
  </w:style>
  <w:style w:type="table" w:customStyle="1" w:styleId="Tabelatemnamrea5poudarek111">
    <w:name w:val="Tabela – temna mreža 5 (poudarek 1)11"/>
    <w:basedOn w:val="Navadnatabela"/>
    <w:uiPriority w:val="50"/>
    <w:rsid w:val="003E3ED9"/>
    <w:rPr>
      <w:rFonts w:asciiTheme="minorHAnsi" w:eastAsiaTheme="minorHAnsi" w:hAnsiTheme="minorHAnsi" w:cstheme="minorBidi"/>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EB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29DB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29DB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29DB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29DBA"/>
      </w:tcPr>
    </w:tblStylePr>
    <w:tblStylePr w:type="band1Vert">
      <w:tblPr/>
      <w:tcPr>
        <w:shd w:val="clear" w:color="auto" w:fill="B9D7E3"/>
      </w:tcPr>
    </w:tblStylePr>
    <w:tblStylePr w:type="band1Horz">
      <w:tblPr/>
      <w:tcPr>
        <w:shd w:val="clear" w:color="auto" w:fill="B9D7E3"/>
      </w:tcPr>
    </w:tblStylePr>
  </w:style>
  <w:style w:type="paragraph" w:customStyle="1" w:styleId="BodyText">
    <w:name w:val="BodyText"/>
    <w:basedOn w:val="Navaden"/>
    <w:uiPriority w:val="99"/>
    <w:rsid w:val="003E3ED9"/>
    <w:pPr>
      <w:widowControl w:val="0"/>
      <w:suppressAutoHyphens/>
      <w:autoSpaceDE w:val="0"/>
      <w:autoSpaceDN w:val="0"/>
      <w:adjustRightInd w:val="0"/>
      <w:spacing w:after="160" w:line="240" w:lineRule="atLeast"/>
      <w:ind w:firstLine="12"/>
      <w:jc w:val="both"/>
    </w:pPr>
    <w:rPr>
      <w:rFonts w:ascii="Calibri" w:hAnsi="Calibri" w:cs="Calibri"/>
      <w:color w:val="000000"/>
      <w:sz w:val="22"/>
      <w:szCs w:val="22"/>
      <w:u w:color="000000"/>
      <w:lang w:eastAsia="en-GB"/>
    </w:rPr>
  </w:style>
  <w:style w:type="table" w:customStyle="1" w:styleId="MediumGrid3-Accent112">
    <w:name w:val="Medium Grid 3 - Accent 112"/>
    <w:basedOn w:val="Navadnatabela"/>
    <w:uiPriority w:val="69"/>
    <w:rsid w:val="003E3ED9"/>
    <w:rPr>
      <w:rFonts w:asciiTheme="minorHAnsi" w:eastAsiaTheme="minorHAnsi" w:hAnsiTheme="minorHAnsi" w:cstheme="minorBidi"/>
      <w:sz w:val="22"/>
      <w:szCs w:val="22"/>
      <w:lang w:val="hr-HR"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4E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29DB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29DB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29DB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29DB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8CD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CDDC"/>
      </w:tcPr>
    </w:tblStylePr>
  </w:style>
  <w:style w:type="character" w:customStyle="1" w:styleId="Heading2Char1">
    <w:name w:val="Heading 2 Char1"/>
    <w:basedOn w:val="Privzetapisavaodstavka"/>
    <w:rsid w:val="003E3ED9"/>
    <w:rPr>
      <w:rFonts w:ascii="Futura Lt BT" w:eastAsia="Times New Roman" w:hAnsi="Futura Lt BT" w:cs="Times New Roman"/>
      <w:b/>
      <w:color w:val="333399"/>
      <w:sz w:val="26"/>
      <w:szCs w:val="26"/>
    </w:rPr>
  </w:style>
  <w:style w:type="table" w:customStyle="1" w:styleId="Tabelamrea4poudarek21">
    <w:name w:val="Tabela – mreža 4 (poudarek 2)1"/>
    <w:basedOn w:val="Navadnatabela"/>
    <w:uiPriority w:val="49"/>
    <w:rsid w:val="003E3ED9"/>
    <w:rPr>
      <w:rFonts w:asciiTheme="minorHAnsi" w:eastAsiaTheme="minorHAnsi" w:hAnsiTheme="minorHAnsi" w:cstheme="minorBidi"/>
      <w:lang w:val="en-US" w:eastAsia="en-US"/>
    </w:rPr>
    <w:tblPr>
      <w:tblStyleRowBandSize w:val="1"/>
      <w:tblStyleColBandSize w:val="1"/>
      <w:tblBorders>
        <w:top w:val="single" w:sz="4" w:space="0" w:color="80B5C9"/>
        <w:left w:val="single" w:sz="4" w:space="0" w:color="80B5C9"/>
        <w:bottom w:val="single" w:sz="4" w:space="0" w:color="80B5C9"/>
        <w:right w:val="single" w:sz="4" w:space="0" w:color="80B5C9"/>
        <w:insideH w:val="single" w:sz="4" w:space="0" w:color="80B5C9"/>
        <w:insideV w:val="single" w:sz="4" w:space="0" w:color="80B5C9"/>
      </w:tblBorders>
    </w:tblPr>
    <w:tblStylePr w:type="firstRow">
      <w:rPr>
        <w:b/>
        <w:bCs/>
        <w:color w:val="FFFFFF"/>
      </w:rPr>
      <w:tblPr/>
      <w:tcPr>
        <w:tcBorders>
          <w:top w:val="single" w:sz="4" w:space="0" w:color="3E7C94"/>
          <w:left w:val="single" w:sz="4" w:space="0" w:color="3E7C94"/>
          <w:bottom w:val="single" w:sz="4" w:space="0" w:color="3E7C94"/>
          <w:right w:val="single" w:sz="4" w:space="0" w:color="3E7C94"/>
          <w:insideH w:val="nil"/>
          <w:insideV w:val="nil"/>
        </w:tcBorders>
        <w:shd w:val="clear" w:color="auto" w:fill="3E7C94"/>
      </w:tcPr>
    </w:tblStylePr>
    <w:tblStylePr w:type="lastRow">
      <w:rPr>
        <w:b/>
        <w:bCs/>
      </w:rPr>
      <w:tblPr/>
      <w:tcPr>
        <w:tcBorders>
          <w:top w:val="double" w:sz="4" w:space="0" w:color="3E7C94"/>
        </w:tcBorders>
      </w:tcPr>
    </w:tblStylePr>
    <w:tblStylePr w:type="firstCol">
      <w:rPr>
        <w:b/>
        <w:bCs/>
      </w:rPr>
    </w:tblStylePr>
    <w:tblStylePr w:type="lastCol">
      <w:rPr>
        <w:b/>
        <w:bCs/>
      </w:rPr>
    </w:tblStylePr>
    <w:tblStylePr w:type="band1Vert">
      <w:tblPr/>
      <w:tcPr>
        <w:shd w:val="clear" w:color="auto" w:fill="D4E6ED"/>
      </w:tcPr>
    </w:tblStylePr>
    <w:tblStylePr w:type="band1Horz">
      <w:tblPr/>
      <w:tcPr>
        <w:shd w:val="clear" w:color="auto" w:fill="D4E6ED"/>
      </w:tcPr>
    </w:tblStylePr>
  </w:style>
  <w:style w:type="paragraph" w:customStyle="1" w:styleId="NormalNumbered">
    <w:name w:val="Normal Numbered"/>
    <w:basedOn w:val="Navaden"/>
    <w:link w:val="NormalNumberedChar"/>
    <w:rsid w:val="003E3ED9"/>
    <w:pPr>
      <w:numPr>
        <w:numId w:val="17"/>
      </w:numPr>
      <w:spacing w:before="60" w:after="60" w:line="276" w:lineRule="auto"/>
      <w:ind w:left="714" w:hanging="357"/>
      <w:jc w:val="both"/>
    </w:pPr>
    <w:rPr>
      <w:rFonts w:ascii="Futura Lt BT" w:eastAsia="PMingLiU" w:hAnsi="Futura Lt BT"/>
      <w:sz w:val="22"/>
      <w:szCs w:val="20"/>
    </w:rPr>
  </w:style>
  <w:style w:type="character" w:customStyle="1" w:styleId="NormalNumberedChar">
    <w:name w:val="Normal Numbered Char"/>
    <w:basedOn w:val="Privzetapisavaodstavka"/>
    <w:link w:val="NormalNumbered"/>
    <w:rsid w:val="003E3ED9"/>
    <w:rPr>
      <w:rFonts w:ascii="Futura Lt BT" w:eastAsia="PMingLiU" w:hAnsi="Futura Lt BT"/>
      <w:sz w:val="22"/>
      <w:lang w:eastAsia="en-US"/>
    </w:rPr>
  </w:style>
  <w:style w:type="paragraph" w:customStyle="1" w:styleId="NormalBulleted2">
    <w:name w:val="Normal Bulleted 2"/>
    <w:basedOn w:val="Navaden"/>
    <w:link w:val="NormalBulleted2Char"/>
    <w:qFormat/>
    <w:rsid w:val="003E3ED9"/>
    <w:pPr>
      <w:keepNext/>
      <w:numPr>
        <w:numId w:val="16"/>
      </w:numPr>
      <w:tabs>
        <w:tab w:val="left" w:pos="1066"/>
      </w:tabs>
      <w:spacing w:line="276" w:lineRule="auto"/>
      <w:ind w:left="1066" w:hanging="357"/>
      <w:jc w:val="both"/>
    </w:pPr>
    <w:rPr>
      <w:rFonts w:ascii="Futura Lt BT" w:eastAsia="PMingLiU" w:hAnsi="Futura Lt BT"/>
      <w:sz w:val="22"/>
      <w:szCs w:val="20"/>
      <w:lang w:eastAsia="en-GB"/>
    </w:rPr>
  </w:style>
  <w:style w:type="character" w:customStyle="1" w:styleId="NormalBulleted2Char">
    <w:name w:val="Normal Bulleted 2 Char"/>
    <w:link w:val="NormalBulleted2"/>
    <w:rsid w:val="003E3ED9"/>
    <w:rPr>
      <w:rFonts w:ascii="Futura Lt BT" w:eastAsia="PMingLiU" w:hAnsi="Futura Lt BT"/>
      <w:sz w:val="22"/>
      <w:lang w:eastAsia="en-GB"/>
    </w:rPr>
  </w:style>
  <w:style w:type="table" w:customStyle="1" w:styleId="TableGrid1">
    <w:name w:val="Table Grid1"/>
    <w:basedOn w:val="Navadnatabela"/>
    <w:next w:val="Tabelamrea"/>
    <w:uiPriority w:val="59"/>
    <w:rsid w:val="003E3ED9"/>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3E3ED9"/>
    <w:pPr>
      <w:numPr>
        <w:numId w:val="18"/>
      </w:numPr>
      <w:spacing w:line="276" w:lineRule="auto"/>
      <w:contextualSpacing/>
      <w:jc w:val="both"/>
    </w:pPr>
    <w:rPr>
      <w:rFonts w:ascii="Futura Lt BT" w:eastAsia="PMingLiU" w:hAnsi="Futura Lt BT"/>
      <w:sz w:val="22"/>
      <w:szCs w:val="20"/>
      <w:lang w:eastAsia="en-GB"/>
    </w:rPr>
  </w:style>
  <w:style w:type="character" w:customStyle="1" w:styleId="NormalBulletedChar">
    <w:name w:val="Normal Bulleted Char"/>
    <w:link w:val="NormalBulleted"/>
    <w:rsid w:val="003E3ED9"/>
    <w:rPr>
      <w:rFonts w:ascii="Futura Lt BT" w:eastAsia="PMingLiU" w:hAnsi="Futura Lt BT"/>
      <w:sz w:val="22"/>
      <w:lang w:eastAsia="en-GB"/>
    </w:rPr>
  </w:style>
  <w:style w:type="character" w:customStyle="1" w:styleId="left">
    <w:name w:val="left"/>
    <w:basedOn w:val="Privzetapisavaodstavka"/>
    <w:rsid w:val="003E3ED9"/>
  </w:style>
  <w:style w:type="table" w:customStyle="1" w:styleId="TableGrid3">
    <w:name w:val="Table Grid3"/>
    <w:basedOn w:val="Navadnatabela"/>
    <w:next w:val="Tabelamrea"/>
    <w:uiPriority w:val="59"/>
    <w:rsid w:val="003E3ED9"/>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E3ED9"/>
    <w:rPr>
      <w:rFonts w:asciiTheme="minorHAnsi" w:eastAsiaTheme="minorHAnsi" w:hAnsiTheme="minorHAnsi" w:cstheme="minorBidi"/>
      <w:lang w:val="en-US" w:eastAsia="en-US"/>
    </w:rPr>
    <w:tblPr>
      <w:tblStyleRowBandSize w:val="1"/>
      <w:tblStyleColBandSize w:val="1"/>
      <w:tblBorders>
        <w:top w:val="single" w:sz="4" w:space="0" w:color="97C3D5"/>
        <w:left w:val="single" w:sz="4" w:space="0" w:color="97C3D5"/>
        <w:bottom w:val="single" w:sz="4" w:space="0" w:color="97C3D5"/>
        <w:right w:val="single" w:sz="4" w:space="0" w:color="97C3D5"/>
        <w:insideH w:val="single" w:sz="4" w:space="0" w:color="97C3D5"/>
        <w:insideV w:val="single" w:sz="4" w:space="0" w:color="97C3D5"/>
      </w:tblBorders>
    </w:tblPr>
    <w:tblStylePr w:type="firstRow">
      <w:rPr>
        <w:b/>
        <w:bCs/>
        <w:color w:val="FFFFFF"/>
      </w:rPr>
      <w:tblPr/>
      <w:tcPr>
        <w:tcBorders>
          <w:top w:val="single" w:sz="4" w:space="0" w:color="529DBA"/>
          <w:left w:val="single" w:sz="4" w:space="0" w:color="529DBA"/>
          <w:bottom w:val="single" w:sz="4" w:space="0" w:color="529DBA"/>
          <w:right w:val="single" w:sz="4" w:space="0" w:color="529DBA"/>
          <w:insideH w:val="nil"/>
          <w:insideV w:val="nil"/>
        </w:tcBorders>
        <w:shd w:val="clear" w:color="auto" w:fill="529DBA"/>
      </w:tcPr>
    </w:tblStylePr>
    <w:tblStylePr w:type="lastRow">
      <w:rPr>
        <w:b/>
        <w:bCs/>
      </w:rPr>
      <w:tblPr/>
      <w:tcPr>
        <w:tcBorders>
          <w:top w:val="double" w:sz="4" w:space="0" w:color="529DBA"/>
        </w:tcBorders>
      </w:tcPr>
    </w:tblStylePr>
    <w:tblStylePr w:type="firstCol">
      <w:rPr>
        <w:b/>
        <w:bCs/>
      </w:rPr>
    </w:tblStylePr>
    <w:tblStylePr w:type="lastCol">
      <w:rPr>
        <w:b/>
        <w:bCs/>
      </w:rPr>
    </w:tblStylePr>
    <w:tblStylePr w:type="band1Vert">
      <w:tblPr/>
      <w:tcPr>
        <w:shd w:val="clear" w:color="auto" w:fill="DCEBF1"/>
      </w:tcPr>
    </w:tblStylePr>
    <w:tblStylePr w:type="band1Horz">
      <w:tblPr/>
      <w:tcPr>
        <w:shd w:val="clear" w:color="auto" w:fill="DCEBF1"/>
      </w:tcPr>
    </w:tblStylePr>
  </w:style>
  <w:style w:type="paragraph" w:customStyle="1" w:styleId="Uvodnipozdrav1">
    <w:name w:val="Uvodni pozdrav1"/>
    <w:basedOn w:val="Navaden"/>
    <w:next w:val="Navaden"/>
    <w:uiPriority w:val="99"/>
    <w:unhideWhenUsed/>
    <w:rsid w:val="003E3ED9"/>
    <w:pPr>
      <w:spacing w:after="160" w:line="240" w:lineRule="auto"/>
    </w:pPr>
    <w:rPr>
      <w:rFonts w:asciiTheme="minorHAnsi" w:eastAsiaTheme="minorHAnsi" w:hAnsiTheme="minorHAnsi" w:cstheme="minorBidi"/>
      <w:szCs w:val="20"/>
    </w:rPr>
  </w:style>
  <w:style w:type="character" w:customStyle="1" w:styleId="UvodnipozdravZnak">
    <w:name w:val="Uvodni pozdrav Znak"/>
    <w:basedOn w:val="Privzetapisavaodstavka"/>
    <w:link w:val="Uvodnipozdrav"/>
    <w:uiPriority w:val="99"/>
    <w:rsid w:val="003E3ED9"/>
    <w:rPr>
      <w:rFonts w:ascii="Calibri" w:eastAsia="Calibri" w:hAnsi="Calibri"/>
      <w:lang w:eastAsia="en-US"/>
    </w:rPr>
  </w:style>
  <w:style w:type="table" w:customStyle="1" w:styleId="TableGrid2">
    <w:name w:val="Table Grid2"/>
    <w:basedOn w:val="Navadnatabela"/>
    <w:next w:val="Tabelamrea"/>
    <w:uiPriority w:val="39"/>
    <w:rsid w:val="003E3ED9"/>
    <w:rPr>
      <w:rFonts w:ascii="Georgia" w:eastAsiaTheme="minorHAnsi" w:hAnsi="Georgi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3E3ED9"/>
    <w:pPr>
      <w:spacing w:before="100" w:beforeAutospacing="1" w:after="100" w:afterAutospacing="1"/>
    </w:pPr>
    <w:rPr>
      <w:rFonts w:ascii="Georgia" w:eastAsiaTheme="minorHAnsi" w:hAnsi="Georgia" w:cstheme="minorBidi"/>
      <w:sz w:val="18"/>
      <w:lang w:val="en-US" w:eastAsia="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customStyle="1" w:styleId="Podpis1">
    <w:name w:val="Podpis1"/>
    <w:basedOn w:val="Navaden"/>
    <w:next w:val="Podpis"/>
    <w:link w:val="PodpisZnak"/>
    <w:uiPriority w:val="99"/>
    <w:unhideWhenUsed/>
    <w:rsid w:val="003E3ED9"/>
    <w:pPr>
      <w:spacing w:line="240" w:lineRule="auto"/>
      <w:ind w:left="4252"/>
    </w:pPr>
    <w:rPr>
      <w:rFonts w:ascii="Calibri" w:eastAsia="Calibri" w:hAnsi="Calibri"/>
      <w:sz w:val="22"/>
      <w:szCs w:val="22"/>
    </w:rPr>
  </w:style>
  <w:style w:type="character" w:customStyle="1" w:styleId="PodpisZnak">
    <w:name w:val="Podpis Znak"/>
    <w:basedOn w:val="Privzetapisavaodstavka"/>
    <w:link w:val="Podpis1"/>
    <w:uiPriority w:val="99"/>
    <w:rsid w:val="003E3ED9"/>
    <w:rPr>
      <w:rFonts w:ascii="Calibri" w:eastAsia="Calibri" w:hAnsi="Calibri"/>
      <w:sz w:val="22"/>
      <w:szCs w:val="22"/>
      <w:lang w:eastAsia="en-US"/>
    </w:rPr>
  </w:style>
  <w:style w:type="paragraph" w:customStyle="1" w:styleId="Opomba-naslov1">
    <w:name w:val="Opomba - naslov1"/>
    <w:basedOn w:val="Navaden"/>
    <w:next w:val="Navaden"/>
    <w:uiPriority w:val="99"/>
    <w:unhideWhenUsed/>
    <w:rsid w:val="003E3ED9"/>
    <w:pPr>
      <w:spacing w:after="160" w:line="240" w:lineRule="auto"/>
    </w:pPr>
    <w:rPr>
      <w:rFonts w:asciiTheme="minorHAnsi" w:eastAsiaTheme="minorHAnsi" w:hAnsiTheme="minorHAnsi" w:cstheme="minorBidi"/>
      <w:sz w:val="16"/>
      <w:szCs w:val="20"/>
    </w:rPr>
  </w:style>
  <w:style w:type="character" w:customStyle="1" w:styleId="Opomba-naslovZnak">
    <w:name w:val="Opomba - naslov Znak"/>
    <w:basedOn w:val="Privzetapisavaodstavka"/>
    <w:link w:val="Opomba-naslov"/>
    <w:uiPriority w:val="99"/>
    <w:semiHidden/>
    <w:rsid w:val="003E3ED9"/>
    <w:rPr>
      <w:rFonts w:ascii="Calibri" w:eastAsia="Calibri" w:hAnsi="Calibri"/>
      <w:sz w:val="16"/>
      <w:lang w:eastAsia="en-US"/>
    </w:rPr>
  </w:style>
  <w:style w:type="paragraph" w:customStyle="1" w:styleId="Kazalovsebine61">
    <w:name w:val="Kazalo vsebine 61"/>
    <w:basedOn w:val="Navaden"/>
    <w:next w:val="Navaden"/>
    <w:autoRedefine/>
    <w:uiPriority w:val="39"/>
    <w:unhideWhenUsed/>
    <w:rsid w:val="003E3ED9"/>
    <w:pPr>
      <w:spacing w:after="100" w:line="259" w:lineRule="auto"/>
      <w:ind w:left="1100"/>
    </w:pPr>
    <w:rPr>
      <w:rFonts w:asciiTheme="minorHAnsi" w:hAnsiTheme="minorHAnsi" w:cstheme="minorBidi"/>
      <w:sz w:val="22"/>
      <w:szCs w:val="22"/>
      <w:lang w:eastAsia="sl-SI"/>
    </w:rPr>
  </w:style>
  <w:style w:type="paragraph" w:customStyle="1" w:styleId="Kazalovsebine71">
    <w:name w:val="Kazalo vsebine 71"/>
    <w:basedOn w:val="Navaden"/>
    <w:next w:val="Navaden"/>
    <w:autoRedefine/>
    <w:uiPriority w:val="39"/>
    <w:unhideWhenUsed/>
    <w:rsid w:val="003E3ED9"/>
    <w:pPr>
      <w:spacing w:after="100" w:line="259" w:lineRule="auto"/>
      <w:ind w:left="1320"/>
    </w:pPr>
    <w:rPr>
      <w:rFonts w:asciiTheme="minorHAnsi" w:hAnsiTheme="minorHAnsi" w:cstheme="minorBidi"/>
      <w:sz w:val="22"/>
      <w:szCs w:val="22"/>
      <w:lang w:eastAsia="sl-SI"/>
    </w:rPr>
  </w:style>
  <w:style w:type="paragraph" w:customStyle="1" w:styleId="Kazalovsebine81">
    <w:name w:val="Kazalo vsebine 81"/>
    <w:basedOn w:val="Navaden"/>
    <w:next w:val="Navaden"/>
    <w:autoRedefine/>
    <w:uiPriority w:val="39"/>
    <w:unhideWhenUsed/>
    <w:rsid w:val="003E3ED9"/>
    <w:pPr>
      <w:spacing w:after="100" w:line="259" w:lineRule="auto"/>
      <w:ind w:left="1540"/>
    </w:pPr>
    <w:rPr>
      <w:rFonts w:asciiTheme="minorHAnsi" w:hAnsiTheme="minorHAnsi" w:cstheme="minorBidi"/>
      <w:sz w:val="22"/>
      <w:szCs w:val="22"/>
      <w:lang w:eastAsia="sl-SI"/>
    </w:rPr>
  </w:style>
  <w:style w:type="paragraph" w:customStyle="1" w:styleId="Kazalovsebine91">
    <w:name w:val="Kazalo vsebine 91"/>
    <w:basedOn w:val="Navaden"/>
    <w:next w:val="Navaden"/>
    <w:autoRedefine/>
    <w:uiPriority w:val="39"/>
    <w:unhideWhenUsed/>
    <w:rsid w:val="003E3ED9"/>
    <w:pPr>
      <w:spacing w:after="100" w:line="259" w:lineRule="auto"/>
      <w:ind w:left="1760"/>
    </w:pPr>
    <w:rPr>
      <w:rFonts w:asciiTheme="minorHAnsi" w:hAnsiTheme="minorHAnsi" w:cstheme="minorBidi"/>
      <w:sz w:val="22"/>
      <w:szCs w:val="22"/>
      <w:lang w:eastAsia="sl-SI"/>
    </w:rPr>
  </w:style>
  <w:style w:type="table" w:customStyle="1" w:styleId="TableGrid4">
    <w:name w:val="Table Grid4"/>
    <w:basedOn w:val="Navadnatabela"/>
    <w:next w:val="Tabelamrea"/>
    <w:uiPriority w:val="39"/>
    <w:rsid w:val="003E3ED9"/>
    <w:rPr>
      <w:rFonts w:ascii="Georgia" w:eastAsiaTheme="minorHAnsi" w:hAnsi="Georgia"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3E3ED9"/>
    <w:rPr>
      <w:rFonts w:asciiTheme="minorHAnsi" w:eastAsiaTheme="minorHAnsi" w:hAnsiTheme="minorHAnsi" w:cstheme="minorBidi"/>
      <w:sz w:val="22"/>
      <w:szCs w:val="22"/>
      <w:lang w:val="hr-HR"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3E3ED9"/>
    <w:pPr>
      <w:tabs>
        <w:tab w:val="num" w:pos="1417"/>
      </w:tabs>
      <w:spacing w:after="240" w:line="240" w:lineRule="auto"/>
      <w:ind w:left="1417" w:hanging="708"/>
      <w:jc w:val="both"/>
    </w:pPr>
    <w:rPr>
      <w:rFonts w:ascii="Times New Roman" w:hAnsi="Times New Roman"/>
      <w:sz w:val="24"/>
      <w:szCs w:val="20"/>
    </w:rPr>
  </w:style>
  <w:style w:type="paragraph" w:customStyle="1" w:styleId="ListNumberLevel3">
    <w:name w:val="List Number (Level 3)"/>
    <w:basedOn w:val="Navaden"/>
    <w:rsid w:val="003E3ED9"/>
    <w:pPr>
      <w:tabs>
        <w:tab w:val="num" w:pos="2126"/>
      </w:tabs>
      <w:spacing w:after="240" w:line="240" w:lineRule="auto"/>
      <w:ind w:left="2126" w:hanging="709"/>
      <w:jc w:val="both"/>
    </w:pPr>
    <w:rPr>
      <w:rFonts w:ascii="Times New Roman" w:hAnsi="Times New Roman"/>
      <w:sz w:val="24"/>
      <w:szCs w:val="20"/>
    </w:rPr>
  </w:style>
  <w:style w:type="paragraph" w:customStyle="1" w:styleId="ListNumberLevel4">
    <w:name w:val="List Number (Level 4)"/>
    <w:basedOn w:val="Navaden"/>
    <w:rsid w:val="003E3ED9"/>
    <w:pPr>
      <w:tabs>
        <w:tab w:val="num" w:pos="2835"/>
      </w:tabs>
      <w:spacing w:after="240" w:line="240" w:lineRule="auto"/>
      <w:ind w:left="2835" w:hanging="709"/>
      <w:jc w:val="both"/>
    </w:pPr>
    <w:rPr>
      <w:rFonts w:ascii="Times New Roman" w:hAnsi="Times New Roman"/>
      <w:sz w:val="24"/>
      <w:szCs w:val="20"/>
    </w:rPr>
  </w:style>
  <w:style w:type="paragraph" w:customStyle="1" w:styleId="ListRoman6">
    <w:name w:val="List Roman 6"/>
    <w:basedOn w:val="ListRoman5"/>
    <w:qFormat/>
    <w:rsid w:val="003E3ED9"/>
    <w:pPr>
      <w:numPr>
        <w:ilvl w:val="0"/>
        <w:numId w:val="0"/>
      </w:numPr>
      <w:tabs>
        <w:tab w:val="clear" w:pos="1987"/>
        <w:tab w:val="num" w:pos="2381"/>
      </w:tabs>
      <w:spacing w:before="60" w:after="60"/>
      <w:ind w:left="2382" w:hanging="397"/>
    </w:pPr>
    <w:rPr>
      <w:rFonts w:eastAsia="Times New Roman"/>
      <w:szCs w:val="22"/>
      <w:lang w:val="en-US"/>
    </w:rPr>
  </w:style>
  <w:style w:type="paragraph" w:customStyle="1" w:styleId="ListRoman7">
    <w:name w:val="List Roman 7"/>
    <w:basedOn w:val="ListRoman6"/>
    <w:qFormat/>
    <w:rsid w:val="003E3ED9"/>
    <w:pPr>
      <w:tabs>
        <w:tab w:val="clear" w:pos="2381"/>
        <w:tab w:val="num" w:pos="2778"/>
      </w:tabs>
      <w:ind w:left="2779"/>
    </w:pPr>
  </w:style>
  <w:style w:type="paragraph" w:customStyle="1" w:styleId="ListRoman8">
    <w:name w:val="List Roman 8"/>
    <w:basedOn w:val="ListRoman7"/>
    <w:qFormat/>
    <w:rsid w:val="003E3ED9"/>
    <w:pPr>
      <w:tabs>
        <w:tab w:val="clear" w:pos="2778"/>
        <w:tab w:val="num" w:pos="3175"/>
      </w:tabs>
      <w:ind w:left="3176"/>
    </w:pPr>
  </w:style>
  <w:style w:type="paragraph" w:customStyle="1" w:styleId="ListRoman9">
    <w:name w:val="List Roman 9"/>
    <w:basedOn w:val="ListRoman8"/>
    <w:qFormat/>
    <w:rsid w:val="003E3ED9"/>
    <w:pPr>
      <w:tabs>
        <w:tab w:val="clear" w:pos="3175"/>
        <w:tab w:val="num" w:pos="3572"/>
      </w:tabs>
      <w:ind w:left="3573"/>
    </w:pPr>
  </w:style>
  <w:style w:type="table" w:customStyle="1" w:styleId="Srednjesenenje1poudarek11">
    <w:name w:val="Srednje senčenje 1 – poudarek 11"/>
    <w:basedOn w:val="Navadnatabela"/>
    <w:next w:val="Srednjesenenje1poudarek1"/>
    <w:uiPriority w:val="63"/>
    <w:rsid w:val="003E3ED9"/>
    <w:rPr>
      <w:rFonts w:asciiTheme="minorHAnsi" w:hAnsiTheme="minorHAnsi" w:cstheme="minorBidi"/>
      <w:sz w:val="22"/>
      <w:szCs w:val="22"/>
      <w:lang w:val="en-US" w:eastAsia="en-US"/>
    </w:rPr>
    <w:tblPr>
      <w:tblStyleRowBandSize w:val="1"/>
      <w:tblStyleColBandSize w:val="1"/>
      <w:tblBorders>
        <w:top w:val="single" w:sz="8" w:space="0" w:color="7DB5CB"/>
        <w:left w:val="single" w:sz="8" w:space="0" w:color="7DB5CB"/>
        <w:bottom w:val="single" w:sz="8" w:space="0" w:color="7DB5CB"/>
        <w:right w:val="single" w:sz="8" w:space="0" w:color="7DB5CB"/>
        <w:insideH w:val="single" w:sz="8" w:space="0" w:color="7DB5CB"/>
      </w:tblBorders>
    </w:tblPr>
    <w:tblStylePr w:type="firstRow">
      <w:pPr>
        <w:spacing w:before="0" w:after="0" w:line="240" w:lineRule="auto"/>
      </w:pPr>
      <w:rPr>
        <w:b/>
        <w:bCs/>
        <w:color w:val="FFFFFF"/>
      </w:rPr>
      <w:tblPr/>
      <w:tcPr>
        <w:tcBorders>
          <w:top w:val="single" w:sz="8" w:space="0" w:color="7DB5CB"/>
          <w:left w:val="single" w:sz="8" w:space="0" w:color="7DB5CB"/>
          <w:bottom w:val="single" w:sz="8" w:space="0" w:color="7DB5CB"/>
          <w:right w:val="single" w:sz="8" w:space="0" w:color="7DB5CB"/>
          <w:insideH w:val="nil"/>
          <w:insideV w:val="nil"/>
        </w:tcBorders>
        <w:shd w:val="clear" w:color="auto" w:fill="529DBA"/>
      </w:tcPr>
    </w:tblStylePr>
    <w:tblStylePr w:type="lastRow">
      <w:pPr>
        <w:spacing w:before="0" w:after="0" w:line="240" w:lineRule="auto"/>
      </w:pPr>
      <w:rPr>
        <w:b/>
        <w:bCs/>
      </w:rPr>
      <w:tblPr/>
      <w:tcPr>
        <w:tcBorders>
          <w:top w:val="double" w:sz="6" w:space="0" w:color="7DB5CB"/>
          <w:left w:val="single" w:sz="8" w:space="0" w:color="7DB5CB"/>
          <w:bottom w:val="single" w:sz="8" w:space="0" w:color="7DB5CB"/>
          <w:right w:val="single" w:sz="8" w:space="0" w:color="7DB5CB"/>
          <w:insideH w:val="nil"/>
          <w:insideV w:val="nil"/>
        </w:tcBorders>
      </w:tcPr>
    </w:tblStylePr>
    <w:tblStylePr w:type="firstCol">
      <w:rPr>
        <w:b/>
        <w:bCs/>
      </w:rPr>
    </w:tblStylePr>
    <w:tblStylePr w:type="lastCol">
      <w:rPr>
        <w:b/>
        <w:bCs/>
      </w:rPr>
    </w:tblStylePr>
    <w:tblStylePr w:type="band1Vert">
      <w:tblPr/>
      <w:tcPr>
        <w:shd w:val="clear" w:color="auto" w:fill="D4E6EE"/>
      </w:tcPr>
    </w:tblStylePr>
    <w:tblStylePr w:type="band1Horz">
      <w:tblPr/>
      <w:tcPr>
        <w:tcBorders>
          <w:insideH w:val="nil"/>
          <w:insideV w:val="nil"/>
        </w:tcBorders>
        <w:shd w:val="clear" w:color="auto" w:fill="D4E6EE"/>
      </w:tcPr>
    </w:tblStylePr>
    <w:tblStylePr w:type="band2Horz">
      <w:tblPr/>
      <w:tcPr>
        <w:tcBorders>
          <w:insideH w:val="nil"/>
          <w:insideV w:val="nil"/>
        </w:tcBorders>
      </w:tcPr>
    </w:tblStylePr>
  </w:style>
  <w:style w:type="paragraph" w:customStyle="1" w:styleId="footnote">
    <w:name w:val="footnote"/>
    <w:autoRedefine/>
    <w:rsid w:val="003E3ED9"/>
    <w:pPr>
      <w:ind w:left="284" w:hanging="284"/>
    </w:pPr>
    <w:rPr>
      <w:rFonts w:ascii="Arial" w:eastAsia="Calibri" w:hAnsi="Arial" w:cs="Arial"/>
      <w:sz w:val="14"/>
      <w:szCs w:val="18"/>
      <w:lang w:val="en-US" w:eastAsia="en-GB"/>
    </w:rPr>
  </w:style>
  <w:style w:type="character" w:customStyle="1" w:styleId="Naslov2Znak1">
    <w:name w:val="Naslov 2 Znak1"/>
    <w:basedOn w:val="Privzetapisavaodstavka"/>
    <w:link w:val="Naslov2"/>
    <w:uiPriority w:val="9"/>
    <w:semiHidden/>
    <w:rsid w:val="003E3ED9"/>
    <w:rPr>
      <w:rFonts w:asciiTheme="majorHAnsi" w:eastAsiaTheme="majorEastAsia" w:hAnsiTheme="majorHAnsi" w:cstheme="majorBidi"/>
      <w:color w:val="365F91" w:themeColor="accent1" w:themeShade="BF"/>
      <w:sz w:val="26"/>
      <w:szCs w:val="26"/>
      <w:lang w:eastAsia="en-US"/>
    </w:rPr>
  </w:style>
  <w:style w:type="character" w:customStyle="1" w:styleId="Naslov3Znak1">
    <w:name w:val="Naslov 3 Znak1"/>
    <w:basedOn w:val="Privzetapisavaodstavka"/>
    <w:link w:val="Naslov3"/>
    <w:uiPriority w:val="9"/>
    <w:semiHidden/>
    <w:rsid w:val="003E3ED9"/>
    <w:rPr>
      <w:rFonts w:asciiTheme="majorHAnsi" w:eastAsiaTheme="majorEastAsia" w:hAnsiTheme="majorHAnsi" w:cstheme="majorBidi"/>
      <w:color w:val="243F60" w:themeColor="accent1" w:themeShade="7F"/>
      <w:sz w:val="24"/>
      <w:szCs w:val="24"/>
      <w:lang w:eastAsia="en-US"/>
    </w:rPr>
  </w:style>
  <w:style w:type="character" w:customStyle="1" w:styleId="Naslov4Znak1">
    <w:name w:val="Naslov 4 Znak1"/>
    <w:basedOn w:val="Privzetapisavaodstavka"/>
    <w:link w:val="Naslov4"/>
    <w:uiPriority w:val="9"/>
    <w:semiHidden/>
    <w:rsid w:val="003E3ED9"/>
    <w:rPr>
      <w:rFonts w:asciiTheme="majorHAnsi" w:eastAsiaTheme="majorEastAsia" w:hAnsiTheme="majorHAnsi" w:cstheme="majorBidi"/>
      <w:i/>
      <w:iCs/>
      <w:color w:val="365F91" w:themeColor="accent1" w:themeShade="BF"/>
      <w:sz w:val="22"/>
      <w:szCs w:val="22"/>
      <w:lang w:eastAsia="en-US"/>
    </w:rPr>
  </w:style>
  <w:style w:type="character" w:customStyle="1" w:styleId="Naslov5Znak1">
    <w:name w:val="Naslov 5 Znak1"/>
    <w:basedOn w:val="Privzetapisavaodstavka"/>
    <w:link w:val="Naslov5"/>
    <w:uiPriority w:val="9"/>
    <w:semiHidden/>
    <w:rsid w:val="003E3ED9"/>
    <w:rPr>
      <w:rFonts w:asciiTheme="majorHAnsi" w:eastAsiaTheme="majorEastAsia" w:hAnsiTheme="majorHAnsi" w:cstheme="majorBidi"/>
      <w:color w:val="365F91" w:themeColor="accent1" w:themeShade="BF"/>
      <w:sz w:val="22"/>
      <w:szCs w:val="22"/>
      <w:lang w:eastAsia="en-US"/>
    </w:rPr>
  </w:style>
  <w:style w:type="character" w:customStyle="1" w:styleId="Naslov6Znak1">
    <w:name w:val="Naslov 6 Znak1"/>
    <w:basedOn w:val="Privzetapisavaodstavka"/>
    <w:link w:val="Naslov6"/>
    <w:uiPriority w:val="9"/>
    <w:semiHidden/>
    <w:rsid w:val="003E3ED9"/>
    <w:rPr>
      <w:rFonts w:asciiTheme="majorHAnsi" w:eastAsiaTheme="majorEastAsia" w:hAnsiTheme="majorHAnsi" w:cstheme="majorBidi"/>
      <w:color w:val="243F60" w:themeColor="accent1" w:themeShade="7F"/>
      <w:sz w:val="22"/>
      <w:szCs w:val="22"/>
      <w:lang w:eastAsia="en-US"/>
    </w:rPr>
  </w:style>
  <w:style w:type="character" w:customStyle="1" w:styleId="Naslov7Znak1">
    <w:name w:val="Naslov 7 Znak1"/>
    <w:basedOn w:val="Privzetapisavaodstavka"/>
    <w:link w:val="Naslov7"/>
    <w:uiPriority w:val="9"/>
    <w:semiHidden/>
    <w:rsid w:val="003E3ED9"/>
    <w:rPr>
      <w:rFonts w:asciiTheme="majorHAnsi" w:eastAsiaTheme="majorEastAsia" w:hAnsiTheme="majorHAnsi" w:cstheme="majorBidi"/>
      <w:i/>
      <w:iCs/>
      <w:color w:val="243F60" w:themeColor="accent1" w:themeShade="7F"/>
      <w:sz w:val="22"/>
      <w:szCs w:val="22"/>
      <w:lang w:eastAsia="en-US"/>
    </w:rPr>
  </w:style>
  <w:style w:type="character" w:customStyle="1" w:styleId="Naslov8Znak1">
    <w:name w:val="Naslov 8 Znak1"/>
    <w:basedOn w:val="Privzetapisavaodstavka"/>
    <w:link w:val="Naslov8"/>
    <w:uiPriority w:val="9"/>
    <w:semiHidden/>
    <w:rsid w:val="003E3ED9"/>
    <w:rPr>
      <w:rFonts w:asciiTheme="majorHAnsi" w:eastAsiaTheme="majorEastAsia" w:hAnsiTheme="majorHAnsi" w:cstheme="majorBidi"/>
      <w:color w:val="272727" w:themeColor="text1" w:themeTint="D8"/>
      <w:sz w:val="21"/>
      <w:szCs w:val="21"/>
      <w:lang w:eastAsia="en-US"/>
    </w:rPr>
  </w:style>
  <w:style w:type="character" w:customStyle="1" w:styleId="Naslov9Znak1">
    <w:name w:val="Naslov 9 Znak1"/>
    <w:basedOn w:val="Privzetapisavaodstavka"/>
    <w:link w:val="Naslov9"/>
    <w:uiPriority w:val="9"/>
    <w:semiHidden/>
    <w:rsid w:val="003E3ED9"/>
    <w:rPr>
      <w:rFonts w:asciiTheme="majorHAnsi" w:eastAsiaTheme="majorEastAsia" w:hAnsiTheme="majorHAnsi" w:cstheme="majorBidi"/>
      <w:i/>
      <w:iCs/>
      <w:color w:val="272727" w:themeColor="text1" w:themeTint="D8"/>
      <w:sz w:val="21"/>
      <w:szCs w:val="21"/>
      <w:lang w:eastAsia="en-US"/>
    </w:rPr>
  </w:style>
  <w:style w:type="numbering" w:styleId="lenOdsek">
    <w:name w:val="Outline List 3"/>
    <w:basedOn w:val="Brezseznama"/>
    <w:rsid w:val="003E3ED9"/>
    <w:pPr>
      <w:numPr>
        <w:numId w:val="19"/>
      </w:numPr>
    </w:pPr>
  </w:style>
  <w:style w:type="table" w:customStyle="1" w:styleId="Tabelasvetlamrea1">
    <w:name w:val="Tabela – svetla mreža1"/>
    <w:basedOn w:val="Navadnatabela"/>
    <w:uiPriority w:val="40"/>
    <w:rsid w:val="003E3ED9"/>
    <w:rPr>
      <w:rFonts w:asciiTheme="minorHAnsi" w:eastAsiaTheme="minorHAnsi" w:hAnsiTheme="minorHAnsi" w:cstheme="minorBid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lobesedila21">
    <w:name w:val="Telo besedila 21"/>
    <w:basedOn w:val="Navaden"/>
    <w:next w:val="Telobesedila2"/>
    <w:link w:val="Telobesedila2Znak"/>
    <w:uiPriority w:val="99"/>
    <w:unhideWhenUsed/>
    <w:rsid w:val="003E3ED9"/>
    <w:pPr>
      <w:spacing w:after="120" w:line="480" w:lineRule="auto"/>
    </w:pPr>
    <w:rPr>
      <w:rFonts w:ascii="Calibri" w:eastAsia="Calibri" w:hAnsi="Calibri"/>
      <w:sz w:val="22"/>
      <w:szCs w:val="22"/>
    </w:rPr>
  </w:style>
  <w:style w:type="character" w:customStyle="1" w:styleId="Telobesedila2Znak">
    <w:name w:val="Telo besedila 2 Znak"/>
    <w:basedOn w:val="Privzetapisavaodstavka"/>
    <w:link w:val="Telobesedila21"/>
    <w:uiPriority w:val="99"/>
    <w:rsid w:val="003E3ED9"/>
    <w:rPr>
      <w:rFonts w:ascii="Calibri" w:eastAsia="Calibri" w:hAnsi="Calibri"/>
      <w:sz w:val="22"/>
      <w:szCs w:val="22"/>
      <w:lang w:eastAsia="en-US"/>
    </w:rPr>
  </w:style>
  <w:style w:type="table" w:customStyle="1" w:styleId="GridTable5Dark-Accent11">
    <w:name w:val="Grid Table 5 Dark - Accent 11"/>
    <w:basedOn w:val="Navadnatabela"/>
    <w:uiPriority w:val="50"/>
    <w:rsid w:val="003E3ED9"/>
    <w:rPr>
      <w:rFonts w:asciiTheme="minorHAnsi" w:eastAsiaTheme="minorHAnsi" w:hAnsiTheme="minorHAnsi" w:cstheme="minorBidi"/>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EB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29DB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29DB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29DB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29DBA"/>
      </w:tcPr>
    </w:tblStylePr>
    <w:tblStylePr w:type="band1Vert">
      <w:tblPr/>
      <w:tcPr>
        <w:shd w:val="clear" w:color="auto" w:fill="B9D7E3"/>
      </w:tcPr>
    </w:tblStylePr>
    <w:tblStylePr w:type="band1Horz">
      <w:tblPr/>
      <w:tcPr>
        <w:shd w:val="clear" w:color="auto" w:fill="B9D7E3"/>
      </w:tcPr>
    </w:tblStylePr>
  </w:style>
  <w:style w:type="table" w:customStyle="1" w:styleId="MediumShading2-Accent11">
    <w:name w:val="Medium Shading 2 - Accent 11"/>
    <w:basedOn w:val="Navadnatabela"/>
    <w:uiPriority w:val="64"/>
    <w:rsid w:val="003E3ED9"/>
    <w:pPr>
      <w:jc w:val="both"/>
    </w:pPr>
    <w:rPr>
      <w:rFonts w:asciiTheme="minorHAnsi" w:eastAsiaTheme="minorHAnsi"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29DB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29DBA"/>
      </w:tcPr>
    </w:tblStylePr>
    <w:tblStylePr w:type="lastCol">
      <w:rPr>
        <w:b/>
        <w:bCs/>
        <w:color w:val="FFFFFF"/>
      </w:rPr>
      <w:tblPr/>
      <w:tcPr>
        <w:tcBorders>
          <w:left w:val="nil"/>
          <w:right w:val="nil"/>
          <w:insideH w:val="nil"/>
          <w:insideV w:val="nil"/>
        </w:tcBorders>
        <w:shd w:val="clear" w:color="auto" w:fill="529DB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3E3ED9"/>
    <w:rPr>
      <w:rFonts w:asciiTheme="minorHAnsi" w:eastAsiaTheme="minorHAnsi" w:hAnsiTheme="minorHAnsi" w:cstheme="minorBidi"/>
      <w:lang w:val="en-US" w:eastAsia="en-US"/>
    </w:rPr>
    <w:tblPr>
      <w:tblStyleRowBandSize w:val="1"/>
      <w:tblStyleColBandSize w:val="1"/>
      <w:tblBorders>
        <w:top w:val="single" w:sz="4" w:space="0" w:color="80B5C9"/>
        <w:left w:val="single" w:sz="4" w:space="0" w:color="80B5C9"/>
        <w:bottom w:val="single" w:sz="4" w:space="0" w:color="80B5C9"/>
        <w:right w:val="single" w:sz="4" w:space="0" w:color="80B5C9"/>
        <w:insideH w:val="single" w:sz="4" w:space="0" w:color="80B5C9"/>
        <w:insideV w:val="single" w:sz="4" w:space="0" w:color="80B5C9"/>
      </w:tblBorders>
    </w:tblPr>
    <w:tblStylePr w:type="firstRow">
      <w:rPr>
        <w:b/>
        <w:bCs/>
        <w:color w:val="FFFFFF"/>
      </w:rPr>
      <w:tblPr/>
      <w:tcPr>
        <w:tcBorders>
          <w:top w:val="single" w:sz="4" w:space="0" w:color="3E7C94"/>
          <w:left w:val="single" w:sz="4" w:space="0" w:color="3E7C94"/>
          <w:bottom w:val="single" w:sz="4" w:space="0" w:color="3E7C94"/>
          <w:right w:val="single" w:sz="4" w:space="0" w:color="3E7C94"/>
          <w:insideH w:val="nil"/>
          <w:insideV w:val="nil"/>
        </w:tcBorders>
        <w:shd w:val="clear" w:color="auto" w:fill="3E7C94"/>
      </w:tcPr>
    </w:tblStylePr>
    <w:tblStylePr w:type="lastRow">
      <w:rPr>
        <w:b/>
        <w:bCs/>
      </w:rPr>
      <w:tblPr/>
      <w:tcPr>
        <w:tcBorders>
          <w:top w:val="double" w:sz="4" w:space="0" w:color="3E7C94"/>
        </w:tcBorders>
      </w:tcPr>
    </w:tblStylePr>
    <w:tblStylePr w:type="firstCol">
      <w:rPr>
        <w:b/>
        <w:bCs/>
      </w:rPr>
    </w:tblStylePr>
    <w:tblStylePr w:type="lastCol">
      <w:rPr>
        <w:b/>
        <w:bCs/>
      </w:rPr>
    </w:tblStylePr>
    <w:tblStylePr w:type="band1Vert">
      <w:tblPr/>
      <w:tcPr>
        <w:shd w:val="clear" w:color="auto" w:fill="D4E6ED"/>
      </w:tcPr>
    </w:tblStylePr>
    <w:tblStylePr w:type="band1Horz">
      <w:tblPr/>
      <w:tcPr>
        <w:shd w:val="clear" w:color="auto" w:fill="D4E6ED"/>
      </w:tcPr>
    </w:tblStylePr>
  </w:style>
  <w:style w:type="table" w:customStyle="1" w:styleId="GridTable4-Accent11">
    <w:name w:val="Grid Table 4 - Accent 11"/>
    <w:basedOn w:val="Navadnatabela"/>
    <w:uiPriority w:val="49"/>
    <w:rsid w:val="003E3ED9"/>
    <w:rPr>
      <w:rFonts w:asciiTheme="minorHAnsi" w:eastAsiaTheme="minorHAnsi" w:hAnsiTheme="minorHAnsi" w:cstheme="minorBidi"/>
      <w:lang w:val="en-US" w:eastAsia="en-US"/>
    </w:rPr>
    <w:tblPr>
      <w:tblStyleRowBandSize w:val="1"/>
      <w:tblStyleColBandSize w:val="1"/>
      <w:tblBorders>
        <w:top w:val="single" w:sz="4" w:space="0" w:color="97C3D5"/>
        <w:left w:val="single" w:sz="4" w:space="0" w:color="97C3D5"/>
        <w:bottom w:val="single" w:sz="4" w:space="0" w:color="97C3D5"/>
        <w:right w:val="single" w:sz="4" w:space="0" w:color="97C3D5"/>
        <w:insideH w:val="single" w:sz="4" w:space="0" w:color="97C3D5"/>
        <w:insideV w:val="single" w:sz="4" w:space="0" w:color="97C3D5"/>
      </w:tblBorders>
    </w:tblPr>
    <w:tblStylePr w:type="firstRow">
      <w:rPr>
        <w:b/>
        <w:bCs/>
        <w:color w:val="FFFFFF"/>
      </w:rPr>
      <w:tblPr/>
      <w:tcPr>
        <w:tcBorders>
          <w:top w:val="single" w:sz="4" w:space="0" w:color="529DBA"/>
          <w:left w:val="single" w:sz="4" w:space="0" w:color="529DBA"/>
          <w:bottom w:val="single" w:sz="4" w:space="0" w:color="529DBA"/>
          <w:right w:val="single" w:sz="4" w:space="0" w:color="529DBA"/>
          <w:insideH w:val="nil"/>
          <w:insideV w:val="nil"/>
        </w:tcBorders>
        <w:shd w:val="clear" w:color="auto" w:fill="529DBA"/>
      </w:tcPr>
    </w:tblStylePr>
    <w:tblStylePr w:type="lastRow">
      <w:rPr>
        <w:b/>
        <w:bCs/>
      </w:rPr>
      <w:tblPr/>
      <w:tcPr>
        <w:tcBorders>
          <w:top w:val="double" w:sz="4" w:space="0" w:color="529DBA"/>
        </w:tcBorders>
      </w:tcPr>
    </w:tblStylePr>
    <w:tblStylePr w:type="firstCol">
      <w:rPr>
        <w:b/>
        <w:bCs/>
      </w:rPr>
    </w:tblStylePr>
    <w:tblStylePr w:type="lastCol">
      <w:rPr>
        <w:b/>
        <w:bCs/>
      </w:rPr>
    </w:tblStylePr>
    <w:tblStylePr w:type="band1Vert">
      <w:tblPr/>
      <w:tcPr>
        <w:shd w:val="clear" w:color="auto" w:fill="DCEBF1"/>
      </w:tcPr>
    </w:tblStylePr>
    <w:tblStylePr w:type="band1Horz">
      <w:tblPr/>
      <w:tcPr>
        <w:shd w:val="clear" w:color="auto" w:fill="DCEBF1"/>
      </w:tcPr>
    </w:tblStylePr>
  </w:style>
  <w:style w:type="table" w:customStyle="1" w:styleId="MediumShading1-Accent11">
    <w:name w:val="Medium Shading 1 - Accent 11"/>
    <w:basedOn w:val="Navadnatabela"/>
    <w:uiPriority w:val="63"/>
    <w:rsid w:val="003E3ED9"/>
    <w:rPr>
      <w:rFonts w:asciiTheme="minorHAnsi" w:hAnsiTheme="minorHAnsi" w:cstheme="minorBidi"/>
      <w:sz w:val="22"/>
      <w:szCs w:val="22"/>
      <w:lang w:val="en-US" w:eastAsia="en-US"/>
    </w:rPr>
    <w:tblPr>
      <w:tblStyleRowBandSize w:val="1"/>
      <w:tblStyleColBandSize w:val="1"/>
      <w:tblBorders>
        <w:top w:val="single" w:sz="8" w:space="0" w:color="7DB5CB"/>
        <w:left w:val="single" w:sz="8" w:space="0" w:color="7DB5CB"/>
        <w:bottom w:val="single" w:sz="8" w:space="0" w:color="7DB5CB"/>
        <w:right w:val="single" w:sz="8" w:space="0" w:color="7DB5CB"/>
        <w:insideH w:val="single" w:sz="8" w:space="0" w:color="7DB5CB"/>
      </w:tblBorders>
    </w:tblPr>
    <w:tblStylePr w:type="firstRow">
      <w:pPr>
        <w:spacing w:before="0" w:after="0" w:line="240" w:lineRule="auto"/>
      </w:pPr>
      <w:rPr>
        <w:b/>
        <w:bCs/>
        <w:color w:val="FFFFFF"/>
      </w:rPr>
      <w:tblPr/>
      <w:tcPr>
        <w:tcBorders>
          <w:top w:val="single" w:sz="8" w:space="0" w:color="7DB5CB"/>
          <w:left w:val="single" w:sz="8" w:space="0" w:color="7DB5CB"/>
          <w:bottom w:val="single" w:sz="8" w:space="0" w:color="7DB5CB"/>
          <w:right w:val="single" w:sz="8" w:space="0" w:color="7DB5CB"/>
          <w:insideH w:val="nil"/>
          <w:insideV w:val="nil"/>
        </w:tcBorders>
        <w:shd w:val="clear" w:color="auto" w:fill="529DBA"/>
      </w:tcPr>
    </w:tblStylePr>
    <w:tblStylePr w:type="lastRow">
      <w:pPr>
        <w:spacing w:before="0" w:after="0" w:line="240" w:lineRule="auto"/>
      </w:pPr>
      <w:rPr>
        <w:b/>
        <w:bCs/>
      </w:rPr>
      <w:tblPr/>
      <w:tcPr>
        <w:tcBorders>
          <w:top w:val="double" w:sz="6" w:space="0" w:color="7DB5CB"/>
          <w:left w:val="single" w:sz="8" w:space="0" w:color="7DB5CB"/>
          <w:bottom w:val="single" w:sz="8" w:space="0" w:color="7DB5CB"/>
          <w:right w:val="single" w:sz="8" w:space="0" w:color="7DB5CB"/>
          <w:insideH w:val="nil"/>
          <w:insideV w:val="nil"/>
        </w:tcBorders>
      </w:tcPr>
    </w:tblStylePr>
    <w:tblStylePr w:type="firstCol">
      <w:rPr>
        <w:b/>
        <w:bCs/>
      </w:rPr>
    </w:tblStylePr>
    <w:tblStylePr w:type="lastCol">
      <w:rPr>
        <w:b/>
        <w:bCs/>
      </w:rPr>
    </w:tblStylePr>
    <w:tblStylePr w:type="band1Vert">
      <w:tblPr/>
      <w:tcPr>
        <w:shd w:val="clear" w:color="auto" w:fill="D4E6EE"/>
      </w:tcPr>
    </w:tblStylePr>
    <w:tblStylePr w:type="band1Horz">
      <w:tblPr/>
      <w:tcPr>
        <w:tcBorders>
          <w:insideH w:val="nil"/>
          <w:insideV w:val="nil"/>
        </w:tcBorders>
        <w:shd w:val="clear" w:color="auto" w:fill="D4E6EE"/>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3E3ED9"/>
    <w:rPr>
      <w:rFonts w:asciiTheme="minorHAnsi" w:eastAsiaTheme="minorHAnsi" w:hAnsiTheme="minorHAnsi" w:cstheme="minorBid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Privzetapisavaodstavka"/>
    <w:rsid w:val="003E3ED9"/>
  </w:style>
  <w:style w:type="paragraph" w:customStyle="1" w:styleId="odstavek1">
    <w:name w:val="odstavek1"/>
    <w:basedOn w:val="Navaden"/>
    <w:rsid w:val="003E3ED9"/>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3E3ED9"/>
    <w:pPr>
      <w:spacing w:line="240" w:lineRule="auto"/>
      <w:ind w:left="425" w:hanging="425"/>
      <w:jc w:val="both"/>
    </w:pPr>
    <w:rPr>
      <w:rFonts w:cs="Arial"/>
      <w:sz w:val="22"/>
      <w:szCs w:val="22"/>
      <w:lang w:eastAsia="sl-SI"/>
    </w:rPr>
  </w:style>
  <w:style w:type="paragraph" w:customStyle="1" w:styleId="rkovnatokazaodstavkom1">
    <w:name w:val="rkovnatokazaodstavkom1"/>
    <w:basedOn w:val="Navaden"/>
    <w:rsid w:val="003E3ED9"/>
    <w:pPr>
      <w:spacing w:line="240" w:lineRule="auto"/>
      <w:ind w:left="425" w:hanging="425"/>
      <w:jc w:val="both"/>
    </w:pPr>
    <w:rPr>
      <w:rFonts w:cs="Arial"/>
      <w:sz w:val="22"/>
      <w:szCs w:val="22"/>
      <w:lang w:eastAsia="sl-SI"/>
    </w:rPr>
  </w:style>
  <w:style w:type="paragraph" w:customStyle="1" w:styleId="normal2">
    <w:name w:val="normal2"/>
    <w:basedOn w:val="Navaden"/>
    <w:rsid w:val="003E3ED9"/>
    <w:pPr>
      <w:spacing w:before="120" w:line="312" w:lineRule="atLeast"/>
      <w:jc w:val="both"/>
    </w:pPr>
    <w:rPr>
      <w:rFonts w:ascii="Times New Roman" w:hAnsi="Times New Roman"/>
      <w:sz w:val="24"/>
      <w:lang w:eastAsia="sl-SI"/>
    </w:rPr>
  </w:style>
  <w:style w:type="paragraph" w:customStyle="1" w:styleId="Poglavje">
    <w:name w:val="Poglavje"/>
    <w:basedOn w:val="Navaden"/>
    <w:qFormat/>
    <w:rsid w:val="003E3ED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3E3ED9"/>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3E3ED9"/>
    <w:rPr>
      <w:rFonts w:ascii="Arial" w:hAnsi="Arial" w:cs="Arial"/>
      <w:sz w:val="22"/>
      <w:szCs w:val="22"/>
    </w:rPr>
  </w:style>
  <w:style w:type="character" w:customStyle="1" w:styleId="OddelekZnak1">
    <w:name w:val="Oddelek Znak1"/>
    <w:link w:val="Oddelek"/>
    <w:rsid w:val="003E3ED9"/>
    <w:rPr>
      <w:rFonts w:ascii="Arial" w:hAnsi="Arial"/>
      <w:b/>
      <w:sz w:val="22"/>
      <w:szCs w:val="22"/>
    </w:rPr>
  </w:style>
  <w:style w:type="paragraph" w:customStyle="1" w:styleId="Odstavekseznama1">
    <w:name w:val="Odstavek seznama1"/>
    <w:basedOn w:val="Navaden"/>
    <w:qFormat/>
    <w:rsid w:val="003E3ED9"/>
    <w:pPr>
      <w:spacing w:line="240" w:lineRule="auto"/>
      <w:ind w:left="720"/>
      <w:contextualSpacing/>
    </w:pPr>
    <w:rPr>
      <w:rFonts w:ascii="Times New Roman" w:hAnsi="Times New Roman"/>
      <w:sz w:val="24"/>
      <w:lang w:eastAsia="sl-SI"/>
    </w:rPr>
  </w:style>
  <w:style w:type="paragraph" w:customStyle="1" w:styleId="alineazaodstavkom">
    <w:name w:val="alineazaodstavkom"/>
    <w:basedOn w:val="Navaden"/>
    <w:rsid w:val="003E3ED9"/>
    <w:pPr>
      <w:spacing w:before="100" w:beforeAutospacing="1" w:after="100" w:afterAutospacing="1" w:line="240" w:lineRule="auto"/>
    </w:pPr>
    <w:rPr>
      <w:rFonts w:ascii="Times New Roman" w:hAnsi="Times New Roman"/>
      <w:sz w:val="24"/>
      <w:lang w:eastAsia="sl-SI"/>
    </w:rPr>
  </w:style>
  <w:style w:type="character" w:customStyle="1" w:styleId="HTMLpisalnistroj1">
    <w:name w:val="HTML pisalni stroj1"/>
    <w:basedOn w:val="Privzetapisavaodstavka"/>
    <w:uiPriority w:val="99"/>
    <w:semiHidden/>
    <w:unhideWhenUsed/>
    <w:rsid w:val="003E3ED9"/>
    <w:rPr>
      <w:rFonts w:ascii="Courier New" w:eastAsia="Calibri" w:hAnsi="Courier New" w:cs="Courier New" w:hint="default"/>
      <w:sz w:val="20"/>
      <w:szCs w:val="20"/>
    </w:rPr>
  </w:style>
  <w:style w:type="paragraph" w:customStyle="1" w:styleId="doc-ti2">
    <w:name w:val="doc-ti2"/>
    <w:basedOn w:val="Navaden"/>
    <w:rsid w:val="003E3ED9"/>
    <w:pPr>
      <w:spacing w:before="240" w:after="120" w:line="312" w:lineRule="atLeast"/>
      <w:jc w:val="center"/>
    </w:pPr>
    <w:rPr>
      <w:rFonts w:ascii="Times New Roman" w:hAnsi="Times New Roman"/>
      <w:b/>
      <w:bCs/>
      <w:sz w:val="24"/>
      <w:lang w:eastAsia="sl-SI"/>
    </w:rPr>
  </w:style>
  <w:style w:type="paragraph" w:customStyle="1" w:styleId="CM1">
    <w:name w:val="CM1"/>
    <w:basedOn w:val="Default"/>
    <w:next w:val="Default"/>
    <w:uiPriority w:val="99"/>
    <w:rsid w:val="003E3ED9"/>
    <w:rPr>
      <w:rFonts w:ascii="EUAlbertina" w:hAnsi="EUAlbertina" w:cs="Times New Roman"/>
      <w:color w:val="auto"/>
    </w:rPr>
  </w:style>
  <w:style w:type="paragraph" w:customStyle="1" w:styleId="CM3">
    <w:name w:val="CM3"/>
    <w:basedOn w:val="Default"/>
    <w:next w:val="Default"/>
    <w:uiPriority w:val="99"/>
    <w:rsid w:val="003E3ED9"/>
    <w:rPr>
      <w:rFonts w:ascii="EUAlbertina" w:hAnsi="EUAlbertina" w:cs="Times New Roman"/>
      <w:color w:val="auto"/>
    </w:rPr>
  </w:style>
  <w:style w:type="numbering" w:customStyle="1" w:styleId="Brezseznama2">
    <w:name w:val="Brez seznama2"/>
    <w:next w:val="Brezseznama"/>
    <w:uiPriority w:val="99"/>
    <w:semiHidden/>
    <w:unhideWhenUsed/>
    <w:rsid w:val="003E3ED9"/>
  </w:style>
  <w:style w:type="numbering" w:customStyle="1" w:styleId="Brezseznama111">
    <w:name w:val="Brez seznama111"/>
    <w:next w:val="Brezseznama"/>
    <w:uiPriority w:val="99"/>
    <w:semiHidden/>
    <w:unhideWhenUsed/>
    <w:rsid w:val="003E3ED9"/>
  </w:style>
  <w:style w:type="paragraph" w:customStyle="1" w:styleId="COVERPAGE">
    <w:name w:val="COVERPAGE"/>
    <w:basedOn w:val="Navaden"/>
    <w:rsid w:val="003E3ED9"/>
    <w:pPr>
      <w:suppressAutoHyphens/>
      <w:spacing w:line="288" w:lineRule="auto"/>
    </w:pPr>
    <w:rPr>
      <w:rFonts w:ascii="Liberation Sans" w:hAnsi="Liberation Sans" w:cs="CG Times"/>
      <w:kern w:val="1"/>
      <w:sz w:val="22"/>
      <w:szCs w:val="20"/>
      <w:lang w:eastAsia="zh-CN"/>
    </w:rPr>
  </w:style>
  <w:style w:type="table" w:styleId="Tabelasvetlamrea1poudarek1">
    <w:name w:val="Grid Table 1 Light Accent 1"/>
    <w:basedOn w:val="Navadnatabela"/>
    <w:uiPriority w:val="46"/>
    <w:rsid w:val="003E3ED9"/>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temnamrea5poudarek1">
    <w:name w:val="Grid Table 5 Dark Accent 1"/>
    <w:basedOn w:val="Navadnatabela"/>
    <w:uiPriority w:val="50"/>
    <w:rsid w:val="003E3ED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Oznaenseznam">
    <w:name w:val="List Bullet"/>
    <w:basedOn w:val="Navaden"/>
    <w:uiPriority w:val="99"/>
    <w:semiHidden/>
    <w:unhideWhenUsed/>
    <w:rsid w:val="003E3ED9"/>
    <w:pPr>
      <w:numPr>
        <w:numId w:val="3"/>
      </w:numPr>
      <w:spacing w:after="160" w:line="259" w:lineRule="auto"/>
      <w:contextualSpacing/>
    </w:pPr>
    <w:rPr>
      <w:rFonts w:asciiTheme="minorHAnsi" w:eastAsiaTheme="minorHAnsi" w:hAnsiTheme="minorHAnsi" w:cstheme="minorBidi"/>
      <w:sz w:val="22"/>
      <w:szCs w:val="22"/>
    </w:rPr>
  </w:style>
  <w:style w:type="paragraph" w:styleId="Oznaenseznam2">
    <w:name w:val="List Bullet 2"/>
    <w:basedOn w:val="Navaden"/>
    <w:uiPriority w:val="99"/>
    <w:semiHidden/>
    <w:unhideWhenUsed/>
    <w:rsid w:val="003E3ED9"/>
    <w:pPr>
      <w:tabs>
        <w:tab w:val="num" w:pos="0"/>
      </w:tabs>
      <w:spacing w:after="160" w:line="259" w:lineRule="auto"/>
      <w:contextualSpacing/>
    </w:pPr>
    <w:rPr>
      <w:rFonts w:asciiTheme="minorHAnsi" w:eastAsiaTheme="minorHAnsi" w:hAnsiTheme="minorHAnsi" w:cstheme="minorBidi"/>
      <w:sz w:val="22"/>
      <w:szCs w:val="22"/>
    </w:rPr>
  </w:style>
  <w:style w:type="paragraph" w:styleId="Oznaenseznam3">
    <w:name w:val="List Bullet 3"/>
    <w:basedOn w:val="Navaden"/>
    <w:uiPriority w:val="99"/>
    <w:semiHidden/>
    <w:unhideWhenUsed/>
    <w:rsid w:val="003E3ED9"/>
    <w:pPr>
      <w:numPr>
        <w:numId w:val="5"/>
      </w:numPr>
      <w:spacing w:after="160" w:line="259" w:lineRule="auto"/>
      <w:contextualSpacing/>
    </w:pPr>
    <w:rPr>
      <w:rFonts w:asciiTheme="minorHAnsi" w:eastAsiaTheme="minorHAnsi" w:hAnsiTheme="minorHAnsi" w:cstheme="minorBidi"/>
      <w:sz w:val="22"/>
      <w:szCs w:val="22"/>
    </w:rPr>
  </w:style>
  <w:style w:type="paragraph" w:styleId="Oznaenseznam4">
    <w:name w:val="List Bullet 4"/>
    <w:basedOn w:val="Navaden"/>
    <w:uiPriority w:val="99"/>
    <w:semiHidden/>
    <w:unhideWhenUsed/>
    <w:rsid w:val="003E3ED9"/>
    <w:pPr>
      <w:tabs>
        <w:tab w:val="num" w:pos="720"/>
      </w:tabs>
      <w:spacing w:after="160" w:line="259" w:lineRule="auto"/>
      <w:ind w:left="720" w:hanging="720"/>
      <w:contextualSpacing/>
    </w:pPr>
    <w:rPr>
      <w:rFonts w:asciiTheme="minorHAnsi" w:eastAsiaTheme="minorHAnsi" w:hAnsiTheme="minorHAnsi" w:cstheme="minorBidi"/>
      <w:sz w:val="22"/>
      <w:szCs w:val="22"/>
    </w:rPr>
  </w:style>
  <w:style w:type="paragraph" w:styleId="Oznaenseznam5">
    <w:name w:val="List Bullet 5"/>
    <w:basedOn w:val="Navaden"/>
    <w:uiPriority w:val="99"/>
    <w:semiHidden/>
    <w:unhideWhenUsed/>
    <w:rsid w:val="003E3ED9"/>
    <w:pPr>
      <w:numPr>
        <w:numId w:val="7"/>
      </w:numPr>
      <w:spacing w:after="160" w:line="259" w:lineRule="auto"/>
      <w:contextualSpacing/>
    </w:pPr>
    <w:rPr>
      <w:rFonts w:asciiTheme="minorHAnsi" w:eastAsiaTheme="minorHAnsi" w:hAnsiTheme="minorHAnsi" w:cstheme="minorBidi"/>
      <w:sz w:val="22"/>
      <w:szCs w:val="22"/>
    </w:rPr>
  </w:style>
  <w:style w:type="paragraph" w:styleId="Napis">
    <w:name w:val="caption"/>
    <w:basedOn w:val="Navaden"/>
    <w:next w:val="Navaden"/>
    <w:link w:val="NapisZnak"/>
    <w:uiPriority w:val="35"/>
    <w:semiHidden/>
    <w:unhideWhenUsed/>
    <w:qFormat/>
    <w:rsid w:val="003E3ED9"/>
    <w:pPr>
      <w:spacing w:after="200" w:line="240" w:lineRule="auto"/>
    </w:pPr>
    <w:rPr>
      <w:rFonts w:eastAsia="Calibri"/>
      <w:i/>
      <w:iCs/>
      <w:color w:val="000000"/>
      <w:sz w:val="18"/>
      <w:szCs w:val="18"/>
    </w:rPr>
  </w:style>
  <w:style w:type="paragraph" w:styleId="Blokbesedila">
    <w:name w:val="Block Text"/>
    <w:basedOn w:val="Navaden"/>
    <w:uiPriority w:val="99"/>
    <w:semiHidden/>
    <w:unhideWhenUsed/>
    <w:rsid w:val="003E3ED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rFonts w:asciiTheme="minorHAnsi" w:eastAsiaTheme="minorEastAsia" w:hAnsiTheme="minorHAnsi" w:cstheme="minorBidi"/>
      <w:i/>
      <w:iCs/>
      <w:color w:val="4F81BD" w:themeColor="accent1"/>
      <w:sz w:val="22"/>
      <w:szCs w:val="22"/>
    </w:rPr>
  </w:style>
  <w:style w:type="paragraph" w:styleId="Datum">
    <w:name w:val="Date"/>
    <w:basedOn w:val="Navaden"/>
    <w:next w:val="Navaden"/>
    <w:link w:val="DatumZnak"/>
    <w:uiPriority w:val="99"/>
    <w:unhideWhenUsed/>
    <w:rsid w:val="003E3ED9"/>
    <w:pPr>
      <w:spacing w:after="160" w:line="259" w:lineRule="auto"/>
    </w:pPr>
    <w:rPr>
      <w:rFonts w:ascii="Calibri" w:eastAsia="Calibri" w:hAnsi="Calibri"/>
      <w:sz w:val="28"/>
      <w:szCs w:val="20"/>
    </w:rPr>
  </w:style>
  <w:style w:type="character" w:customStyle="1" w:styleId="DatumZnak1">
    <w:name w:val="Datum Znak1"/>
    <w:basedOn w:val="Privzetapisavaodstavka"/>
    <w:uiPriority w:val="99"/>
    <w:rsid w:val="003E3ED9"/>
    <w:rPr>
      <w:rFonts w:ascii="Arial" w:hAnsi="Arial"/>
      <w:szCs w:val="24"/>
      <w:lang w:eastAsia="en-US"/>
    </w:rPr>
  </w:style>
  <w:style w:type="character" w:styleId="SledenaHiperpovezava">
    <w:name w:val="FollowedHyperlink"/>
    <w:basedOn w:val="Privzetapisavaodstavka"/>
    <w:uiPriority w:val="99"/>
    <w:semiHidden/>
    <w:unhideWhenUsed/>
    <w:rsid w:val="003E3ED9"/>
    <w:rPr>
      <w:color w:val="800080" w:themeColor="followedHyperlink"/>
      <w:u w:val="single"/>
    </w:rPr>
  </w:style>
  <w:style w:type="character" w:styleId="HTML-kratica">
    <w:name w:val="HTML Acronym"/>
    <w:basedOn w:val="Privzetapisavaodstavka"/>
    <w:uiPriority w:val="99"/>
    <w:semiHidden/>
    <w:unhideWhenUsed/>
    <w:rsid w:val="003E3ED9"/>
  </w:style>
  <w:style w:type="paragraph" w:styleId="Stvarnokazalo1">
    <w:name w:val="index 1"/>
    <w:basedOn w:val="Navaden"/>
    <w:next w:val="Navaden"/>
    <w:autoRedefine/>
    <w:uiPriority w:val="99"/>
    <w:semiHidden/>
    <w:unhideWhenUsed/>
    <w:rsid w:val="003E3ED9"/>
    <w:pPr>
      <w:spacing w:line="240" w:lineRule="auto"/>
      <w:ind w:left="220" w:hanging="220"/>
    </w:pPr>
    <w:rPr>
      <w:rFonts w:asciiTheme="minorHAnsi" w:eastAsiaTheme="minorHAnsi" w:hAnsiTheme="minorHAnsi" w:cstheme="minorBidi"/>
      <w:sz w:val="22"/>
      <w:szCs w:val="22"/>
    </w:rPr>
  </w:style>
  <w:style w:type="character" w:styleId="Intenzivenpoudarek">
    <w:name w:val="Intense Emphasis"/>
    <w:basedOn w:val="Privzetapisavaodstavka"/>
    <w:uiPriority w:val="21"/>
    <w:qFormat/>
    <w:rsid w:val="003E3ED9"/>
    <w:rPr>
      <w:i/>
      <w:iCs/>
      <w:color w:val="4F81BD" w:themeColor="accent1"/>
    </w:rPr>
  </w:style>
  <w:style w:type="character" w:styleId="Intenzivensklic">
    <w:name w:val="Intense Reference"/>
    <w:basedOn w:val="Privzetapisavaodstavka"/>
    <w:uiPriority w:val="32"/>
    <w:qFormat/>
    <w:rsid w:val="003E3ED9"/>
    <w:rPr>
      <w:b/>
      <w:bCs/>
      <w:smallCaps/>
      <w:color w:val="4F81BD" w:themeColor="accent1"/>
      <w:spacing w:val="5"/>
    </w:rPr>
  </w:style>
  <w:style w:type="paragraph" w:styleId="Intenzivencitat">
    <w:name w:val="Intense Quote"/>
    <w:basedOn w:val="Navaden"/>
    <w:next w:val="Navaden"/>
    <w:link w:val="IntenzivencitatZnak"/>
    <w:uiPriority w:val="30"/>
    <w:qFormat/>
    <w:rsid w:val="003E3ED9"/>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b/>
      <w:i/>
      <w:iCs/>
      <w:color w:val="529DBA"/>
      <w:szCs w:val="20"/>
    </w:rPr>
  </w:style>
  <w:style w:type="character" w:customStyle="1" w:styleId="IntenzivencitatZnak1">
    <w:name w:val="Intenziven citat Znak1"/>
    <w:basedOn w:val="Privzetapisavaodstavka"/>
    <w:uiPriority w:val="30"/>
    <w:rsid w:val="003E3ED9"/>
    <w:rPr>
      <w:rFonts w:ascii="Arial" w:hAnsi="Arial"/>
      <w:i/>
      <w:iCs/>
      <w:color w:val="4F81BD" w:themeColor="accent1"/>
      <w:szCs w:val="24"/>
      <w:lang w:eastAsia="en-US"/>
    </w:rPr>
  </w:style>
  <w:style w:type="paragraph" w:styleId="Seznam">
    <w:name w:val="List"/>
    <w:basedOn w:val="Navaden"/>
    <w:uiPriority w:val="99"/>
    <w:semiHidden/>
    <w:unhideWhenUsed/>
    <w:rsid w:val="003E3ED9"/>
    <w:pPr>
      <w:spacing w:after="160" w:line="259" w:lineRule="auto"/>
      <w:ind w:left="283" w:hanging="283"/>
      <w:contextualSpacing/>
    </w:pPr>
    <w:rPr>
      <w:rFonts w:asciiTheme="minorHAnsi" w:eastAsiaTheme="minorHAnsi" w:hAnsiTheme="minorHAnsi" w:cstheme="minorBidi"/>
      <w:sz w:val="22"/>
      <w:szCs w:val="22"/>
    </w:rPr>
  </w:style>
  <w:style w:type="paragraph" w:styleId="Seznam2">
    <w:name w:val="List 2"/>
    <w:basedOn w:val="Navaden"/>
    <w:uiPriority w:val="99"/>
    <w:semiHidden/>
    <w:unhideWhenUsed/>
    <w:rsid w:val="003E3ED9"/>
    <w:pPr>
      <w:spacing w:after="160" w:line="259" w:lineRule="auto"/>
      <w:ind w:left="566" w:hanging="283"/>
      <w:contextualSpacing/>
    </w:pPr>
    <w:rPr>
      <w:rFonts w:asciiTheme="minorHAnsi" w:eastAsiaTheme="minorHAnsi" w:hAnsiTheme="minorHAnsi" w:cstheme="minorBidi"/>
      <w:sz w:val="22"/>
      <w:szCs w:val="22"/>
    </w:rPr>
  </w:style>
  <w:style w:type="paragraph" w:styleId="Seznam3">
    <w:name w:val="List 3"/>
    <w:basedOn w:val="Navaden"/>
    <w:uiPriority w:val="99"/>
    <w:semiHidden/>
    <w:unhideWhenUsed/>
    <w:rsid w:val="003E3ED9"/>
    <w:pPr>
      <w:spacing w:after="160" w:line="259" w:lineRule="auto"/>
      <w:ind w:left="849" w:hanging="283"/>
      <w:contextualSpacing/>
    </w:pPr>
    <w:rPr>
      <w:rFonts w:asciiTheme="minorHAnsi" w:eastAsiaTheme="minorHAnsi" w:hAnsiTheme="minorHAnsi" w:cstheme="minorBidi"/>
      <w:sz w:val="22"/>
      <w:szCs w:val="22"/>
    </w:rPr>
  </w:style>
  <w:style w:type="paragraph" w:styleId="Seznam4">
    <w:name w:val="List 4"/>
    <w:basedOn w:val="Navaden"/>
    <w:uiPriority w:val="99"/>
    <w:unhideWhenUsed/>
    <w:rsid w:val="003E3ED9"/>
    <w:pPr>
      <w:spacing w:after="160" w:line="259" w:lineRule="auto"/>
      <w:ind w:left="1132" w:hanging="283"/>
      <w:contextualSpacing/>
    </w:pPr>
    <w:rPr>
      <w:rFonts w:asciiTheme="minorHAnsi" w:eastAsiaTheme="minorHAnsi" w:hAnsiTheme="minorHAnsi" w:cstheme="minorBidi"/>
      <w:sz w:val="22"/>
      <w:szCs w:val="22"/>
    </w:rPr>
  </w:style>
  <w:style w:type="paragraph" w:styleId="Seznam5">
    <w:name w:val="List 5"/>
    <w:basedOn w:val="Navaden"/>
    <w:uiPriority w:val="99"/>
    <w:unhideWhenUsed/>
    <w:rsid w:val="003E3ED9"/>
    <w:pPr>
      <w:spacing w:after="160" w:line="259" w:lineRule="auto"/>
      <w:ind w:left="1415" w:hanging="283"/>
      <w:contextualSpacing/>
    </w:pPr>
    <w:rPr>
      <w:rFonts w:asciiTheme="minorHAnsi" w:eastAsiaTheme="minorHAnsi" w:hAnsiTheme="minorHAnsi" w:cstheme="minorBidi"/>
      <w:sz w:val="22"/>
      <w:szCs w:val="22"/>
    </w:rPr>
  </w:style>
  <w:style w:type="paragraph" w:styleId="Otevilenseznam">
    <w:name w:val="List Number"/>
    <w:basedOn w:val="Navaden"/>
    <w:uiPriority w:val="99"/>
    <w:unhideWhenUsed/>
    <w:rsid w:val="003E3ED9"/>
    <w:pPr>
      <w:spacing w:after="160" w:line="259" w:lineRule="auto"/>
      <w:ind w:left="1428" w:hanging="360"/>
      <w:contextualSpacing/>
    </w:pPr>
    <w:rPr>
      <w:rFonts w:asciiTheme="minorHAnsi" w:eastAsiaTheme="minorHAnsi" w:hAnsiTheme="minorHAnsi" w:cstheme="minorBidi"/>
      <w:sz w:val="22"/>
      <w:szCs w:val="22"/>
    </w:rPr>
  </w:style>
  <w:style w:type="paragraph" w:styleId="Otevilenseznam2">
    <w:name w:val="List Number 2"/>
    <w:basedOn w:val="Navaden"/>
    <w:uiPriority w:val="99"/>
    <w:semiHidden/>
    <w:unhideWhenUsed/>
    <w:rsid w:val="003E3ED9"/>
    <w:pPr>
      <w:spacing w:after="160" w:line="259" w:lineRule="auto"/>
      <w:ind w:left="1068" w:hanging="360"/>
      <w:contextualSpacing/>
    </w:pPr>
    <w:rPr>
      <w:rFonts w:asciiTheme="minorHAnsi" w:eastAsiaTheme="minorHAnsi" w:hAnsiTheme="minorHAnsi" w:cstheme="minorBidi"/>
      <w:sz w:val="22"/>
      <w:szCs w:val="22"/>
    </w:rPr>
  </w:style>
  <w:style w:type="paragraph" w:styleId="Otevilenseznam3">
    <w:name w:val="List Number 3"/>
    <w:basedOn w:val="Navaden"/>
    <w:uiPriority w:val="99"/>
    <w:semiHidden/>
    <w:unhideWhenUsed/>
    <w:rsid w:val="003E3ED9"/>
    <w:pPr>
      <w:tabs>
        <w:tab w:val="num" w:pos="346"/>
      </w:tabs>
      <w:spacing w:after="160" w:line="259" w:lineRule="auto"/>
      <w:ind w:left="346" w:hanging="346"/>
      <w:contextualSpacing/>
    </w:pPr>
    <w:rPr>
      <w:rFonts w:asciiTheme="minorHAnsi" w:eastAsiaTheme="minorHAnsi" w:hAnsiTheme="minorHAnsi" w:cstheme="minorBidi"/>
      <w:sz w:val="22"/>
      <w:szCs w:val="22"/>
    </w:rPr>
  </w:style>
  <w:style w:type="paragraph" w:styleId="Otevilenseznam4">
    <w:name w:val="List Number 4"/>
    <w:basedOn w:val="Navaden"/>
    <w:uiPriority w:val="99"/>
    <w:semiHidden/>
    <w:unhideWhenUsed/>
    <w:rsid w:val="003E3ED9"/>
    <w:pPr>
      <w:spacing w:after="160" w:line="259" w:lineRule="auto"/>
      <w:ind w:left="9464" w:hanging="533"/>
      <w:contextualSpacing/>
    </w:pPr>
    <w:rPr>
      <w:rFonts w:asciiTheme="minorHAnsi" w:eastAsiaTheme="minorHAnsi" w:hAnsiTheme="minorHAnsi" w:cstheme="minorBidi"/>
      <w:sz w:val="22"/>
      <w:szCs w:val="22"/>
    </w:rPr>
  </w:style>
  <w:style w:type="paragraph" w:styleId="Otevilenseznam5">
    <w:name w:val="List Number 5"/>
    <w:basedOn w:val="Navaden"/>
    <w:uiPriority w:val="99"/>
    <w:semiHidden/>
    <w:unhideWhenUsed/>
    <w:rsid w:val="003E3ED9"/>
    <w:pPr>
      <w:tabs>
        <w:tab w:val="num" w:pos="1080"/>
      </w:tabs>
      <w:spacing w:after="160" w:line="259" w:lineRule="auto"/>
      <w:ind w:left="1080" w:hanging="360"/>
      <w:contextualSpacing/>
    </w:pPr>
    <w:rPr>
      <w:rFonts w:asciiTheme="minorHAnsi" w:eastAsiaTheme="minorHAnsi" w:hAnsiTheme="minorHAnsi" w:cstheme="minorBidi"/>
      <w:sz w:val="22"/>
      <w:szCs w:val="22"/>
    </w:rPr>
  </w:style>
  <w:style w:type="paragraph" w:styleId="Seznam-nadaljevanje">
    <w:name w:val="List Continue"/>
    <w:basedOn w:val="Navaden"/>
    <w:uiPriority w:val="99"/>
    <w:semiHidden/>
    <w:unhideWhenUsed/>
    <w:rsid w:val="003E3ED9"/>
    <w:pPr>
      <w:spacing w:after="120" w:line="259" w:lineRule="auto"/>
      <w:ind w:left="283"/>
      <w:contextualSpacing/>
    </w:pPr>
    <w:rPr>
      <w:rFonts w:asciiTheme="minorHAnsi" w:eastAsiaTheme="minorHAnsi" w:hAnsiTheme="minorHAnsi" w:cstheme="minorBidi"/>
      <w:sz w:val="22"/>
      <w:szCs w:val="22"/>
    </w:rPr>
  </w:style>
  <w:style w:type="paragraph" w:styleId="Seznam-nadaljevanje2">
    <w:name w:val="List Continue 2"/>
    <w:basedOn w:val="Navaden"/>
    <w:uiPriority w:val="99"/>
    <w:semiHidden/>
    <w:unhideWhenUsed/>
    <w:rsid w:val="003E3ED9"/>
    <w:pPr>
      <w:spacing w:after="120" w:line="259" w:lineRule="auto"/>
      <w:ind w:left="566"/>
      <w:contextualSpacing/>
    </w:pPr>
    <w:rPr>
      <w:rFonts w:asciiTheme="minorHAnsi" w:eastAsiaTheme="minorHAnsi" w:hAnsiTheme="minorHAnsi" w:cstheme="minorBidi"/>
      <w:sz w:val="22"/>
      <w:szCs w:val="22"/>
    </w:rPr>
  </w:style>
  <w:style w:type="paragraph" w:styleId="Seznam-nadaljevanje3">
    <w:name w:val="List Continue 3"/>
    <w:basedOn w:val="Navaden"/>
    <w:uiPriority w:val="99"/>
    <w:semiHidden/>
    <w:unhideWhenUsed/>
    <w:rsid w:val="003E3ED9"/>
    <w:pPr>
      <w:spacing w:after="120" w:line="259" w:lineRule="auto"/>
      <w:ind w:left="849"/>
      <w:contextualSpacing/>
    </w:pPr>
    <w:rPr>
      <w:rFonts w:asciiTheme="minorHAnsi" w:eastAsiaTheme="minorHAnsi" w:hAnsiTheme="minorHAnsi" w:cstheme="minorBidi"/>
      <w:sz w:val="22"/>
      <w:szCs w:val="22"/>
    </w:rPr>
  </w:style>
  <w:style w:type="paragraph" w:styleId="Seznam-nadaljevanje4">
    <w:name w:val="List Continue 4"/>
    <w:basedOn w:val="Navaden"/>
    <w:uiPriority w:val="99"/>
    <w:semiHidden/>
    <w:unhideWhenUsed/>
    <w:rsid w:val="003E3ED9"/>
    <w:pPr>
      <w:spacing w:after="120" w:line="259" w:lineRule="auto"/>
      <w:ind w:left="1132"/>
      <w:contextualSpacing/>
    </w:pPr>
    <w:rPr>
      <w:rFonts w:asciiTheme="minorHAnsi" w:eastAsiaTheme="minorHAnsi" w:hAnsiTheme="minorHAnsi" w:cstheme="minorBidi"/>
      <w:sz w:val="22"/>
      <w:szCs w:val="22"/>
    </w:rPr>
  </w:style>
  <w:style w:type="paragraph" w:styleId="Seznam-nadaljevanje5">
    <w:name w:val="List Continue 5"/>
    <w:basedOn w:val="Navaden"/>
    <w:uiPriority w:val="99"/>
    <w:semiHidden/>
    <w:unhideWhenUsed/>
    <w:rsid w:val="003E3ED9"/>
    <w:pPr>
      <w:spacing w:after="120" w:line="259" w:lineRule="auto"/>
      <w:ind w:left="1415"/>
      <w:contextualSpacing/>
    </w:pPr>
    <w:rPr>
      <w:rFonts w:asciiTheme="minorHAnsi" w:eastAsiaTheme="minorHAnsi" w:hAnsiTheme="minorHAnsi" w:cstheme="minorBidi"/>
      <w:sz w:val="22"/>
      <w:szCs w:val="22"/>
    </w:rPr>
  </w:style>
  <w:style w:type="paragraph" w:styleId="Makrobesedilo">
    <w:name w:val="macro"/>
    <w:link w:val="MakrobesediloZnak1"/>
    <w:uiPriority w:val="99"/>
    <w:semiHidden/>
    <w:unhideWhenUsed/>
    <w:rsid w:val="003E3ED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lang w:eastAsia="en-US"/>
    </w:rPr>
  </w:style>
  <w:style w:type="character" w:customStyle="1" w:styleId="MakrobesediloZnak1">
    <w:name w:val="Makro besedilo Znak1"/>
    <w:basedOn w:val="Privzetapisavaodstavka"/>
    <w:link w:val="Makrobesedilo"/>
    <w:uiPriority w:val="99"/>
    <w:semiHidden/>
    <w:rsid w:val="003E3ED9"/>
    <w:rPr>
      <w:rFonts w:ascii="Consolas" w:eastAsiaTheme="minorHAnsi" w:hAnsi="Consolas" w:cstheme="minorBidi"/>
      <w:lang w:eastAsia="en-US"/>
    </w:rPr>
  </w:style>
  <w:style w:type="paragraph" w:styleId="Glavasporoila">
    <w:name w:val="Message Header"/>
    <w:basedOn w:val="Navaden"/>
    <w:link w:val="GlavasporoilaZnak1"/>
    <w:uiPriority w:val="99"/>
    <w:semiHidden/>
    <w:unhideWhenUsed/>
    <w:rsid w:val="003E3E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GlavasporoilaZnak1">
    <w:name w:val="Glava sporočila Znak1"/>
    <w:basedOn w:val="Privzetapisavaodstavka"/>
    <w:link w:val="Glavasporoila"/>
    <w:uiPriority w:val="99"/>
    <w:semiHidden/>
    <w:rsid w:val="003E3ED9"/>
    <w:rPr>
      <w:rFonts w:asciiTheme="majorHAnsi" w:eastAsiaTheme="majorEastAsia" w:hAnsiTheme="majorHAnsi" w:cstheme="majorBidi"/>
      <w:sz w:val="24"/>
      <w:szCs w:val="24"/>
      <w:shd w:val="pct20" w:color="auto" w:fill="auto"/>
      <w:lang w:eastAsia="en-US"/>
    </w:rPr>
  </w:style>
  <w:style w:type="paragraph" w:styleId="Citat">
    <w:name w:val="Quote"/>
    <w:basedOn w:val="Navaden"/>
    <w:next w:val="Navaden"/>
    <w:link w:val="CitatZnak"/>
    <w:uiPriority w:val="29"/>
    <w:qFormat/>
    <w:rsid w:val="003E3ED9"/>
    <w:pPr>
      <w:spacing w:before="200" w:after="160" w:line="259" w:lineRule="auto"/>
      <w:ind w:left="864" w:right="864"/>
      <w:jc w:val="center"/>
    </w:pPr>
    <w:rPr>
      <w:rFonts w:ascii="Calibri" w:eastAsia="Calibri" w:hAnsi="Calibri"/>
      <w:i/>
      <w:iCs/>
      <w:color w:val="404040"/>
      <w:szCs w:val="20"/>
    </w:rPr>
  </w:style>
  <w:style w:type="character" w:customStyle="1" w:styleId="CitatZnak1">
    <w:name w:val="Citat Znak1"/>
    <w:basedOn w:val="Privzetapisavaodstavka"/>
    <w:uiPriority w:val="29"/>
    <w:rsid w:val="003E3ED9"/>
    <w:rPr>
      <w:rFonts w:ascii="Arial" w:hAnsi="Arial"/>
      <w:i/>
      <w:iCs/>
      <w:color w:val="404040" w:themeColor="text1" w:themeTint="BF"/>
      <w:szCs w:val="24"/>
      <w:lang w:eastAsia="en-US"/>
    </w:rPr>
  </w:style>
  <w:style w:type="paragraph" w:styleId="Podnaslov">
    <w:name w:val="Subtitle"/>
    <w:basedOn w:val="Navaden"/>
    <w:next w:val="Navaden"/>
    <w:link w:val="PodnaslovZnak"/>
    <w:uiPriority w:val="11"/>
    <w:qFormat/>
    <w:rsid w:val="003E3ED9"/>
    <w:pPr>
      <w:numPr>
        <w:ilvl w:val="1"/>
      </w:numPr>
      <w:spacing w:after="160" w:line="259" w:lineRule="auto"/>
    </w:pPr>
    <w:rPr>
      <w:rFonts w:ascii="Cambria" w:hAnsi="Cambria"/>
      <w:spacing w:val="15"/>
      <w:sz w:val="64"/>
      <w:szCs w:val="20"/>
    </w:rPr>
  </w:style>
  <w:style w:type="character" w:customStyle="1" w:styleId="PodnaslovZnak1">
    <w:name w:val="Podnaslov Znak1"/>
    <w:basedOn w:val="Privzetapisavaodstavka"/>
    <w:uiPriority w:val="11"/>
    <w:rsid w:val="003E3ED9"/>
    <w:rPr>
      <w:rFonts w:asciiTheme="minorHAnsi" w:eastAsiaTheme="minorEastAsia" w:hAnsiTheme="minorHAnsi" w:cstheme="minorBidi"/>
      <w:color w:val="5A5A5A" w:themeColor="text1" w:themeTint="A5"/>
      <w:spacing w:val="15"/>
      <w:sz w:val="22"/>
      <w:szCs w:val="22"/>
      <w:lang w:eastAsia="en-US"/>
    </w:rPr>
  </w:style>
  <w:style w:type="character" w:styleId="Neenpoudarek">
    <w:name w:val="Subtle Emphasis"/>
    <w:basedOn w:val="Privzetapisavaodstavka"/>
    <w:uiPriority w:val="19"/>
    <w:qFormat/>
    <w:rsid w:val="003E3ED9"/>
    <w:rPr>
      <w:i/>
      <w:iCs/>
      <w:color w:val="404040" w:themeColor="text1" w:themeTint="BF"/>
    </w:rPr>
  </w:style>
  <w:style w:type="paragraph" w:styleId="Naslov">
    <w:name w:val="Title"/>
    <w:basedOn w:val="Navaden"/>
    <w:next w:val="Navaden"/>
    <w:link w:val="NaslovZnak"/>
    <w:uiPriority w:val="10"/>
    <w:qFormat/>
    <w:rsid w:val="003E3ED9"/>
    <w:pPr>
      <w:spacing w:line="240" w:lineRule="auto"/>
      <w:contextualSpacing/>
    </w:pPr>
    <w:rPr>
      <w:rFonts w:ascii="Cambria" w:hAnsi="Cambria"/>
      <w:b/>
      <w:i/>
      <w:spacing w:val="-10"/>
      <w:kern w:val="28"/>
      <w:sz w:val="64"/>
      <w:szCs w:val="56"/>
    </w:rPr>
  </w:style>
  <w:style w:type="character" w:customStyle="1" w:styleId="NaslovZnak1">
    <w:name w:val="Naslov Znak1"/>
    <w:basedOn w:val="Privzetapisavaodstavka"/>
    <w:uiPriority w:val="10"/>
    <w:rsid w:val="003E3ED9"/>
    <w:rPr>
      <w:rFonts w:asciiTheme="majorHAnsi" w:eastAsiaTheme="majorEastAsia" w:hAnsiTheme="majorHAnsi" w:cstheme="majorBidi"/>
      <w:spacing w:val="-10"/>
      <w:kern w:val="28"/>
      <w:sz w:val="56"/>
      <w:szCs w:val="56"/>
      <w:lang w:eastAsia="en-US"/>
    </w:rPr>
  </w:style>
  <w:style w:type="paragraph" w:styleId="Telobesedila-zamik">
    <w:name w:val="Body Text Indent"/>
    <w:basedOn w:val="Navaden"/>
    <w:link w:val="Telobesedila-zamikZnak1"/>
    <w:uiPriority w:val="99"/>
    <w:semiHidden/>
    <w:unhideWhenUsed/>
    <w:rsid w:val="003E3ED9"/>
    <w:pPr>
      <w:spacing w:after="120" w:line="259" w:lineRule="auto"/>
      <w:ind w:left="283"/>
    </w:pPr>
    <w:rPr>
      <w:rFonts w:asciiTheme="minorHAnsi" w:eastAsiaTheme="minorHAnsi" w:hAnsiTheme="minorHAnsi" w:cstheme="minorBidi"/>
      <w:sz w:val="22"/>
      <w:szCs w:val="22"/>
    </w:rPr>
  </w:style>
  <w:style w:type="character" w:customStyle="1" w:styleId="Telobesedila-zamikZnak1">
    <w:name w:val="Telo besedila - zamik Znak1"/>
    <w:basedOn w:val="Privzetapisavaodstavka"/>
    <w:link w:val="Telobesedila-zamik"/>
    <w:uiPriority w:val="99"/>
    <w:semiHidden/>
    <w:rsid w:val="003E3ED9"/>
    <w:rPr>
      <w:rFonts w:asciiTheme="minorHAnsi" w:eastAsiaTheme="minorHAnsi" w:hAnsiTheme="minorHAnsi" w:cstheme="minorBidi"/>
      <w:sz w:val="22"/>
      <w:szCs w:val="22"/>
      <w:lang w:eastAsia="en-US"/>
    </w:rPr>
  </w:style>
  <w:style w:type="paragraph" w:styleId="Brezrazmikov">
    <w:name w:val="No Spacing"/>
    <w:uiPriority w:val="1"/>
    <w:qFormat/>
    <w:rsid w:val="003E3ED9"/>
    <w:rPr>
      <w:rFonts w:asciiTheme="minorHAnsi" w:eastAsiaTheme="minorHAnsi" w:hAnsiTheme="minorHAnsi" w:cstheme="minorBidi"/>
      <w:sz w:val="22"/>
      <w:szCs w:val="22"/>
      <w:lang w:eastAsia="en-US"/>
    </w:rPr>
  </w:style>
  <w:style w:type="character" w:styleId="Neensklic">
    <w:name w:val="Subtle Reference"/>
    <w:basedOn w:val="Privzetapisavaodstavka"/>
    <w:uiPriority w:val="31"/>
    <w:qFormat/>
    <w:rsid w:val="003E3ED9"/>
    <w:rPr>
      <w:smallCaps/>
      <w:color w:val="5A5A5A" w:themeColor="text1" w:themeTint="A5"/>
    </w:rPr>
  </w:style>
  <w:style w:type="table" w:styleId="Srednjamrea3poudarek1">
    <w:name w:val="Medium Grid 3 Accent 1"/>
    <w:basedOn w:val="Navadnatabela"/>
    <w:uiPriority w:val="69"/>
    <w:semiHidden/>
    <w:unhideWhenUsed/>
    <w:rsid w:val="003E3ED9"/>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Konnaopomba-besedilo">
    <w:name w:val="endnote text"/>
    <w:basedOn w:val="Navaden"/>
    <w:link w:val="Konnaopomba-besediloZnak1"/>
    <w:uiPriority w:val="99"/>
    <w:semiHidden/>
    <w:unhideWhenUsed/>
    <w:rsid w:val="003E3ED9"/>
    <w:pPr>
      <w:spacing w:line="240" w:lineRule="auto"/>
    </w:pPr>
    <w:rPr>
      <w:rFonts w:asciiTheme="minorHAnsi" w:eastAsiaTheme="minorHAnsi" w:hAnsiTheme="minorHAnsi" w:cstheme="minorBidi"/>
      <w:szCs w:val="20"/>
    </w:rPr>
  </w:style>
  <w:style w:type="character" w:customStyle="1" w:styleId="Konnaopomba-besediloZnak1">
    <w:name w:val="Končna opomba - besedilo Znak1"/>
    <w:basedOn w:val="Privzetapisavaodstavka"/>
    <w:link w:val="Konnaopomba-besedilo"/>
    <w:uiPriority w:val="99"/>
    <w:semiHidden/>
    <w:rsid w:val="003E3ED9"/>
    <w:rPr>
      <w:rFonts w:asciiTheme="minorHAnsi" w:eastAsiaTheme="minorHAnsi" w:hAnsiTheme="minorHAnsi" w:cstheme="minorBidi"/>
      <w:lang w:eastAsia="en-US"/>
    </w:rPr>
  </w:style>
  <w:style w:type="table" w:styleId="Srednjesenenje2poudarek1">
    <w:name w:val="Medium Shading 2 Accent 1"/>
    <w:basedOn w:val="Navadnatabela"/>
    <w:uiPriority w:val="64"/>
    <w:semiHidden/>
    <w:unhideWhenUsed/>
    <w:rsid w:val="003E3ED9"/>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Uvodnipozdrav">
    <w:name w:val="Salutation"/>
    <w:basedOn w:val="Navaden"/>
    <w:next w:val="Navaden"/>
    <w:link w:val="UvodnipozdravZnak"/>
    <w:uiPriority w:val="99"/>
    <w:unhideWhenUsed/>
    <w:rsid w:val="003E3ED9"/>
    <w:pPr>
      <w:spacing w:after="160" w:line="259" w:lineRule="auto"/>
    </w:pPr>
    <w:rPr>
      <w:rFonts w:ascii="Calibri" w:eastAsia="Calibri" w:hAnsi="Calibri"/>
      <w:szCs w:val="20"/>
    </w:rPr>
  </w:style>
  <w:style w:type="character" w:customStyle="1" w:styleId="UvodnipozdravZnak1">
    <w:name w:val="Uvodni pozdrav Znak1"/>
    <w:basedOn w:val="Privzetapisavaodstavka"/>
    <w:uiPriority w:val="99"/>
    <w:rsid w:val="003E3ED9"/>
    <w:rPr>
      <w:rFonts w:ascii="Arial" w:hAnsi="Arial"/>
      <w:szCs w:val="24"/>
      <w:lang w:eastAsia="en-US"/>
    </w:rPr>
  </w:style>
  <w:style w:type="paragraph" w:styleId="Podpis">
    <w:name w:val="Signature"/>
    <w:basedOn w:val="Navaden"/>
    <w:link w:val="PodpisZnak1"/>
    <w:uiPriority w:val="99"/>
    <w:semiHidden/>
    <w:unhideWhenUsed/>
    <w:rsid w:val="003E3ED9"/>
    <w:pPr>
      <w:spacing w:line="240" w:lineRule="auto"/>
      <w:ind w:left="4252"/>
    </w:pPr>
    <w:rPr>
      <w:rFonts w:asciiTheme="minorHAnsi" w:eastAsiaTheme="minorHAnsi" w:hAnsiTheme="minorHAnsi" w:cstheme="minorBidi"/>
      <w:sz w:val="22"/>
      <w:szCs w:val="22"/>
    </w:rPr>
  </w:style>
  <w:style w:type="character" w:customStyle="1" w:styleId="PodpisZnak1">
    <w:name w:val="Podpis Znak1"/>
    <w:basedOn w:val="Privzetapisavaodstavka"/>
    <w:link w:val="Podpis"/>
    <w:uiPriority w:val="99"/>
    <w:semiHidden/>
    <w:rsid w:val="003E3ED9"/>
    <w:rPr>
      <w:rFonts w:asciiTheme="minorHAnsi" w:eastAsiaTheme="minorHAnsi" w:hAnsiTheme="minorHAnsi" w:cstheme="minorBidi"/>
      <w:sz w:val="22"/>
      <w:szCs w:val="22"/>
      <w:lang w:eastAsia="en-US"/>
    </w:rPr>
  </w:style>
  <w:style w:type="paragraph" w:styleId="Opomba-naslov">
    <w:name w:val="Note Heading"/>
    <w:basedOn w:val="Navaden"/>
    <w:next w:val="Navaden"/>
    <w:link w:val="Opomba-naslovZnak"/>
    <w:uiPriority w:val="99"/>
    <w:semiHidden/>
    <w:unhideWhenUsed/>
    <w:rsid w:val="003E3ED9"/>
    <w:pPr>
      <w:spacing w:line="240" w:lineRule="auto"/>
    </w:pPr>
    <w:rPr>
      <w:rFonts w:ascii="Calibri" w:eastAsia="Calibri" w:hAnsi="Calibri"/>
      <w:sz w:val="16"/>
      <w:szCs w:val="20"/>
    </w:rPr>
  </w:style>
  <w:style w:type="character" w:customStyle="1" w:styleId="Opomba-naslovZnak1">
    <w:name w:val="Opomba - naslov Znak1"/>
    <w:basedOn w:val="Privzetapisavaodstavka"/>
    <w:uiPriority w:val="99"/>
    <w:semiHidden/>
    <w:rsid w:val="003E3ED9"/>
    <w:rPr>
      <w:rFonts w:ascii="Arial" w:hAnsi="Arial"/>
      <w:szCs w:val="24"/>
      <w:lang w:eastAsia="en-US"/>
    </w:rPr>
  </w:style>
  <w:style w:type="table" w:styleId="Srednjesenenje1poudarek1">
    <w:name w:val="Medium Shading 1 Accent 1"/>
    <w:basedOn w:val="Navadnatabela"/>
    <w:uiPriority w:val="63"/>
    <w:semiHidden/>
    <w:unhideWhenUsed/>
    <w:rsid w:val="003E3ED9"/>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lobesedila2">
    <w:name w:val="Body Text 2"/>
    <w:basedOn w:val="Navaden"/>
    <w:link w:val="Telobesedila2Znak1"/>
    <w:uiPriority w:val="99"/>
    <w:semiHidden/>
    <w:unhideWhenUsed/>
    <w:rsid w:val="003E3ED9"/>
    <w:pPr>
      <w:spacing w:after="120" w:line="480" w:lineRule="auto"/>
    </w:pPr>
    <w:rPr>
      <w:rFonts w:asciiTheme="minorHAnsi" w:eastAsiaTheme="minorHAnsi" w:hAnsiTheme="minorHAnsi" w:cstheme="minorBidi"/>
      <w:sz w:val="22"/>
      <w:szCs w:val="22"/>
    </w:rPr>
  </w:style>
  <w:style w:type="character" w:customStyle="1" w:styleId="Telobesedila2Znak1">
    <w:name w:val="Telo besedila 2 Znak1"/>
    <w:basedOn w:val="Privzetapisavaodstavka"/>
    <w:link w:val="Telobesedila2"/>
    <w:uiPriority w:val="99"/>
    <w:semiHidden/>
    <w:rsid w:val="003E3ED9"/>
    <w:rPr>
      <w:rFonts w:asciiTheme="minorHAnsi" w:eastAsiaTheme="minorHAnsi" w:hAnsiTheme="minorHAnsi" w:cstheme="minorBidi"/>
      <w:sz w:val="22"/>
      <w:szCs w:val="22"/>
      <w:lang w:eastAsia="en-US"/>
    </w:rPr>
  </w:style>
  <w:style w:type="character" w:styleId="HTMLpisalnistroj">
    <w:name w:val="HTML Typewriter"/>
    <w:basedOn w:val="Privzetapisavaodstavka"/>
    <w:uiPriority w:val="99"/>
    <w:semiHidden/>
    <w:unhideWhenUsed/>
    <w:rsid w:val="003E3ED9"/>
    <w:rPr>
      <w:rFonts w:ascii="Consolas" w:hAnsi="Consolas"/>
      <w:sz w:val="20"/>
      <w:szCs w:val="20"/>
    </w:rPr>
  </w:style>
  <w:style w:type="paragraph" w:styleId="Kazalovsebine4">
    <w:name w:val="toc 4"/>
    <w:basedOn w:val="Navaden"/>
    <w:next w:val="Navaden"/>
    <w:autoRedefine/>
    <w:uiPriority w:val="39"/>
    <w:unhideWhenUsed/>
    <w:rsid w:val="003E3ED9"/>
    <w:pPr>
      <w:spacing w:after="100" w:line="259" w:lineRule="auto"/>
      <w:ind w:left="660"/>
    </w:pPr>
    <w:rPr>
      <w:rFonts w:asciiTheme="minorHAnsi" w:eastAsiaTheme="minorEastAsia" w:hAnsiTheme="minorHAnsi" w:cstheme="minorBidi"/>
      <w:sz w:val="22"/>
      <w:szCs w:val="22"/>
      <w:lang w:eastAsia="sl-SI"/>
    </w:rPr>
  </w:style>
  <w:style w:type="paragraph" w:styleId="Kazalovsebine5">
    <w:name w:val="toc 5"/>
    <w:basedOn w:val="Navaden"/>
    <w:next w:val="Navaden"/>
    <w:autoRedefine/>
    <w:uiPriority w:val="39"/>
    <w:unhideWhenUsed/>
    <w:rsid w:val="003E3ED9"/>
    <w:pPr>
      <w:spacing w:after="100" w:line="259" w:lineRule="auto"/>
      <w:ind w:left="880"/>
    </w:pPr>
    <w:rPr>
      <w:rFonts w:asciiTheme="minorHAnsi" w:eastAsiaTheme="minorEastAsia" w:hAnsiTheme="minorHAnsi" w:cstheme="minorBidi"/>
      <w:sz w:val="22"/>
      <w:szCs w:val="22"/>
      <w:lang w:eastAsia="sl-SI"/>
    </w:rPr>
  </w:style>
  <w:style w:type="paragraph" w:styleId="Kazalovsebine6">
    <w:name w:val="toc 6"/>
    <w:basedOn w:val="Navaden"/>
    <w:next w:val="Navaden"/>
    <w:autoRedefine/>
    <w:uiPriority w:val="39"/>
    <w:unhideWhenUsed/>
    <w:rsid w:val="003E3ED9"/>
    <w:pPr>
      <w:spacing w:after="100" w:line="259" w:lineRule="auto"/>
      <w:ind w:left="1100"/>
    </w:pPr>
    <w:rPr>
      <w:rFonts w:asciiTheme="minorHAnsi" w:eastAsiaTheme="minorEastAsia" w:hAnsiTheme="minorHAnsi" w:cstheme="minorBidi"/>
      <w:sz w:val="22"/>
      <w:szCs w:val="22"/>
      <w:lang w:eastAsia="sl-SI"/>
    </w:rPr>
  </w:style>
  <w:style w:type="paragraph" w:styleId="Kazalovsebine7">
    <w:name w:val="toc 7"/>
    <w:basedOn w:val="Navaden"/>
    <w:next w:val="Navaden"/>
    <w:autoRedefine/>
    <w:uiPriority w:val="39"/>
    <w:unhideWhenUsed/>
    <w:rsid w:val="003E3ED9"/>
    <w:pPr>
      <w:spacing w:after="100" w:line="259" w:lineRule="auto"/>
      <w:ind w:left="1320"/>
    </w:pPr>
    <w:rPr>
      <w:rFonts w:asciiTheme="minorHAnsi" w:eastAsiaTheme="minorEastAsia" w:hAnsiTheme="minorHAnsi" w:cstheme="minorBidi"/>
      <w:sz w:val="22"/>
      <w:szCs w:val="22"/>
      <w:lang w:eastAsia="sl-SI"/>
    </w:rPr>
  </w:style>
  <w:style w:type="paragraph" w:styleId="Kazalovsebine8">
    <w:name w:val="toc 8"/>
    <w:basedOn w:val="Navaden"/>
    <w:next w:val="Navaden"/>
    <w:autoRedefine/>
    <w:uiPriority w:val="39"/>
    <w:unhideWhenUsed/>
    <w:rsid w:val="003E3ED9"/>
    <w:pPr>
      <w:spacing w:after="100" w:line="259" w:lineRule="auto"/>
      <w:ind w:left="1540"/>
    </w:pPr>
    <w:rPr>
      <w:rFonts w:asciiTheme="minorHAnsi" w:eastAsiaTheme="minorEastAsia" w:hAnsiTheme="minorHAnsi" w:cstheme="minorBidi"/>
      <w:sz w:val="22"/>
      <w:szCs w:val="22"/>
      <w:lang w:eastAsia="sl-SI"/>
    </w:rPr>
  </w:style>
  <w:style w:type="paragraph" w:styleId="Kazalovsebine9">
    <w:name w:val="toc 9"/>
    <w:basedOn w:val="Navaden"/>
    <w:next w:val="Navaden"/>
    <w:autoRedefine/>
    <w:uiPriority w:val="39"/>
    <w:unhideWhenUsed/>
    <w:rsid w:val="003E3ED9"/>
    <w:pPr>
      <w:spacing w:after="100" w:line="259" w:lineRule="auto"/>
      <w:ind w:left="1760"/>
    </w:pPr>
    <w:rPr>
      <w:rFonts w:asciiTheme="minorHAnsi" w:eastAsiaTheme="minorEastAsia" w:hAnsiTheme="minorHAnsi" w:cstheme="minorBidi"/>
      <w:sz w:val="22"/>
      <w:szCs w:val="22"/>
      <w:lang w:eastAsia="sl-SI"/>
    </w:rPr>
  </w:style>
  <w:style w:type="paragraph" w:styleId="Kazaloslik">
    <w:name w:val="table of figures"/>
    <w:basedOn w:val="Navaden"/>
    <w:next w:val="Navaden"/>
    <w:uiPriority w:val="99"/>
    <w:unhideWhenUsed/>
    <w:rsid w:val="003E3ED9"/>
    <w:pPr>
      <w:spacing w:line="259" w:lineRule="auto"/>
    </w:pPr>
    <w:rPr>
      <w:rFonts w:asciiTheme="minorHAnsi" w:eastAsiaTheme="minorHAnsi" w:hAnsiTheme="minorHAnsi" w:cstheme="minorBidi"/>
      <w:sz w:val="22"/>
      <w:szCs w:val="22"/>
    </w:rPr>
  </w:style>
  <w:style w:type="paragraph" w:styleId="NaslovTOC">
    <w:name w:val="TOC Heading"/>
    <w:basedOn w:val="Naslov1"/>
    <w:next w:val="Navaden"/>
    <w:uiPriority w:val="39"/>
    <w:unhideWhenUsed/>
    <w:qFormat/>
    <w:rsid w:val="003E3ED9"/>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3035">
      <w:bodyDiv w:val="1"/>
      <w:marLeft w:val="0"/>
      <w:marRight w:val="0"/>
      <w:marTop w:val="0"/>
      <w:marBottom w:val="0"/>
      <w:divBdr>
        <w:top w:val="none" w:sz="0" w:space="0" w:color="auto"/>
        <w:left w:val="none" w:sz="0" w:space="0" w:color="auto"/>
        <w:bottom w:val="none" w:sz="0" w:space="0" w:color="auto"/>
        <w:right w:val="none" w:sz="0" w:space="0" w:color="auto"/>
      </w:divBdr>
    </w:div>
    <w:div w:id="21420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20009</Words>
  <Characters>124298</Characters>
  <Application>Microsoft Office Word</Application>
  <DocSecurity>0</DocSecurity>
  <Lines>1035</Lines>
  <Paragraphs>288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144019</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Franc Stanonik</dc:creator>
  <cp:lastModifiedBy>Ksenija Mavrič</cp:lastModifiedBy>
  <cp:revision>2</cp:revision>
  <cp:lastPrinted>2011-03-15T12:37:00Z</cp:lastPrinted>
  <dcterms:created xsi:type="dcterms:W3CDTF">2023-09-28T08:40:00Z</dcterms:created>
  <dcterms:modified xsi:type="dcterms:W3CDTF">2023-09-28T08:40:00Z</dcterms:modified>
</cp:coreProperties>
</file>