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FCA5" w14:textId="77777777" w:rsidR="00565565" w:rsidRDefault="00565565" w:rsidP="00565565">
      <w:pPr>
        <w:rPr>
          <w:lang w:val="sl-SI"/>
        </w:rPr>
      </w:pPr>
    </w:p>
    <w:tbl>
      <w:tblPr>
        <w:tblW w:w="948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
        <w:gridCol w:w="1301"/>
        <w:gridCol w:w="362"/>
        <w:gridCol w:w="1222"/>
        <w:gridCol w:w="1405"/>
        <w:gridCol w:w="935"/>
        <w:gridCol w:w="795"/>
        <w:gridCol w:w="822"/>
        <w:gridCol w:w="188"/>
        <w:gridCol w:w="296"/>
        <w:gridCol w:w="536"/>
        <w:gridCol w:w="1560"/>
      </w:tblGrid>
      <w:tr w:rsidR="00565565" w:rsidRPr="00565565" w14:paraId="7AFA3A3B" w14:textId="77777777" w:rsidTr="00631F0C">
        <w:trPr>
          <w:gridBefore w:val="1"/>
          <w:gridAfter w:val="4"/>
          <w:wBefore w:w="63" w:type="dxa"/>
          <w:wAfter w:w="2580" w:type="dxa"/>
        </w:trPr>
        <w:tc>
          <w:tcPr>
            <w:tcW w:w="6842" w:type="dxa"/>
            <w:gridSpan w:val="7"/>
          </w:tcPr>
          <w:p w14:paraId="3D3024A2" w14:textId="7DA786CE" w:rsidR="00565565" w:rsidRPr="00565565" w:rsidRDefault="00565565" w:rsidP="00565565">
            <w:pPr>
              <w:rPr>
                <w:lang w:val="sl-SI"/>
              </w:rPr>
            </w:pPr>
            <w:r w:rsidRPr="00565565">
              <w:rPr>
                <w:lang w:val="sl-SI"/>
              </w:rPr>
              <w:t>Številka: 4101-13/2024-2720-</w:t>
            </w:r>
            <w:r w:rsidRPr="00DC478F">
              <w:rPr>
                <w:lang w:val="sl-SI"/>
              </w:rPr>
              <w:t>9</w:t>
            </w:r>
            <w:r w:rsidR="00DC478F">
              <w:rPr>
                <w:lang w:val="sl-SI"/>
              </w:rPr>
              <w:t>2</w:t>
            </w:r>
          </w:p>
        </w:tc>
      </w:tr>
      <w:tr w:rsidR="00565565" w:rsidRPr="00565565" w14:paraId="429834C1" w14:textId="77777777" w:rsidTr="00631F0C">
        <w:trPr>
          <w:gridBefore w:val="1"/>
          <w:gridAfter w:val="4"/>
          <w:wBefore w:w="63" w:type="dxa"/>
          <w:wAfter w:w="2580" w:type="dxa"/>
        </w:trPr>
        <w:tc>
          <w:tcPr>
            <w:tcW w:w="6842" w:type="dxa"/>
            <w:gridSpan w:val="7"/>
          </w:tcPr>
          <w:p w14:paraId="6C98F266" w14:textId="1A516EE8" w:rsidR="00565565" w:rsidRPr="00565565" w:rsidRDefault="00565565" w:rsidP="00565565">
            <w:pPr>
              <w:rPr>
                <w:lang w:val="sl-SI"/>
              </w:rPr>
            </w:pPr>
            <w:r w:rsidRPr="00565565">
              <w:rPr>
                <w:lang w:val="sl-SI"/>
              </w:rPr>
              <w:t xml:space="preserve">Ljubljana, </w:t>
            </w:r>
            <w:r w:rsidR="00427ABA">
              <w:rPr>
                <w:lang w:val="sl-SI"/>
              </w:rPr>
              <w:t>10</w:t>
            </w:r>
            <w:r w:rsidRPr="00565565">
              <w:rPr>
                <w:lang w:val="sl-SI"/>
              </w:rPr>
              <w:t>. 6. 2025</w:t>
            </w:r>
          </w:p>
        </w:tc>
      </w:tr>
      <w:tr w:rsidR="00565565" w:rsidRPr="00565565" w14:paraId="0F79988E" w14:textId="77777777" w:rsidTr="00631F0C">
        <w:trPr>
          <w:gridBefore w:val="1"/>
          <w:gridAfter w:val="4"/>
          <w:wBefore w:w="63" w:type="dxa"/>
          <w:wAfter w:w="2580" w:type="dxa"/>
        </w:trPr>
        <w:tc>
          <w:tcPr>
            <w:tcW w:w="6842" w:type="dxa"/>
            <w:gridSpan w:val="7"/>
          </w:tcPr>
          <w:p w14:paraId="538EE24E" w14:textId="77777777" w:rsidR="00565565" w:rsidRPr="00565565" w:rsidRDefault="00565565" w:rsidP="00565565">
            <w:pPr>
              <w:rPr>
                <w:lang w:val="sl-SI"/>
              </w:rPr>
            </w:pPr>
          </w:p>
          <w:p w14:paraId="2B8CBBDB" w14:textId="77777777" w:rsidR="00565565" w:rsidRPr="00565565" w:rsidRDefault="00565565" w:rsidP="00565565">
            <w:pPr>
              <w:rPr>
                <w:lang w:val="sl-SI"/>
              </w:rPr>
            </w:pPr>
            <w:r w:rsidRPr="00565565">
              <w:rPr>
                <w:lang w:val="sl-SI"/>
              </w:rPr>
              <w:t>GENERALNI SEKRETARIAT VLADE REPUBLIKE SLOVENIJE</w:t>
            </w:r>
          </w:p>
          <w:p w14:paraId="510F7B27" w14:textId="77777777" w:rsidR="00565565" w:rsidRPr="00565565" w:rsidRDefault="00000000" w:rsidP="00565565">
            <w:pPr>
              <w:rPr>
                <w:lang w:val="sl-SI"/>
              </w:rPr>
            </w:pPr>
            <w:hyperlink r:id="rId7" w:history="1">
              <w:r w:rsidR="00565565" w:rsidRPr="00565565">
                <w:rPr>
                  <w:rStyle w:val="Hiperpovezava"/>
                  <w:lang w:val="sl-SI"/>
                </w:rPr>
                <w:t>gp.gs@gov.si</w:t>
              </w:r>
            </w:hyperlink>
          </w:p>
          <w:p w14:paraId="59F462A7" w14:textId="77777777" w:rsidR="00565565" w:rsidRPr="00565565" w:rsidRDefault="00565565" w:rsidP="00565565">
            <w:pPr>
              <w:rPr>
                <w:lang w:val="sl-SI"/>
              </w:rPr>
            </w:pPr>
          </w:p>
        </w:tc>
      </w:tr>
      <w:tr w:rsidR="00565565" w:rsidRPr="00565565" w14:paraId="58F19519" w14:textId="77777777" w:rsidTr="00631F0C">
        <w:trPr>
          <w:gridBefore w:val="1"/>
          <w:wBefore w:w="63" w:type="dxa"/>
        </w:trPr>
        <w:tc>
          <w:tcPr>
            <w:tcW w:w="9422" w:type="dxa"/>
            <w:gridSpan w:val="11"/>
          </w:tcPr>
          <w:p w14:paraId="46DE4B0A" w14:textId="77777777" w:rsidR="00565565" w:rsidRPr="00565565" w:rsidRDefault="00565565" w:rsidP="00565565">
            <w:pPr>
              <w:rPr>
                <w:b/>
                <w:lang w:val="sl-SI"/>
              </w:rPr>
            </w:pPr>
            <w:r w:rsidRPr="00565565">
              <w:rPr>
                <w:b/>
                <w:lang w:val="sl-SI"/>
              </w:rPr>
              <w:t>ZADEVA: Sprememba projekta 2611-22-0924 - Gradnja objekta DSO »Jezerca« Bovec v veljavni Načrt razvojnih programov 2025 – 2028 – gradivo za obravnavo</w:t>
            </w:r>
          </w:p>
        </w:tc>
      </w:tr>
      <w:tr w:rsidR="00565565" w:rsidRPr="00565565" w14:paraId="45FCFBCC" w14:textId="77777777" w:rsidTr="00631F0C">
        <w:trPr>
          <w:gridBefore w:val="1"/>
          <w:wBefore w:w="63" w:type="dxa"/>
        </w:trPr>
        <w:tc>
          <w:tcPr>
            <w:tcW w:w="9422" w:type="dxa"/>
            <w:gridSpan w:val="11"/>
          </w:tcPr>
          <w:p w14:paraId="46F1D173" w14:textId="77777777" w:rsidR="00565565" w:rsidRPr="00565565" w:rsidRDefault="00565565" w:rsidP="00565565">
            <w:pPr>
              <w:rPr>
                <w:b/>
                <w:lang w:val="sl-SI"/>
              </w:rPr>
            </w:pPr>
            <w:r w:rsidRPr="00565565">
              <w:rPr>
                <w:b/>
                <w:lang w:val="sl-SI"/>
              </w:rPr>
              <w:t>1. Predlog sklepov vlade:</w:t>
            </w:r>
          </w:p>
        </w:tc>
      </w:tr>
      <w:tr w:rsidR="00565565" w:rsidRPr="00565565" w14:paraId="4A590F0F" w14:textId="77777777" w:rsidTr="00631F0C">
        <w:trPr>
          <w:gridBefore w:val="1"/>
          <w:wBefore w:w="63" w:type="dxa"/>
        </w:trPr>
        <w:tc>
          <w:tcPr>
            <w:tcW w:w="9422" w:type="dxa"/>
            <w:gridSpan w:val="11"/>
          </w:tcPr>
          <w:p w14:paraId="1554A4D8" w14:textId="77777777" w:rsidR="00565565" w:rsidRPr="00565565" w:rsidRDefault="00565565" w:rsidP="00565565">
            <w:pPr>
              <w:rPr>
                <w:iCs/>
                <w:lang w:val="sl-SI"/>
              </w:rPr>
            </w:pPr>
          </w:p>
          <w:p w14:paraId="6B449CE0" w14:textId="113426CE" w:rsidR="00565565" w:rsidRPr="00565565" w:rsidRDefault="00565565" w:rsidP="00565565">
            <w:pPr>
              <w:rPr>
                <w:iCs/>
                <w:lang w:val="sl-SI"/>
              </w:rPr>
            </w:pPr>
            <w:r w:rsidRPr="00565565">
              <w:rPr>
                <w:iCs/>
                <w:lang w:val="sl-SI"/>
              </w:rPr>
              <w:t xml:space="preserve">Na podlagi petega odstavka 31. člena Zakona o izvrševanju proračunov Republike Slovenije za leti 2025 in 2026 (Uradni list RS, </w:t>
            </w:r>
            <w:bookmarkStart w:id="0" w:name="_Hlk93915835"/>
            <w:r w:rsidRPr="00565565">
              <w:rPr>
                <w:iCs/>
                <w:lang w:val="sl-SI"/>
              </w:rPr>
              <w:t xml:space="preserve">št. </w:t>
            </w:r>
            <w:bookmarkEnd w:id="0"/>
            <w:r w:rsidRPr="00427ABA">
              <w:rPr>
                <w:iCs/>
                <w:lang w:val="sl-SI"/>
              </w:rPr>
              <w:t>104/24</w:t>
            </w:r>
            <w:r w:rsidR="00427ABA">
              <w:rPr>
                <w:iCs/>
                <w:lang w:val="sl-SI"/>
              </w:rPr>
              <w:t>,</w:t>
            </w:r>
            <w:r w:rsidRPr="00427ABA">
              <w:rPr>
                <w:iCs/>
                <w:lang w:val="sl-SI"/>
              </w:rPr>
              <w:t xml:space="preserve"> 17/25 - ZFO–1E</w:t>
            </w:r>
            <w:r w:rsidR="00427ABA">
              <w:rPr>
                <w:iCs/>
                <w:lang w:val="sl-SI"/>
              </w:rPr>
              <w:t xml:space="preserve"> in 32/25 – ZJU-1</w:t>
            </w:r>
            <w:r w:rsidRPr="00565565">
              <w:rPr>
                <w:iCs/>
                <w:lang w:val="sl-SI"/>
              </w:rPr>
              <w:t xml:space="preserve">) je Vlada Republike Slovenije na seji dne………………sprejela naslednji </w:t>
            </w:r>
          </w:p>
          <w:p w14:paraId="4243363C" w14:textId="77777777" w:rsidR="00565565" w:rsidRPr="00565565" w:rsidRDefault="00565565" w:rsidP="00565565">
            <w:pPr>
              <w:rPr>
                <w:iCs/>
                <w:lang w:val="sl-SI"/>
              </w:rPr>
            </w:pPr>
          </w:p>
          <w:p w14:paraId="27847530" w14:textId="24C50BB3" w:rsidR="00565565" w:rsidRPr="00565565" w:rsidRDefault="00565565" w:rsidP="00565565">
            <w:pPr>
              <w:rPr>
                <w:iCs/>
                <w:lang w:val="sl-SI"/>
              </w:rPr>
            </w:pPr>
            <w:r>
              <w:rPr>
                <w:iCs/>
                <w:lang w:val="sl-SI"/>
              </w:rPr>
              <w:t xml:space="preserve">                                                                         </w:t>
            </w:r>
            <w:r w:rsidRPr="00565565">
              <w:rPr>
                <w:iCs/>
                <w:lang w:val="sl-SI"/>
              </w:rPr>
              <w:t>SKLEP</w:t>
            </w:r>
          </w:p>
          <w:p w14:paraId="1F9080AA" w14:textId="77777777" w:rsidR="00565565" w:rsidRPr="00565565" w:rsidRDefault="00565565" w:rsidP="00565565">
            <w:pPr>
              <w:rPr>
                <w:iCs/>
                <w:lang w:val="sl-SI"/>
              </w:rPr>
            </w:pPr>
          </w:p>
          <w:p w14:paraId="05A4C584" w14:textId="77777777" w:rsidR="00565565" w:rsidRPr="00565565" w:rsidRDefault="00565565" w:rsidP="00565565">
            <w:pPr>
              <w:rPr>
                <w:lang w:val="sl-SI"/>
              </w:rPr>
            </w:pPr>
            <w:bookmarkStart w:id="1" w:name="_Hlk188450193"/>
            <w:r w:rsidRPr="00565565">
              <w:rPr>
                <w:iCs/>
                <w:lang w:val="sl-SI"/>
              </w:rPr>
              <w:t xml:space="preserve">V veljavnem Načrtu razvojnih programov 2025–2028 se skladno s priloženo tabelo, </w:t>
            </w:r>
            <w:bookmarkStart w:id="2" w:name="_Hlk192063076"/>
            <w:r w:rsidRPr="00565565">
              <w:rPr>
                <w:iCs/>
                <w:lang w:val="sl-SI"/>
              </w:rPr>
              <w:t>spremeni projekt, ki izhaja iz evidenčnega projekta 2611-13-0002 – novogradnje, adaptacije, rekonstrukcije, oprema domov za starostnike in SV zavode, in sicer: 2611-22-0924 – Gradnja objekta DSO »Jezerca«, Bovec</w:t>
            </w:r>
            <w:r w:rsidRPr="00565565">
              <w:rPr>
                <w:b/>
                <w:iCs/>
                <w:lang w:val="sl-SI"/>
              </w:rPr>
              <w:t xml:space="preserve">, </w:t>
            </w:r>
            <w:r w:rsidRPr="00565565">
              <w:rPr>
                <w:iCs/>
                <w:lang w:val="sl-SI"/>
              </w:rPr>
              <w:t>ki spada v skupino projektov, 2611-11-S018 – Izvajanje enovitega sistema dolgotrajne oskrbe.</w:t>
            </w:r>
          </w:p>
          <w:bookmarkEnd w:id="1"/>
          <w:bookmarkEnd w:id="2"/>
          <w:p w14:paraId="1D39FE92" w14:textId="77777777" w:rsidR="00565565" w:rsidRPr="00565565" w:rsidRDefault="00565565" w:rsidP="00565565">
            <w:pPr>
              <w:rPr>
                <w:iCs/>
                <w:lang w:val="sl-SI"/>
              </w:rPr>
            </w:pPr>
          </w:p>
          <w:p w14:paraId="54E7E18F" w14:textId="77777777" w:rsidR="00565565" w:rsidRPr="00565565" w:rsidRDefault="00565565" w:rsidP="00565565">
            <w:pPr>
              <w:rPr>
                <w:iCs/>
                <w:lang w:val="sl-SI"/>
              </w:rPr>
            </w:pPr>
          </w:p>
          <w:p w14:paraId="5EC4FF77" w14:textId="77777777" w:rsidR="00565565" w:rsidRPr="00565565" w:rsidRDefault="00565565" w:rsidP="00565565">
            <w:pPr>
              <w:rPr>
                <w:iCs/>
                <w:lang w:val="sl-SI"/>
              </w:rPr>
            </w:pPr>
          </w:p>
          <w:p w14:paraId="4689743D" w14:textId="77777777" w:rsidR="00565565" w:rsidRPr="00565565" w:rsidRDefault="00565565" w:rsidP="00565565">
            <w:pPr>
              <w:rPr>
                <w:iCs/>
                <w:lang w:val="sl-SI"/>
              </w:rPr>
            </w:pPr>
            <w:r w:rsidRPr="00565565">
              <w:rPr>
                <w:iCs/>
                <w:lang w:val="sl-SI"/>
              </w:rPr>
              <w:t>Številka:</w:t>
            </w:r>
          </w:p>
          <w:p w14:paraId="223D133E" w14:textId="77777777" w:rsidR="00565565" w:rsidRPr="00565565" w:rsidRDefault="00565565" w:rsidP="00565565">
            <w:pPr>
              <w:rPr>
                <w:iCs/>
                <w:lang w:val="sl-SI"/>
              </w:rPr>
            </w:pPr>
            <w:r w:rsidRPr="00565565">
              <w:rPr>
                <w:iCs/>
                <w:lang w:val="sl-SI"/>
              </w:rPr>
              <w:t>V Ljubljani, dne</w:t>
            </w:r>
          </w:p>
          <w:p w14:paraId="1C17E527" w14:textId="77777777" w:rsidR="00565565" w:rsidRPr="00565565" w:rsidRDefault="00565565" w:rsidP="00565565">
            <w:pPr>
              <w:rPr>
                <w:iCs/>
                <w:lang w:val="sl-SI"/>
              </w:rPr>
            </w:pPr>
          </w:p>
          <w:p w14:paraId="5BBEC269" w14:textId="77777777" w:rsidR="00565565" w:rsidRPr="00565565" w:rsidRDefault="00565565" w:rsidP="00565565">
            <w:pPr>
              <w:rPr>
                <w:iCs/>
                <w:lang w:val="sl-SI"/>
              </w:rPr>
            </w:pPr>
            <w:r w:rsidRPr="00565565">
              <w:rPr>
                <w:iCs/>
                <w:lang w:val="sl-SI"/>
              </w:rPr>
              <w:t xml:space="preserve">                                                                                       Barbara Kolenko Helbl</w:t>
            </w:r>
          </w:p>
          <w:p w14:paraId="40352DA8" w14:textId="77777777" w:rsidR="00565565" w:rsidRPr="00565565" w:rsidRDefault="00565565" w:rsidP="00565565">
            <w:pPr>
              <w:rPr>
                <w:iCs/>
                <w:lang w:val="sl-SI"/>
              </w:rPr>
            </w:pPr>
            <w:r w:rsidRPr="00565565">
              <w:rPr>
                <w:iCs/>
                <w:lang w:val="sl-SI"/>
              </w:rPr>
              <w:t xml:space="preserve">                                                                                       generalna sekretarka</w:t>
            </w:r>
          </w:p>
          <w:p w14:paraId="53255501" w14:textId="77777777" w:rsidR="00565565" w:rsidRPr="00565565" w:rsidRDefault="00565565" w:rsidP="00565565">
            <w:pPr>
              <w:rPr>
                <w:iCs/>
                <w:lang w:val="sl-SI"/>
              </w:rPr>
            </w:pPr>
          </w:p>
          <w:p w14:paraId="5A3AF26F" w14:textId="77777777" w:rsidR="00565565" w:rsidRPr="00565565" w:rsidRDefault="00565565" w:rsidP="00565565">
            <w:pPr>
              <w:rPr>
                <w:iCs/>
                <w:lang w:val="sl-SI"/>
              </w:rPr>
            </w:pPr>
          </w:p>
          <w:p w14:paraId="22737BD2" w14:textId="77777777" w:rsidR="00565565" w:rsidRPr="00565565" w:rsidRDefault="00565565" w:rsidP="00565565">
            <w:pPr>
              <w:rPr>
                <w:iCs/>
                <w:lang w:val="sl-SI"/>
              </w:rPr>
            </w:pPr>
            <w:r w:rsidRPr="00565565">
              <w:rPr>
                <w:iCs/>
                <w:lang w:val="sl-SI"/>
              </w:rPr>
              <w:t>Priloga:</w:t>
            </w:r>
          </w:p>
          <w:p w14:paraId="4361E58E" w14:textId="77777777" w:rsidR="00565565" w:rsidRPr="00565565" w:rsidRDefault="00565565" w:rsidP="00565565">
            <w:pPr>
              <w:rPr>
                <w:iCs/>
                <w:lang w:val="sl-SI"/>
              </w:rPr>
            </w:pPr>
            <w:r w:rsidRPr="00565565">
              <w:rPr>
                <w:iCs/>
                <w:lang w:val="sl-SI"/>
              </w:rPr>
              <w:t>Obrazec 3: Načrt razvojnih programov</w:t>
            </w:r>
          </w:p>
          <w:p w14:paraId="1DB05041" w14:textId="77777777" w:rsidR="00565565" w:rsidRPr="00565565" w:rsidRDefault="00565565" w:rsidP="00565565">
            <w:pPr>
              <w:rPr>
                <w:bCs/>
                <w:lang w:val="sl-SI"/>
              </w:rPr>
            </w:pPr>
            <w:r w:rsidRPr="00565565">
              <w:rPr>
                <w:bCs/>
                <w:lang w:val="sl-SI"/>
              </w:rPr>
              <w:t>Sklep prejmejo:</w:t>
            </w:r>
          </w:p>
          <w:p w14:paraId="10039506" w14:textId="77777777" w:rsidR="00565565" w:rsidRPr="00565565" w:rsidRDefault="00565565" w:rsidP="00565565">
            <w:pPr>
              <w:numPr>
                <w:ilvl w:val="0"/>
                <w:numId w:val="12"/>
              </w:numPr>
              <w:rPr>
                <w:bCs/>
                <w:lang w:val="sl-SI"/>
              </w:rPr>
            </w:pPr>
            <w:r w:rsidRPr="00565565">
              <w:rPr>
                <w:bCs/>
                <w:lang w:val="sl-SI"/>
              </w:rPr>
              <w:t>Ministrstvo za solidarno prihodnost,</w:t>
            </w:r>
          </w:p>
          <w:p w14:paraId="7478BEA0" w14:textId="77777777" w:rsidR="00565565" w:rsidRPr="00565565" w:rsidRDefault="00565565" w:rsidP="00565565">
            <w:pPr>
              <w:numPr>
                <w:ilvl w:val="0"/>
                <w:numId w:val="12"/>
              </w:numPr>
              <w:rPr>
                <w:bCs/>
                <w:lang w:val="sl-SI"/>
              </w:rPr>
            </w:pPr>
            <w:r w:rsidRPr="00565565">
              <w:rPr>
                <w:bCs/>
                <w:lang w:val="sl-SI"/>
              </w:rPr>
              <w:t>Generalni sekretariat Vlade Republike Slovenije,</w:t>
            </w:r>
          </w:p>
          <w:p w14:paraId="5735E9D9" w14:textId="77777777" w:rsidR="00565565" w:rsidRPr="00565565" w:rsidRDefault="00565565" w:rsidP="00565565">
            <w:pPr>
              <w:numPr>
                <w:ilvl w:val="0"/>
                <w:numId w:val="12"/>
              </w:numPr>
              <w:rPr>
                <w:bCs/>
                <w:lang w:val="sl-SI"/>
              </w:rPr>
            </w:pPr>
            <w:r w:rsidRPr="00565565">
              <w:rPr>
                <w:bCs/>
                <w:lang w:val="sl-SI"/>
              </w:rPr>
              <w:t>Ministrstvo za finance.</w:t>
            </w:r>
          </w:p>
        </w:tc>
      </w:tr>
      <w:tr w:rsidR="00565565" w:rsidRPr="00565565" w14:paraId="00914A4E" w14:textId="77777777" w:rsidTr="00631F0C">
        <w:trPr>
          <w:gridBefore w:val="1"/>
          <w:wBefore w:w="63" w:type="dxa"/>
        </w:trPr>
        <w:tc>
          <w:tcPr>
            <w:tcW w:w="9422" w:type="dxa"/>
            <w:gridSpan w:val="11"/>
          </w:tcPr>
          <w:p w14:paraId="55A39B7F" w14:textId="77777777" w:rsidR="00565565" w:rsidRPr="00565565" w:rsidRDefault="00565565" w:rsidP="00565565">
            <w:pPr>
              <w:rPr>
                <w:b/>
                <w:iCs/>
                <w:lang w:val="sl-SI"/>
              </w:rPr>
            </w:pPr>
            <w:r w:rsidRPr="00565565">
              <w:rPr>
                <w:b/>
                <w:lang w:val="sl-SI"/>
              </w:rPr>
              <w:t>2. Predlog za obravnavo predloga zakona po nujnem ali skrajšanem postopku v državnem zboru z obrazložitvijo razlogov:</w:t>
            </w:r>
          </w:p>
        </w:tc>
      </w:tr>
      <w:tr w:rsidR="00565565" w:rsidRPr="00565565" w14:paraId="7E7A6234" w14:textId="77777777" w:rsidTr="00631F0C">
        <w:trPr>
          <w:gridBefore w:val="1"/>
          <w:wBefore w:w="63" w:type="dxa"/>
        </w:trPr>
        <w:tc>
          <w:tcPr>
            <w:tcW w:w="9422" w:type="dxa"/>
            <w:gridSpan w:val="11"/>
          </w:tcPr>
          <w:p w14:paraId="60DC4CC7" w14:textId="77777777" w:rsidR="00565565" w:rsidRPr="00565565" w:rsidRDefault="00565565" w:rsidP="00565565">
            <w:pPr>
              <w:rPr>
                <w:iCs/>
                <w:lang w:val="sl-SI"/>
              </w:rPr>
            </w:pPr>
          </w:p>
        </w:tc>
      </w:tr>
      <w:tr w:rsidR="00565565" w:rsidRPr="00565565" w14:paraId="4FE607CF" w14:textId="77777777" w:rsidTr="00631F0C">
        <w:trPr>
          <w:gridBefore w:val="1"/>
          <w:wBefore w:w="63" w:type="dxa"/>
        </w:trPr>
        <w:tc>
          <w:tcPr>
            <w:tcW w:w="9422" w:type="dxa"/>
            <w:gridSpan w:val="11"/>
          </w:tcPr>
          <w:p w14:paraId="3816707C" w14:textId="77777777" w:rsidR="00565565" w:rsidRPr="00565565" w:rsidRDefault="00565565" w:rsidP="00565565">
            <w:pPr>
              <w:rPr>
                <w:b/>
                <w:iCs/>
                <w:lang w:val="sl-SI"/>
              </w:rPr>
            </w:pPr>
            <w:r w:rsidRPr="00565565">
              <w:rPr>
                <w:b/>
                <w:lang w:val="sl-SI"/>
              </w:rPr>
              <w:t>3.a Osebe, odgovorne za strokovno pripravo in usklajenost gradiva:</w:t>
            </w:r>
          </w:p>
        </w:tc>
      </w:tr>
      <w:tr w:rsidR="00565565" w:rsidRPr="00565565" w14:paraId="4F15AF95" w14:textId="77777777" w:rsidTr="00631F0C">
        <w:trPr>
          <w:gridBefore w:val="1"/>
          <w:wBefore w:w="63" w:type="dxa"/>
        </w:trPr>
        <w:tc>
          <w:tcPr>
            <w:tcW w:w="9422" w:type="dxa"/>
            <w:gridSpan w:val="11"/>
          </w:tcPr>
          <w:p w14:paraId="46C663F8" w14:textId="77777777" w:rsidR="00565565" w:rsidRPr="00565565" w:rsidRDefault="00565565" w:rsidP="00565565">
            <w:pPr>
              <w:rPr>
                <w:iCs/>
                <w:lang w:val="sl-SI"/>
              </w:rPr>
            </w:pPr>
            <w:r w:rsidRPr="00565565">
              <w:rPr>
                <w:iCs/>
                <w:lang w:val="sl-SI"/>
              </w:rPr>
              <w:t>Ana Černe, generalna sekretarka</w:t>
            </w:r>
          </w:p>
          <w:p w14:paraId="43F5FDC8" w14:textId="77777777" w:rsidR="00565565" w:rsidRPr="00565565" w:rsidRDefault="00565565" w:rsidP="00565565">
            <w:pPr>
              <w:rPr>
                <w:iCs/>
                <w:lang w:val="sl-SI"/>
              </w:rPr>
            </w:pPr>
            <w:r w:rsidRPr="00565565">
              <w:rPr>
                <w:iCs/>
                <w:lang w:val="sl-SI"/>
              </w:rPr>
              <w:t>mag. Lidija Kodrič Vuk, vodja Službe za investicije</w:t>
            </w:r>
          </w:p>
        </w:tc>
      </w:tr>
      <w:tr w:rsidR="00565565" w:rsidRPr="00565565" w14:paraId="5A56C1F9" w14:textId="77777777" w:rsidTr="00631F0C">
        <w:trPr>
          <w:gridBefore w:val="1"/>
          <w:wBefore w:w="63" w:type="dxa"/>
        </w:trPr>
        <w:tc>
          <w:tcPr>
            <w:tcW w:w="9422" w:type="dxa"/>
            <w:gridSpan w:val="11"/>
          </w:tcPr>
          <w:p w14:paraId="0DFDBD60" w14:textId="77777777" w:rsidR="00565565" w:rsidRPr="00565565" w:rsidRDefault="00565565" w:rsidP="00565565">
            <w:pPr>
              <w:rPr>
                <w:b/>
                <w:iCs/>
                <w:lang w:val="sl-SI"/>
              </w:rPr>
            </w:pPr>
            <w:r w:rsidRPr="00565565">
              <w:rPr>
                <w:b/>
                <w:iCs/>
                <w:lang w:val="sl-SI"/>
              </w:rPr>
              <w:t xml:space="preserve">3.b Zunanji strokovnjaki, ki so </w:t>
            </w:r>
            <w:r w:rsidRPr="00565565">
              <w:rPr>
                <w:b/>
                <w:lang w:val="sl-SI"/>
              </w:rPr>
              <w:t>sodelovali pri pripravi dela ali celotnega gradiva:</w:t>
            </w:r>
          </w:p>
        </w:tc>
      </w:tr>
      <w:tr w:rsidR="00565565" w:rsidRPr="00565565" w14:paraId="68FCB6B5" w14:textId="77777777" w:rsidTr="00631F0C">
        <w:trPr>
          <w:gridBefore w:val="1"/>
          <w:wBefore w:w="63" w:type="dxa"/>
        </w:trPr>
        <w:tc>
          <w:tcPr>
            <w:tcW w:w="9422" w:type="dxa"/>
            <w:gridSpan w:val="11"/>
          </w:tcPr>
          <w:p w14:paraId="4D5C4CD7" w14:textId="77777777" w:rsidR="00565565" w:rsidRPr="00565565" w:rsidRDefault="00565565" w:rsidP="00565565">
            <w:pPr>
              <w:rPr>
                <w:iCs/>
                <w:lang w:val="sl-SI"/>
              </w:rPr>
            </w:pPr>
            <w:r w:rsidRPr="00565565">
              <w:rPr>
                <w:iCs/>
                <w:lang w:val="sl-SI"/>
              </w:rPr>
              <w:t>/</w:t>
            </w:r>
          </w:p>
        </w:tc>
      </w:tr>
      <w:tr w:rsidR="00565565" w:rsidRPr="00565565" w14:paraId="38612F17" w14:textId="77777777" w:rsidTr="00631F0C">
        <w:trPr>
          <w:gridBefore w:val="1"/>
          <w:wBefore w:w="63" w:type="dxa"/>
        </w:trPr>
        <w:tc>
          <w:tcPr>
            <w:tcW w:w="9422" w:type="dxa"/>
            <w:gridSpan w:val="11"/>
          </w:tcPr>
          <w:p w14:paraId="41FA3F74" w14:textId="77777777" w:rsidR="00565565" w:rsidRPr="00565565" w:rsidRDefault="00565565" w:rsidP="00565565">
            <w:pPr>
              <w:rPr>
                <w:b/>
                <w:iCs/>
                <w:lang w:val="sl-SI"/>
              </w:rPr>
            </w:pPr>
            <w:r w:rsidRPr="00565565">
              <w:rPr>
                <w:b/>
                <w:lang w:val="sl-SI"/>
              </w:rPr>
              <w:t>4. Predstavniki vlade, ki bodo sodelovali pri delu državnega zbora:</w:t>
            </w:r>
          </w:p>
        </w:tc>
      </w:tr>
      <w:tr w:rsidR="00565565" w:rsidRPr="00565565" w14:paraId="6F5D1D70" w14:textId="77777777" w:rsidTr="00631F0C">
        <w:trPr>
          <w:gridBefore w:val="1"/>
          <w:wBefore w:w="63" w:type="dxa"/>
        </w:trPr>
        <w:tc>
          <w:tcPr>
            <w:tcW w:w="9422" w:type="dxa"/>
            <w:gridSpan w:val="11"/>
          </w:tcPr>
          <w:p w14:paraId="0358590E" w14:textId="77777777" w:rsidR="00565565" w:rsidRPr="00565565" w:rsidRDefault="00565565" w:rsidP="00565565">
            <w:pPr>
              <w:rPr>
                <w:b/>
                <w:lang w:val="sl-SI"/>
              </w:rPr>
            </w:pPr>
            <w:r w:rsidRPr="00565565">
              <w:rPr>
                <w:iCs/>
                <w:lang w:val="sl-SI"/>
              </w:rPr>
              <w:t>/</w:t>
            </w:r>
          </w:p>
        </w:tc>
      </w:tr>
      <w:tr w:rsidR="00565565" w:rsidRPr="00565565" w14:paraId="310A7707" w14:textId="77777777" w:rsidTr="00631F0C">
        <w:trPr>
          <w:gridBefore w:val="1"/>
          <w:wBefore w:w="63" w:type="dxa"/>
        </w:trPr>
        <w:tc>
          <w:tcPr>
            <w:tcW w:w="9422" w:type="dxa"/>
            <w:gridSpan w:val="11"/>
          </w:tcPr>
          <w:p w14:paraId="623F4A18" w14:textId="77777777" w:rsidR="00565565" w:rsidRPr="00565565" w:rsidRDefault="00565565" w:rsidP="00565565">
            <w:pPr>
              <w:rPr>
                <w:b/>
                <w:lang w:val="sl-SI"/>
              </w:rPr>
            </w:pPr>
            <w:r w:rsidRPr="00565565">
              <w:rPr>
                <w:b/>
                <w:lang w:val="sl-SI"/>
              </w:rPr>
              <w:t xml:space="preserve">5. Kratek povzetek gradiva: </w:t>
            </w:r>
          </w:p>
        </w:tc>
      </w:tr>
      <w:tr w:rsidR="00565565" w:rsidRPr="00565565" w14:paraId="306DB7BE" w14:textId="77777777" w:rsidTr="00631F0C">
        <w:trPr>
          <w:gridBefore w:val="1"/>
          <w:wBefore w:w="63" w:type="dxa"/>
        </w:trPr>
        <w:tc>
          <w:tcPr>
            <w:tcW w:w="9422" w:type="dxa"/>
            <w:gridSpan w:val="11"/>
          </w:tcPr>
          <w:p w14:paraId="79850821" w14:textId="77777777" w:rsidR="00565565" w:rsidRPr="00565565" w:rsidRDefault="00565565" w:rsidP="00565565">
            <w:pPr>
              <w:rPr>
                <w:iCs/>
                <w:lang w:val="sl-SI"/>
              </w:rPr>
            </w:pPr>
            <w:r w:rsidRPr="00565565">
              <w:rPr>
                <w:iCs/>
                <w:lang w:val="sl-SI"/>
              </w:rPr>
              <w:lastRenderedPageBreak/>
              <w:t>Gradivo se nanaša na spremembo izhodiščne vrednosti ter podaljšanje in ponovno uvrstitev projekta v veljavni Načrt razvojnih programov, in sicer za gradnjo objekta Doma starejših občanov »Jezerca«, Bovec. Zaradi povišanja ocenjene vrednosti investicije, kot posledice uskladitve projektantskega popisa del glede na PZI, revalorizacije cen iz stalnih cen decembra 2021 na stalne cene maj 2023, podražitve gradbenih del in materialov ter ažuriranih inflacijskih faktorjev iz Pomladanske napovedi gospodarskih gibanj 2023, spremembe v virih financiranja ter spremembe terminskega plana izvedbe, je bila v pripravi Novelacija investicijskega programa. Zaradi znatnega znižanja obsega proračunskih sredstev v letu 2024 z izvedbo investicije ni bilo možno nadaljevati. Ker ni bilo znano, kdaj in v kakšnem obsegu bodo sredstva lahko zagotovljena ter na kakšen način se bo investicija nadaljevala, se je, do zagotovitve sredstev ter sprejetja odločitve, določil status projekta začasno prekinjen. Ker se je pokazala možnost zagotovitve sredstev za izvedbo investicije v letih 2025, 2026 in 2027, je bila izdelana novelacija investicijskega projekta. Vrednost investicije po novelaciji investicijskega programa in nova izhodiščna vrednost projekta tako znaša 9.379.304,33 EUR z DDV. Investicijske aktivnosti so se začele izvajati v letu 2021, gradnja pa bo potekala v letih 2025, 2026 in 2027. Z izvedbo investicije se bo pridobilo 64 novih postelj, kar bo starejšim občanom zagotovilo dostojno preživljanje starosti, saj jim bo poleg osnovnih bivalnih potreb in osnovnega zdravstvenega varstva, zagotovljeno tudi izvajanje dodatnih dejavnosti in prostočasnih aktivnosti, s čimer se bo izboljšala kakovost njihovega bivanja.</w:t>
            </w:r>
          </w:p>
          <w:p w14:paraId="7F95C9DA" w14:textId="77777777" w:rsidR="00565565" w:rsidRPr="00565565" w:rsidRDefault="00565565" w:rsidP="00565565">
            <w:pPr>
              <w:rPr>
                <w:lang w:val="sl-SI"/>
              </w:rPr>
            </w:pPr>
            <w:r w:rsidRPr="00565565">
              <w:rPr>
                <w:iCs/>
                <w:lang w:val="sl-SI"/>
              </w:rPr>
              <w:t>Na podlagi Zakona o spremembah in dopolnitvah Zakona o državni upravi (Uradni list RS, št. 18/23) se je z dnem 14. 2. 2023 opravljanje nalog na področju socialnega varstva v delu, ki se nanaša na institucionalno varstvo, preneslo v pristojnost Ministrstva za solidarno prihodnost (v nadaljevanju: ministrstvo).</w:t>
            </w:r>
          </w:p>
        </w:tc>
      </w:tr>
      <w:tr w:rsidR="00565565" w:rsidRPr="00565565" w14:paraId="2840C41E" w14:textId="77777777" w:rsidTr="00631F0C">
        <w:trPr>
          <w:gridBefore w:val="1"/>
          <w:wBefore w:w="63" w:type="dxa"/>
        </w:trPr>
        <w:tc>
          <w:tcPr>
            <w:tcW w:w="9422" w:type="dxa"/>
            <w:gridSpan w:val="11"/>
          </w:tcPr>
          <w:p w14:paraId="7C2EBE20" w14:textId="77777777" w:rsidR="00565565" w:rsidRPr="00565565" w:rsidRDefault="00565565" w:rsidP="00565565">
            <w:pPr>
              <w:rPr>
                <w:b/>
                <w:lang w:val="sl-SI"/>
              </w:rPr>
            </w:pPr>
            <w:r w:rsidRPr="00565565">
              <w:rPr>
                <w:b/>
                <w:lang w:val="sl-SI"/>
              </w:rPr>
              <w:t>6. Presoja posledic za:</w:t>
            </w:r>
          </w:p>
        </w:tc>
      </w:tr>
      <w:tr w:rsidR="00565565" w:rsidRPr="00565565" w14:paraId="5931F440" w14:textId="77777777" w:rsidTr="00631F0C">
        <w:trPr>
          <w:gridBefore w:val="1"/>
          <w:wBefore w:w="63" w:type="dxa"/>
        </w:trPr>
        <w:tc>
          <w:tcPr>
            <w:tcW w:w="1301" w:type="dxa"/>
          </w:tcPr>
          <w:p w14:paraId="57B07B5A" w14:textId="77777777" w:rsidR="00565565" w:rsidRPr="00565565" w:rsidRDefault="00565565" w:rsidP="00565565">
            <w:pPr>
              <w:rPr>
                <w:iCs/>
                <w:lang w:val="sl-SI"/>
              </w:rPr>
            </w:pPr>
            <w:r w:rsidRPr="00565565">
              <w:rPr>
                <w:iCs/>
                <w:lang w:val="sl-SI"/>
              </w:rPr>
              <w:t>a)</w:t>
            </w:r>
          </w:p>
        </w:tc>
        <w:tc>
          <w:tcPr>
            <w:tcW w:w="6561" w:type="dxa"/>
            <w:gridSpan w:val="9"/>
          </w:tcPr>
          <w:p w14:paraId="28791E56" w14:textId="77777777" w:rsidR="00565565" w:rsidRPr="00565565" w:rsidRDefault="00565565" w:rsidP="00565565">
            <w:pPr>
              <w:rPr>
                <w:lang w:val="sl-SI"/>
              </w:rPr>
            </w:pPr>
            <w:r w:rsidRPr="00565565">
              <w:rPr>
                <w:lang w:val="sl-SI"/>
              </w:rPr>
              <w:t>javnofinančna sredstva nad 40.000 EUR v tekočem in naslednjih treh letih</w:t>
            </w:r>
          </w:p>
        </w:tc>
        <w:tc>
          <w:tcPr>
            <w:tcW w:w="1560" w:type="dxa"/>
            <w:vAlign w:val="center"/>
          </w:tcPr>
          <w:p w14:paraId="498D9FA2" w14:textId="77777777" w:rsidR="00565565" w:rsidRPr="00565565" w:rsidRDefault="00565565" w:rsidP="00565565">
            <w:pPr>
              <w:rPr>
                <w:iCs/>
                <w:lang w:val="sl-SI"/>
              </w:rPr>
            </w:pPr>
            <w:r w:rsidRPr="00565565">
              <w:rPr>
                <w:b/>
                <w:bCs/>
                <w:lang w:val="sl-SI"/>
              </w:rPr>
              <w:t>DA</w:t>
            </w:r>
            <w:r w:rsidRPr="00565565">
              <w:rPr>
                <w:lang w:val="sl-SI"/>
              </w:rPr>
              <w:t>/</w:t>
            </w:r>
            <w:r w:rsidRPr="00565565">
              <w:rPr>
                <w:bCs/>
                <w:lang w:val="sl-SI"/>
              </w:rPr>
              <w:t>NE</w:t>
            </w:r>
          </w:p>
        </w:tc>
      </w:tr>
      <w:tr w:rsidR="00565565" w:rsidRPr="00565565" w14:paraId="242B157E" w14:textId="77777777" w:rsidTr="00631F0C">
        <w:trPr>
          <w:gridBefore w:val="1"/>
          <w:wBefore w:w="63" w:type="dxa"/>
        </w:trPr>
        <w:tc>
          <w:tcPr>
            <w:tcW w:w="1301" w:type="dxa"/>
          </w:tcPr>
          <w:p w14:paraId="6C741264" w14:textId="77777777" w:rsidR="00565565" w:rsidRPr="00565565" w:rsidRDefault="00565565" w:rsidP="00565565">
            <w:pPr>
              <w:rPr>
                <w:iCs/>
                <w:lang w:val="sl-SI"/>
              </w:rPr>
            </w:pPr>
            <w:r w:rsidRPr="00565565">
              <w:rPr>
                <w:iCs/>
                <w:lang w:val="sl-SI"/>
              </w:rPr>
              <w:t>b)</w:t>
            </w:r>
          </w:p>
        </w:tc>
        <w:tc>
          <w:tcPr>
            <w:tcW w:w="6561" w:type="dxa"/>
            <w:gridSpan w:val="9"/>
          </w:tcPr>
          <w:p w14:paraId="3BF269AF" w14:textId="77777777" w:rsidR="00565565" w:rsidRPr="00565565" w:rsidRDefault="00565565" w:rsidP="00565565">
            <w:pPr>
              <w:rPr>
                <w:iCs/>
                <w:lang w:val="sl-SI"/>
              </w:rPr>
            </w:pPr>
            <w:r w:rsidRPr="00565565">
              <w:rPr>
                <w:bCs/>
                <w:lang w:val="sl-SI"/>
              </w:rPr>
              <w:t>usklajenost slovenskega pravnega reda s pravnim redom Evropske unije</w:t>
            </w:r>
          </w:p>
        </w:tc>
        <w:tc>
          <w:tcPr>
            <w:tcW w:w="1560" w:type="dxa"/>
            <w:vAlign w:val="center"/>
          </w:tcPr>
          <w:p w14:paraId="5DCD3304" w14:textId="77777777" w:rsidR="00565565" w:rsidRPr="00565565" w:rsidRDefault="00565565" w:rsidP="00565565">
            <w:pPr>
              <w:rPr>
                <w:iCs/>
                <w:lang w:val="sl-SI"/>
              </w:rPr>
            </w:pPr>
            <w:r w:rsidRPr="00565565">
              <w:rPr>
                <w:lang w:val="sl-SI"/>
              </w:rPr>
              <w:t>DA/</w:t>
            </w:r>
            <w:r w:rsidRPr="00565565">
              <w:rPr>
                <w:b/>
                <w:lang w:val="sl-SI"/>
              </w:rPr>
              <w:t>NE</w:t>
            </w:r>
          </w:p>
        </w:tc>
      </w:tr>
      <w:tr w:rsidR="00565565" w:rsidRPr="00565565" w14:paraId="4F1035E0" w14:textId="77777777" w:rsidTr="00631F0C">
        <w:trPr>
          <w:gridBefore w:val="1"/>
          <w:wBefore w:w="63" w:type="dxa"/>
        </w:trPr>
        <w:tc>
          <w:tcPr>
            <w:tcW w:w="1301" w:type="dxa"/>
          </w:tcPr>
          <w:p w14:paraId="23E451FA" w14:textId="77777777" w:rsidR="00565565" w:rsidRPr="00565565" w:rsidRDefault="00565565" w:rsidP="00565565">
            <w:pPr>
              <w:rPr>
                <w:iCs/>
                <w:lang w:val="sl-SI"/>
              </w:rPr>
            </w:pPr>
            <w:r w:rsidRPr="00565565">
              <w:rPr>
                <w:iCs/>
                <w:lang w:val="sl-SI"/>
              </w:rPr>
              <w:t>c)</w:t>
            </w:r>
          </w:p>
        </w:tc>
        <w:tc>
          <w:tcPr>
            <w:tcW w:w="6561" w:type="dxa"/>
            <w:gridSpan w:val="9"/>
          </w:tcPr>
          <w:p w14:paraId="09299713" w14:textId="77777777" w:rsidR="00565565" w:rsidRPr="00565565" w:rsidRDefault="00565565" w:rsidP="00565565">
            <w:pPr>
              <w:rPr>
                <w:iCs/>
                <w:lang w:val="sl-SI"/>
              </w:rPr>
            </w:pPr>
            <w:r w:rsidRPr="00565565">
              <w:rPr>
                <w:lang w:val="sl-SI"/>
              </w:rPr>
              <w:t>administrativne posledice</w:t>
            </w:r>
          </w:p>
        </w:tc>
        <w:tc>
          <w:tcPr>
            <w:tcW w:w="1560" w:type="dxa"/>
            <w:vAlign w:val="center"/>
          </w:tcPr>
          <w:p w14:paraId="1B9570AC" w14:textId="77777777" w:rsidR="00565565" w:rsidRPr="00565565" w:rsidRDefault="00565565" w:rsidP="00565565">
            <w:pPr>
              <w:rPr>
                <w:lang w:val="sl-SI"/>
              </w:rPr>
            </w:pPr>
            <w:r w:rsidRPr="00565565">
              <w:rPr>
                <w:lang w:val="sl-SI"/>
              </w:rPr>
              <w:t>DA/</w:t>
            </w:r>
            <w:r w:rsidRPr="00565565">
              <w:rPr>
                <w:b/>
                <w:lang w:val="sl-SI"/>
              </w:rPr>
              <w:t>NE</w:t>
            </w:r>
          </w:p>
        </w:tc>
      </w:tr>
      <w:tr w:rsidR="00565565" w:rsidRPr="00565565" w14:paraId="150E4E48" w14:textId="77777777" w:rsidTr="00631F0C">
        <w:trPr>
          <w:gridBefore w:val="1"/>
          <w:wBefore w:w="63" w:type="dxa"/>
        </w:trPr>
        <w:tc>
          <w:tcPr>
            <w:tcW w:w="1301" w:type="dxa"/>
          </w:tcPr>
          <w:p w14:paraId="3BEF9F7A" w14:textId="77777777" w:rsidR="00565565" w:rsidRPr="00565565" w:rsidRDefault="00565565" w:rsidP="00565565">
            <w:pPr>
              <w:rPr>
                <w:iCs/>
                <w:lang w:val="sl-SI"/>
              </w:rPr>
            </w:pPr>
            <w:r w:rsidRPr="00565565">
              <w:rPr>
                <w:iCs/>
                <w:lang w:val="sl-SI"/>
              </w:rPr>
              <w:t>č)</w:t>
            </w:r>
          </w:p>
        </w:tc>
        <w:tc>
          <w:tcPr>
            <w:tcW w:w="6561" w:type="dxa"/>
            <w:gridSpan w:val="9"/>
          </w:tcPr>
          <w:p w14:paraId="72C5E1A3" w14:textId="77777777" w:rsidR="00565565" w:rsidRPr="00565565" w:rsidRDefault="00565565" w:rsidP="00565565">
            <w:pPr>
              <w:rPr>
                <w:bCs/>
                <w:lang w:val="sl-SI"/>
              </w:rPr>
            </w:pPr>
            <w:r w:rsidRPr="00565565">
              <w:rPr>
                <w:lang w:val="sl-SI"/>
              </w:rPr>
              <w:t>gospodarstvo, zlasti</w:t>
            </w:r>
            <w:r w:rsidRPr="00565565">
              <w:rPr>
                <w:bCs/>
                <w:lang w:val="sl-SI"/>
              </w:rPr>
              <w:t xml:space="preserve"> mala in srednja podjetja ter konkurenčnost podjetij</w:t>
            </w:r>
          </w:p>
        </w:tc>
        <w:tc>
          <w:tcPr>
            <w:tcW w:w="1560" w:type="dxa"/>
            <w:vAlign w:val="center"/>
          </w:tcPr>
          <w:p w14:paraId="2C6E0DA5" w14:textId="77777777" w:rsidR="00565565" w:rsidRPr="00565565" w:rsidRDefault="00565565" w:rsidP="00565565">
            <w:pPr>
              <w:rPr>
                <w:iCs/>
                <w:lang w:val="sl-SI"/>
              </w:rPr>
            </w:pPr>
            <w:r w:rsidRPr="00565565">
              <w:rPr>
                <w:lang w:val="sl-SI"/>
              </w:rPr>
              <w:t>DA/</w:t>
            </w:r>
            <w:r w:rsidRPr="00565565">
              <w:rPr>
                <w:b/>
                <w:lang w:val="sl-SI"/>
              </w:rPr>
              <w:t>NE</w:t>
            </w:r>
          </w:p>
        </w:tc>
      </w:tr>
      <w:tr w:rsidR="00565565" w:rsidRPr="00565565" w14:paraId="5376495C" w14:textId="77777777" w:rsidTr="00631F0C">
        <w:trPr>
          <w:gridBefore w:val="1"/>
          <w:wBefore w:w="63" w:type="dxa"/>
        </w:trPr>
        <w:tc>
          <w:tcPr>
            <w:tcW w:w="1301" w:type="dxa"/>
          </w:tcPr>
          <w:p w14:paraId="60DDE3BD" w14:textId="77777777" w:rsidR="00565565" w:rsidRPr="00565565" w:rsidRDefault="00565565" w:rsidP="00565565">
            <w:pPr>
              <w:rPr>
                <w:iCs/>
                <w:lang w:val="sl-SI"/>
              </w:rPr>
            </w:pPr>
            <w:r w:rsidRPr="00565565">
              <w:rPr>
                <w:iCs/>
                <w:lang w:val="sl-SI"/>
              </w:rPr>
              <w:t>d)</w:t>
            </w:r>
          </w:p>
        </w:tc>
        <w:tc>
          <w:tcPr>
            <w:tcW w:w="6561" w:type="dxa"/>
            <w:gridSpan w:val="9"/>
          </w:tcPr>
          <w:p w14:paraId="3B76C3B8" w14:textId="77777777" w:rsidR="00565565" w:rsidRPr="00565565" w:rsidRDefault="00565565" w:rsidP="00565565">
            <w:pPr>
              <w:rPr>
                <w:bCs/>
                <w:lang w:val="sl-SI"/>
              </w:rPr>
            </w:pPr>
            <w:r w:rsidRPr="00565565">
              <w:rPr>
                <w:bCs/>
                <w:lang w:val="sl-SI"/>
              </w:rPr>
              <w:t>okolje, vključno s prostorskimi in varstvenimi vidiki</w:t>
            </w:r>
          </w:p>
        </w:tc>
        <w:tc>
          <w:tcPr>
            <w:tcW w:w="1560" w:type="dxa"/>
            <w:vAlign w:val="center"/>
          </w:tcPr>
          <w:p w14:paraId="563F3F90" w14:textId="77777777" w:rsidR="00565565" w:rsidRPr="00565565" w:rsidRDefault="00565565" w:rsidP="00565565">
            <w:pPr>
              <w:rPr>
                <w:iCs/>
                <w:lang w:val="sl-SI"/>
              </w:rPr>
            </w:pPr>
            <w:r w:rsidRPr="00565565">
              <w:rPr>
                <w:lang w:val="sl-SI"/>
              </w:rPr>
              <w:t>DA/</w:t>
            </w:r>
            <w:r w:rsidRPr="00565565">
              <w:rPr>
                <w:b/>
                <w:lang w:val="sl-SI"/>
              </w:rPr>
              <w:t>NE</w:t>
            </w:r>
          </w:p>
        </w:tc>
      </w:tr>
      <w:tr w:rsidR="00565565" w:rsidRPr="00565565" w14:paraId="0D9EA209" w14:textId="77777777" w:rsidTr="00631F0C">
        <w:trPr>
          <w:gridBefore w:val="1"/>
          <w:wBefore w:w="63" w:type="dxa"/>
        </w:trPr>
        <w:tc>
          <w:tcPr>
            <w:tcW w:w="1301" w:type="dxa"/>
          </w:tcPr>
          <w:p w14:paraId="7BE92449" w14:textId="77777777" w:rsidR="00565565" w:rsidRPr="00565565" w:rsidRDefault="00565565" w:rsidP="00565565">
            <w:pPr>
              <w:rPr>
                <w:iCs/>
                <w:lang w:val="sl-SI"/>
              </w:rPr>
            </w:pPr>
            <w:r w:rsidRPr="00565565">
              <w:rPr>
                <w:iCs/>
                <w:lang w:val="sl-SI"/>
              </w:rPr>
              <w:t>e)</w:t>
            </w:r>
          </w:p>
        </w:tc>
        <w:tc>
          <w:tcPr>
            <w:tcW w:w="6561" w:type="dxa"/>
            <w:gridSpan w:val="9"/>
          </w:tcPr>
          <w:p w14:paraId="3A220ADE" w14:textId="77777777" w:rsidR="00565565" w:rsidRPr="00565565" w:rsidRDefault="00565565" w:rsidP="00565565">
            <w:pPr>
              <w:rPr>
                <w:bCs/>
                <w:lang w:val="sl-SI"/>
              </w:rPr>
            </w:pPr>
            <w:r w:rsidRPr="00565565">
              <w:rPr>
                <w:bCs/>
                <w:lang w:val="sl-SI"/>
              </w:rPr>
              <w:t>socialno področje</w:t>
            </w:r>
          </w:p>
        </w:tc>
        <w:tc>
          <w:tcPr>
            <w:tcW w:w="1560" w:type="dxa"/>
            <w:vAlign w:val="center"/>
          </w:tcPr>
          <w:p w14:paraId="4707B459" w14:textId="77777777" w:rsidR="00565565" w:rsidRPr="00565565" w:rsidRDefault="00565565" w:rsidP="00565565">
            <w:pPr>
              <w:rPr>
                <w:iCs/>
                <w:lang w:val="sl-SI"/>
              </w:rPr>
            </w:pPr>
            <w:r w:rsidRPr="00565565">
              <w:rPr>
                <w:lang w:val="sl-SI"/>
              </w:rPr>
              <w:t>DA</w:t>
            </w:r>
            <w:r w:rsidRPr="00565565">
              <w:rPr>
                <w:b/>
                <w:lang w:val="sl-SI"/>
              </w:rPr>
              <w:t>/NE</w:t>
            </w:r>
          </w:p>
        </w:tc>
      </w:tr>
      <w:tr w:rsidR="00565565" w:rsidRPr="00565565" w14:paraId="47FFDFCA" w14:textId="77777777" w:rsidTr="00631F0C">
        <w:trPr>
          <w:gridBefore w:val="1"/>
          <w:wBefore w:w="63" w:type="dxa"/>
        </w:trPr>
        <w:tc>
          <w:tcPr>
            <w:tcW w:w="1301" w:type="dxa"/>
            <w:tcBorders>
              <w:bottom w:val="single" w:sz="4" w:space="0" w:color="auto"/>
            </w:tcBorders>
          </w:tcPr>
          <w:p w14:paraId="19BAF5BC" w14:textId="77777777" w:rsidR="00565565" w:rsidRPr="00565565" w:rsidRDefault="00565565" w:rsidP="00565565">
            <w:pPr>
              <w:rPr>
                <w:iCs/>
                <w:lang w:val="sl-SI"/>
              </w:rPr>
            </w:pPr>
            <w:r w:rsidRPr="00565565">
              <w:rPr>
                <w:iCs/>
                <w:lang w:val="sl-SI"/>
              </w:rPr>
              <w:t>f)</w:t>
            </w:r>
          </w:p>
        </w:tc>
        <w:tc>
          <w:tcPr>
            <w:tcW w:w="6561" w:type="dxa"/>
            <w:gridSpan w:val="9"/>
            <w:tcBorders>
              <w:bottom w:val="single" w:sz="4" w:space="0" w:color="auto"/>
            </w:tcBorders>
          </w:tcPr>
          <w:p w14:paraId="3471E532" w14:textId="77777777" w:rsidR="00565565" w:rsidRPr="00565565" w:rsidRDefault="00565565" w:rsidP="00565565">
            <w:pPr>
              <w:rPr>
                <w:bCs/>
                <w:lang w:val="sl-SI"/>
              </w:rPr>
            </w:pPr>
            <w:r w:rsidRPr="00565565">
              <w:rPr>
                <w:bCs/>
                <w:lang w:val="sl-SI"/>
              </w:rPr>
              <w:t>dokumente razvojnega načrtovanja:</w:t>
            </w:r>
          </w:p>
          <w:p w14:paraId="107275F9" w14:textId="77777777" w:rsidR="00565565" w:rsidRPr="00565565" w:rsidRDefault="00565565" w:rsidP="00565565">
            <w:pPr>
              <w:numPr>
                <w:ilvl w:val="0"/>
                <w:numId w:val="7"/>
              </w:numPr>
              <w:rPr>
                <w:bCs/>
                <w:lang w:val="sl-SI"/>
              </w:rPr>
            </w:pPr>
            <w:r w:rsidRPr="00565565">
              <w:rPr>
                <w:bCs/>
                <w:lang w:val="sl-SI"/>
              </w:rPr>
              <w:t>nacionalne dokumente razvojnega načrtovanja</w:t>
            </w:r>
          </w:p>
          <w:p w14:paraId="12249DE3" w14:textId="77777777" w:rsidR="00565565" w:rsidRPr="00565565" w:rsidRDefault="00565565" w:rsidP="00565565">
            <w:pPr>
              <w:numPr>
                <w:ilvl w:val="0"/>
                <w:numId w:val="7"/>
              </w:numPr>
              <w:rPr>
                <w:bCs/>
                <w:lang w:val="sl-SI"/>
              </w:rPr>
            </w:pPr>
            <w:r w:rsidRPr="00565565">
              <w:rPr>
                <w:bCs/>
                <w:lang w:val="sl-SI"/>
              </w:rPr>
              <w:t>razvojne politike na ravni programov po strukturi razvojne klasifikacije programskega proračuna</w:t>
            </w:r>
          </w:p>
          <w:p w14:paraId="21C9CB6F" w14:textId="77777777" w:rsidR="00565565" w:rsidRPr="00565565" w:rsidRDefault="00565565" w:rsidP="00565565">
            <w:pPr>
              <w:numPr>
                <w:ilvl w:val="0"/>
                <w:numId w:val="7"/>
              </w:numPr>
              <w:rPr>
                <w:bCs/>
                <w:lang w:val="sl-SI"/>
              </w:rPr>
            </w:pPr>
            <w:r w:rsidRPr="00565565">
              <w:rPr>
                <w:bCs/>
                <w:lang w:val="sl-SI"/>
              </w:rPr>
              <w:t>razvojne dokumente Evropske unije in mednarodnih organizacij</w:t>
            </w:r>
          </w:p>
        </w:tc>
        <w:tc>
          <w:tcPr>
            <w:tcW w:w="1560" w:type="dxa"/>
            <w:tcBorders>
              <w:bottom w:val="single" w:sz="4" w:space="0" w:color="auto"/>
            </w:tcBorders>
            <w:vAlign w:val="center"/>
          </w:tcPr>
          <w:p w14:paraId="558E1D1E" w14:textId="77777777" w:rsidR="00565565" w:rsidRPr="00565565" w:rsidRDefault="00565565" w:rsidP="00565565">
            <w:pPr>
              <w:rPr>
                <w:iCs/>
                <w:lang w:val="sl-SI"/>
              </w:rPr>
            </w:pPr>
            <w:r w:rsidRPr="00565565">
              <w:rPr>
                <w:lang w:val="sl-SI"/>
              </w:rPr>
              <w:t>DA/</w:t>
            </w:r>
            <w:r w:rsidRPr="00565565">
              <w:rPr>
                <w:b/>
                <w:lang w:val="sl-SI"/>
              </w:rPr>
              <w:t>NE</w:t>
            </w:r>
          </w:p>
        </w:tc>
      </w:tr>
      <w:tr w:rsidR="00565565" w:rsidRPr="00565565" w14:paraId="3B8F2705" w14:textId="77777777" w:rsidTr="00631F0C">
        <w:trPr>
          <w:gridBefore w:val="1"/>
          <w:wBefore w:w="63" w:type="dxa"/>
        </w:trPr>
        <w:tc>
          <w:tcPr>
            <w:tcW w:w="9422" w:type="dxa"/>
            <w:gridSpan w:val="11"/>
            <w:tcBorders>
              <w:top w:val="single" w:sz="4" w:space="0" w:color="auto"/>
              <w:left w:val="single" w:sz="4" w:space="0" w:color="auto"/>
              <w:bottom w:val="single" w:sz="4" w:space="0" w:color="auto"/>
              <w:right w:val="single" w:sz="4" w:space="0" w:color="auto"/>
            </w:tcBorders>
          </w:tcPr>
          <w:p w14:paraId="3E3924B2" w14:textId="77777777" w:rsidR="00565565" w:rsidRPr="00565565" w:rsidRDefault="00565565" w:rsidP="00565565">
            <w:pPr>
              <w:rPr>
                <w:b/>
                <w:lang w:val="sl-SI"/>
              </w:rPr>
            </w:pPr>
            <w:r w:rsidRPr="00565565">
              <w:rPr>
                <w:b/>
                <w:lang w:val="sl-SI"/>
              </w:rPr>
              <w:t>7.a Predstavitev ocene finančnih posledic nad 40.000 EUR:</w:t>
            </w:r>
          </w:p>
          <w:p w14:paraId="3141921D" w14:textId="77777777" w:rsidR="00565565" w:rsidRPr="00565565" w:rsidRDefault="00565565" w:rsidP="00565565">
            <w:pPr>
              <w:rPr>
                <w:lang w:val="sl-SI"/>
              </w:rPr>
            </w:pPr>
            <w:r w:rsidRPr="00565565">
              <w:rPr>
                <w:lang w:val="sl-SI"/>
              </w:rPr>
              <w:t>(Samo če izberete DA pod točko 6.a.)</w:t>
            </w:r>
          </w:p>
        </w:tc>
      </w:tr>
      <w:tr w:rsidR="00565565" w:rsidRPr="00565565" w14:paraId="0019F16A"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485"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DD8C567" w14:textId="77777777" w:rsidR="00565565" w:rsidRPr="00565565" w:rsidRDefault="00565565" w:rsidP="00565565">
            <w:pPr>
              <w:rPr>
                <w:bCs/>
                <w:iCs/>
                <w:lang w:val="sl-SI"/>
              </w:rPr>
            </w:pPr>
            <w:r w:rsidRPr="00565565">
              <w:rPr>
                <w:bCs/>
                <w:iCs/>
                <w:lang w:val="sl-SI"/>
              </w:rPr>
              <w:t>I. Ocena finančnih posledic, ki niso načrtovane v sprejetem proračunu</w:t>
            </w:r>
          </w:p>
        </w:tc>
      </w:tr>
      <w:tr w:rsidR="00565565" w:rsidRPr="00565565" w14:paraId="1ADE9932"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48" w:type="dxa"/>
            <w:gridSpan w:val="4"/>
            <w:tcBorders>
              <w:top w:val="single" w:sz="4" w:space="0" w:color="auto"/>
              <w:left w:val="single" w:sz="4" w:space="0" w:color="auto"/>
              <w:bottom w:val="single" w:sz="4" w:space="0" w:color="auto"/>
              <w:right w:val="single" w:sz="4" w:space="0" w:color="auto"/>
            </w:tcBorders>
            <w:vAlign w:val="center"/>
          </w:tcPr>
          <w:p w14:paraId="7E4F1FAF" w14:textId="77777777" w:rsidR="00565565" w:rsidRPr="00565565" w:rsidRDefault="00565565" w:rsidP="00565565">
            <w:pPr>
              <w:rPr>
                <w:lang w:val="sl-SI"/>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3C7F74E9" w14:textId="77777777" w:rsidR="00565565" w:rsidRPr="00565565" w:rsidRDefault="00565565" w:rsidP="00565565">
            <w:pPr>
              <w:rPr>
                <w:lang w:val="sl-SI"/>
              </w:rPr>
            </w:pPr>
            <w:r w:rsidRPr="00565565">
              <w:rPr>
                <w:lang w:val="sl-SI"/>
              </w:rPr>
              <w:t>Tekoče leto (t)</w:t>
            </w:r>
          </w:p>
        </w:tc>
        <w:tc>
          <w:tcPr>
            <w:tcW w:w="795" w:type="dxa"/>
            <w:tcBorders>
              <w:top w:val="single" w:sz="4" w:space="0" w:color="auto"/>
              <w:left w:val="single" w:sz="4" w:space="0" w:color="auto"/>
              <w:bottom w:val="single" w:sz="4" w:space="0" w:color="auto"/>
              <w:right w:val="single" w:sz="4" w:space="0" w:color="auto"/>
            </w:tcBorders>
            <w:vAlign w:val="center"/>
          </w:tcPr>
          <w:p w14:paraId="00B4EB56" w14:textId="77777777" w:rsidR="00565565" w:rsidRPr="00565565" w:rsidRDefault="00565565" w:rsidP="00565565">
            <w:pPr>
              <w:rPr>
                <w:lang w:val="sl-SI"/>
              </w:rPr>
            </w:pPr>
            <w:r w:rsidRPr="00565565">
              <w:rPr>
                <w:lang w:val="sl-SI"/>
              </w:rPr>
              <w:t>t + 1</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37B4E9CE" w14:textId="77777777" w:rsidR="00565565" w:rsidRPr="00565565" w:rsidRDefault="00565565" w:rsidP="00565565">
            <w:pPr>
              <w:rPr>
                <w:lang w:val="sl-SI"/>
              </w:rPr>
            </w:pPr>
            <w:r w:rsidRPr="00565565">
              <w:rPr>
                <w:lang w:val="sl-SI"/>
              </w:rPr>
              <w:t>t + 2</w:t>
            </w:r>
          </w:p>
        </w:tc>
        <w:tc>
          <w:tcPr>
            <w:tcW w:w="1560" w:type="dxa"/>
            <w:tcBorders>
              <w:top w:val="single" w:sz="4" w:space="0" w:color="auto"/>
              <w:left w:val="single" w:sz="4" w:space="0" w:color="auto"/>
              <w:bottom w:val="single" w:sz="4" w:space="0" w:color="auto"/>
              <w:right w:val="single" w:sz="4" w:space="0" w:color="auto"/>
            </w:tcBorders>
            <w:vAlign w:val="center"/>
          </w:tcPr>
          <w:p w14:paraId="327A5A15" w14:textId="77777777" w:rsidR="00565565" w:rsidRPr="00565565" w:rsidRDefault="00565565" w:rsidP="00565565">
            <w:pPr>
              <w:rPr>
                <w:lang w:val="sl-SI"/>
              </w:rPr>
            </w:pPr>
            <w:r w:rsidRPr="00565565">
              <w:rPr>
                <w:lang w:val="sl-SI"/>
              </w:rPr>
              <w:t>t + 3</w:t>
            </w:r>
          </w:p>
        </w:tc>
      </w:tr>
      <w:tr w:rsidR="00565565" w:rsidRPr="00565565" w14:paraId="48D8AB12"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48" w:type="dxa"/>
            <w:gridSpan w:val="4"/>
            <w:tcBorders>
              <w:top w:val="single" w:sz="4" w:space="0" w:color="auto"/>
              <w:left w:val="single" w:sz="4" w:space="0" w:color="auto"/>
              <w:bottom w:val="single" w:sz="4" w:space="0" w:color="auto"/>
              <w:right w:val="single" w:sz="4" w:space="0" w:color="auto"/>
            </w:tcBorders>
            <w:vAlign w:val="center"/>
          </w:tcPr>
          <w:p w14:paraId="68A7C42A" w14:textId="77777777" w:rsidR="00565565" w:rsidRPr="00565565" w:rsidRDefault="00565565" w:rsidP="00565565">
            <w:pPr>
              <w:rPr>
                <w:bCs/>
                <w:lang w:val="sl-SI"/>
              </w:rPr>
            </w:pPr>
            <w:r w:rsidRPr="00565565">
              <w:rPr>
                <w:bCs/>
                <w:lang w:val="sl-SI"/>
              </w:rPr>
              <w:t>Predvideno povečanje (+) ali zmanjšanje (</w:t>
            </w:r>
            <w:r w:rsidRPr="00565565">
              <w:rPr>
                <w:b/>
                <w:lang w:val="sl-SI"/>
              </w:rPr>
              <w:t>–</w:t>
            </w:r>
            <w:r w:rsidRPr="00565565">
              <w:rPr>
                <w:bCs/>
                <w:lang w:val="sl-SI"/>
              </w:rPr>
              <w:t xml:space="preserve">) prihodkov državnega proračuna </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071D7786" w14:textId="77777777" w:rsidR="00565565" w:rsidRPr="00565565" w:rsidRDefault="00565565" w:rsidP="00565565">
            <w:pPr>
              <w:rPr>
                <w:bCs/>
                <w:iCs/>
                <w:lang w:val="sl-SI"/>
              </w:rPr>
            </w:pPr>
          </w:p>
        </w:tc>
        <w:tc>
          <w:tcPr>
            <w:tcW w:w="795" w:type="dxa"/>
            <w:tcBorders>
              <w:top w:val="single" w:sz="4" w:space="0" w:color="auto"/>
              <w:left w:val="single" w:sz="4" w:space="0" w:color="auto"/>
              <w:bottom w:val="single" w:sz="4" w:space="0" w:color="auto"/>
              <w:right w:val="single" w:sz="4" w:space="0" w:color="auto"/>
            </w:tcBorders>
            <w:vAlign w:val="center"/>
          </w:tcPr>
          <w:p w14:paraId="107EF140" w14:textId="77777777" w:rsidR="00565565" w:rsidRPr="00565565" w:rsidRDefault="00565565" w:rsidP="00565565">
            <w:pPr>
              <w:rPr>
                <w:bCs/>
                <w:iCs/>
                <w:lang w:val="sl-SI"/>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70F9E61C" w14:textId="77777777" w:rsidR="00565565" w:rsidRPr="00565565" w:rsidRDefault="00565565" w:rsidP="00565565">
            <w:pPr>
              <w:rPr>
                <w:bCs/>
                <w:iCs/>
                <w:lang w:val="sl-SI"/>
              </w:rPr>
            </w:pPr>
          </w:p>
        </w:tc>
        <w:tc>
          <w:tcPr>
            <w:tcW w:w="1560" w:type="dxa"/>
            <w:tcBorders>
              <w:top w:val="single" w:sz="4" w:space="0" w:color="auto"/>
              <w:left w:val="single" w:sz="4" w:space="0" w:color="auto"/>
              <w:bottom w:val="single" w:sz="4" w:space="0" w:color="auto"/>
              <w:right w:val="single" w:sz="4" w:space="0" w:color="auto"/>
            </w:tcBorders>
            <w:vAlign w:val="center"/>
          </w:tcPr>
          <w:p w14:paraId="3DFDB369" w14:textId="77777777" w:rsidR="00565565" w:rsidRPr="00565565" w:rsidRDefault="00565565" w:rsidP="00565565">
            <w:pPr>
              <w:rPr>
                <w:bCs/>
                <w:iCs/>
                <w:lang w:val="sl-SI"/>
              </w:rPr>
            </w:pPr>
          </w:p>
        </w:tc>
      </w:tr>
      <w:tr w:rsidR="00565565" w:rsidRPr="00565565" w14:paraId="0AB039E5"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48" w:type="dxa"/>
            <w:gridSpan w:val="4"/>
            <w:tcBorders>
              <w:top w:val="single" w:sz="4" w:space="0" w:color="auto"/>
              <w:left w:val="single" w:sz="4" w:space="0" w:color="auto"/>
              <w:bottom w:val="single" w:sz="4" w:space="0" w:color="auto"/>
              <w:right w:val="single" w:sz="4" w:space="0" w:color="auto"/>
            </w:tcBorders>
            <w:vAlign w:val="center"/>
          </w:tcPr>
          <w:p w14:paraId="3B27A8E8" w14:textId="77777777" w:rsidR="00565565" w:rsidRPr="00565565" w:rsidRDefault="00565565" w:rsidP="00565565">
            <w:pPr>
              <w:rPr>
                <w:bCs/>
                <w:lang w:val="sl-SI"/>
              </w:rPr>
            </w:pPr>
            <w:r w:rsidRPr="00565565">
              <w:rPr>
                <w:bCs/>
                <w:lang w:val="sl-SI"/>
              </w:rPr>
              <w:t>Predvideno povečanje (+) ali zmanjšanje (</w:t>
            </w:r>
            <w:r w:rsidRPr="00565565">
              <w:rPr>
                <w:b/>
                <w:lang w:val="sl-SI"/>
              </w:rPr>
              <w:t>–</w:t>
            </w:r>
            <w:r w:rsidRPr="00565565">
              <w:rPr>
                <w:bCs/>
                <w:lang w:val="sl-SI"/>
              </w:rPr>
              <w:t xml:space="preserve">) prihodkov občinskih proračunov </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7B879E2D" w14:textId="77777777" w:rsidR="00565565" w:rsidRPr="00565565" w:rsidRDefault="00565565" w:rsidP="00565565">
            <w:pPr>
              <w:rPr>
                <w:bCs/>
                <w:iCs/>
                <w:lang w:val="sl-SI"/>
              </w:rPr>
            </w:pPr>
          </w:p>
        </w:tc>
        <w:tc>
          <w:tcPr>
            <w:tcW w:w="795" w:type="dxa"/>
            <w:tcBorders>
              <w:top w:val="single" w:sz="4" w:space="0" w:color="auto"/>
              <w:left w:val="single" w:sz="4" w:space="0" w:color="auto"/>
              <w:bottom w:val="single" w:sz="4" w:space="0" w:color="auto"/>
              <w:right w:val="single" w:sz="4" w:space="0" w:color="auto"/>
            </w:tcBorders>
            <w:vAlign w:val="center"/>
          </w:tcPr>
          <w:p w14:paraId="1CCC12A5" w14:textId="77777777" w:rsidR="00565565" w:rsidRPr="00565565" w:rsidRDefault="00565565" w:rsidP="00565565">
            <w:pPr>
              <w:rPr>
                <w:bCs/>
                <w:iCs/>
                <w:lang w:val="sl-SI"/>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5BF405CD" w14:textId="77777777" w:rsidR="00565565" w:rsidRPr="00565565" w:rsidRDefault="00565565" w:rsidP="00565565">
            <w:pPr>
              <w:rPr>
                <w:bCs/>
                <w:iCs/>
                <w:lang w:val="sl-SI"/>
              </w:rPr>
            </w:pPr>
          </w:p>
        </w:tc>
        <w:tc>
          <w:tcPr>
            <w:tcW w:w="1560" w:type="dxa"/>
            <w:tcBorders>
              <w:top w:val="single" w:sz="4" w:space="0" w:color="auto"/>
              <w:left w:val="single" w:sz="4" w:space="0" w:color="auto"/>
              <w:bottom w:val="single" w:sz="4" w:space="0" w:color="auto"/>
              <w:right w:val="single" w:sz="4" w:space="0" w:color="auto"/>
            </w:tcBorders>
            <w:vAlign w:val="center"/>
          </w:tcPr>
          <w:p w14:paraId="3B8F7CB7" w14:textId="77777777" w:rsidR="00565565" w:rsidRPr="00565565" w:rsidRDefault="00565565" w:rsidP="00565565">
            <w:pPr>
              <w:rPr>
                <w:bCs/>
                <w:iCs/>
                <w:lang w:val="sl-SI"/>
              </w:rPr>
            </w:pPr>
          </w:p>
        </w:tc>
      </w:tr>
      <w:tr w:rsidR="00565565" w:rsidRPr="00565565" w14:paraId="36A7D3D5"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48" w:type="dxa"/>
            <w:gridSpan w:val="4"/>
            <w:tcBorders>
              <w:top w:val="single" w:sz="4" w:space="0" w:color="auto"/>
              <w:left w:val="single" w:sz="4" w:space="0" w:color="auto"/>
              <w:bottom w:val="single" w:sz="4" w:space="0" w:color="auto"/>
              <w:right w:val="single" w:sz="4" w:space="0" w:color="auto"/>
            </w:tcBorders>
            <w:vAlign w:val="center"/>
          </w:tcPr>
          <w:p w14:paraId="25A9CFA0" w14:textId="77777777" w:rsidR="00565565" w:rsidRPr="00565565" w:rsidRDefault="00565565" w:rsidP="00565565">
            <w:pPr>
              <w:rPr>
                <w:bCs/>
                <w:lang w:val="sl-SI"/>
              </w:rPr>
            </w:pPr>
            <w:r w:rsidRPr="00565565">
              <w:rPr>
                <w:bCs/>
                <w:lang w:val="sl-SI"/>
              </w:rPr>
              <w:t>Predvideno povečanje (+) ali zmanjšanje (</w:t>
            </w:r>
            <w:r w:rsidRPr="00565565">
              <w:rPr>
                <w:b/>
                <w:lang w:val="sl-SI"/>
              </w:rPr>
              <w:t>–</w:t>
            </w:r>
            <w:r w:rsidRPr="00565565">
              <w:rPr>
                <w:bCs/>
                <w:lang w:val="sl-SI"/>
              </w:rPr>
              <w:t xml:space="preserve">) odhodkov državnega proračuna </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7E8EE0E6" w14:textId="77777777" w:rsidR="00565565" w:rsidRPr="00565565" w:rsidRDefault="00565565" w:rsidP="00565565">
            <w:pPr>
              <w:rPr>
                <w:lang w:val="sl-SI"/>
              </w:rPr>
            </w:pPr>
          </w:p>
        </w:tc>
        <w:tc>
          <w:tcPr>
            <w:tcW w:w="795" w:type="dxa"/>
            <w:tcBorders>
              <w:top w:val="single" w:sz="4" w:space="0" w:color="auto"/>
              <w:left w:val="single" w:sz="4" w:space="0" w:color="auto"/>
              <w:bottom w:val="single" w:sz="4" w:space="0" w:color="auto"/>
              <w:right w:val="single" w:sz="4" w:space="0" w:color="auto"/>
            </w:tcBorders>
            <w:vAlign w:val="center"/>
          </w:tcPr>
          <w:p w14:paraId="4A56C519" w14:textId="77777777" w:rsidR="00565565" w:rsidRPr="00565565" w:rsidRDefault="00565565" w:rsidP="00565565">
            <w:pPr>
              <w:rPr>
                <w:lang w:val="sl-SI"/>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7DD43F7F" w14:textId="77777777" w:rsidR="00565565" w:rsidRPr="00565565" w:rsidRDefault="00565565" w:rsidP="00565565">
            <w:pPr>
              <w:rPr>
                <w:lang w:val="sl-SI"/>
              </w:rPr>
            </w:pPr>
          </w:p>
        </w:tc>
        <w:tc>
          <w:tcPr>
            <w:tcW w:w="1560" w:type="dxa"/>
            <w:tcBorders>
              <w:top w:val="single" w:sz="4" w:space="0" w:color="auto"/>
              <w:left w:val="single" w:sz="4" w:space="0" w:color="auto"/>
              <w:bottom w:val="single" w:sz="4" w:space="0" w:color="auto"/>
              <w:right w:val="single" w:sz="4" w:space="0" w:color="auto"/>
            </w:tcBorders>
            <w:vAlign w:val="center"/>
          </w:tcPr>
          <w:p w14:paraId="5294EF29" w14:textId="77777777" w:rsidR="00565565" w:rsidRPr="00565565" w:rsidRDefault="00565565" w:rsidP="00565565">
            <w:pPr>
              <w:rPr>
                <w:lang w:val="sl-SI"/>
              </w:rPr>
            </w:pPr>
          </w:p>
        </w:tc>
      </w:tr>
      <w:tr w:rsidR="00565565" w:rsidRPr="00565565" w14:paraId="199047EF"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48" w:type="dxa"/>
            <w:gridSpan w:val="4"/>
            <w:tcBorders>
              <w:top w:val="single" w:sz="4" w:space="0" w:color="auto"/>
              <w:left w:val="single" w:sz="4" w:space="0" w:color="auto"/>
              <w:bottom w:val="single" w:sz="4" w:space="0" w:color="auto"/>
              <w:right w:val="single" w:sz="4" w:space="0" w:color="auto"/>
            </w:tcBorders>
            <w:vAlign w:val="center"/>
          </w:tcPr>
          <w:p w14:paraId="5F766759" w14:textId="77777777" w:rsidR="00565565" w:rsidRPr="00565565" w:rsidRDefault="00565565" w:rsidP="00565565">
            <w:pPr>
              <w:rPr>
                <w:bCs/>
                <w:lang w:val="sl-SI"/>
              </w:rPr>
            </w:pPr>
            <w:r w:rsidRPr="00565565">
              <w:rPr>
                <w:bCs/>
                <w:lang w:val="sl-SI"/>
              </w:rPr>
              <w:t>Predvideno povečanje (+) ali zmanjšanje (</w:t>
            </w:r>
            <w:r w:rsidRPr="00565565">
              <w:rPr>
                <w:b/>
                <w:lang w:val="sl-SI"/>
              </w:rPr>
              <w:t>–</w:t>
            </w:r>
            <w:r w:rsidRPr="00565565">
              <w:rPr>
                <w:bCs/>
                <w:lang w:val="sl-SI"/>
              </w:rPr>
              <w:t>) odhodkov občinskih proračunov</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5C679A6C" w14:textId="77777777" w:rsidR="00565565" w:rsidRPr="00565565" w:rsidRDefault="00565565" w:rsidP="00565565">
            <w:pPr>
              <w:rPr>
                <w:lang w:val="sl-SI"/>
              </w:rPr>
            </w:pPr>
          </w:p>
        </w:tc>
        <w:tc>
          <w:tcPr>
            <w:tcW w:w="795" w:type="dxa"/>
            <w:tcBorders>
              <w:top w:val="single" w:sz="4" w:space="0" w:color="auto"/>
              <w:left w:val="single" w:sz="4" w:space="0" w:color="auto"/>
              <w:bottom w:val="single" w:sz="4" w:space="0" w:color="auto"/>
              <w:right w:val="single" w:sz="4" w:space="0" w:color="auto"/>
            </w:tcBorders>
            <w:vAlign w:val="center"/>
          </w:tcPr>
          <w:p w14:paraId="0D9BF9F4" w14:textId="77777777" w:rsidR="00565565" w:rsidRPr="00565565" w:rsidRDefault="00565565" w:rsidP="00565565">
            <w:pPr>
              <w:rPr>
                <w:lang w:val="sl-SI"/>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33D0BB84" w14:textId="77777777" w:rsidR="00565565" w:rsidRPr="00565565" w:rsidRDefault="00565565" w:rsidP="00565565">
            <w:pPr>
              <w:rPr>
                <w:lang w:val="sl-SI"/>
              </w:rPr>
            </w:pPr>
          </w:p>
        </w:tc>
        <w:tc>
          <w:tcPr>
            <w:tcW w:w="1560" w:type="dxa"/>
            <w:tcBorders>
              <w:top w:val="single" w:sz="4" w:space="0" w:color="auto"/>
              <w:left w:val="single" w:sz="4" w:space="0" w:color="auto"/>
              <w:bottom w:val="single" w:sz="4" w:space="0" w:color="auto"/>
              <w:right w:val="single" w:sz="4" w:space="0" w:color="auto"/>
            </w:tcBorders>
            <w:vAlign w:val="center"/>
          </w:tcPr>
          <w:p w14:paraId="69B6816E" w14:textId="77777777" w:rsidR="00565565" w:rsidRPr="00565565" w:rsidRDefault="00565565" w:rsidP="00565565">
            <w:pPr>
              <w:rPr>
                <w:lang w:val="sl-SI"/>
              </w:rPr>
            </w:pPr>
          </w:p>
        </w:tc>
      </w:tr>
      <w:tr w:rsidR="00565565" w:rsidRPr="00565565" w14:paraId="298B39D3"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48" w:type="dxa"/>
            <w:gridSpan w:val="4"/>
            <w:tcBorders>
              <w:top w:val="single" w:sz="4" w:space="0" w:color="auto"/>
              <w:left w:val="single" w:sz="4" w:space="0" w:color="auto"/>
              <w:bottom w:val="single" w:sz="4" w:space="0" w:color="auto"/>
              <w:right w:val="single" w:sz="4" w:space="0" w:color="auto"/>
            </w:tcBorders>
            <w:vAlign w:val="center"/>
          </w:tcPr>
          <w:p w14:paraId="4F244FAD" w14:textId="77777777" w:rsidR="00565565" w:rsidRPr="00565565" w:rsidRDefault="00565565" w:rsidP="00565565">
            <w:pPr>
              <w:rPr>
                <w:bCs/>
                <w:lang w:val="sl-SI"/>
              </w:rPr>
            </w:pPr>
            <w:r w:rsidRPr="00565565">
              <w:rPr>
                <w:bCs/>
                <w:lang w:val="sl-SI"/>
              </w:rPr>
              <w:t>Predvideno povečanje (+) ali zmanjšanje (</w:t>
            </w:r>
            <w:r w:rsidRPr="00565565">
              <w:rPr>
                <w:b/>
                <w:lang w:val="sl-SI"/>
              </w:rPr>
              <w:t>–</w:t>
            </w:r>
            <w:r w:rsidRPr="00565565">
              <w:rPr>
                <w:bCs/>
                <w:lang w:val="sl-SI"/>
              </w:rPr>
              <w:t>) obveznosti za druga javnofinančna sredstva</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3F116E00" w14:textId="77777777" w:rsidR="00565565" w:rsidRPr="00565565" w:rsidRDefault="00565565" w:rsidP="00565565">
            <w:pPr>
              <w:rPr>
                <w:bCs/>
                <w:iCs/>
                <w:lang w:val="sl-SI"/>
              </w:rPr>
            </w:pPr>
          </w:p>
        </w:tc>
        <w:tc>
          <w:tcPr>
            <w:tcW w:w="795" w:type="dxa"/>
            <w:tcBorders>
              <w:top w:val="single" w:sz="4" w:space="0" w:color="auto"/>
              <w:left w:val="single" w:sz="4" w:space="0" w:color="auto"/>
              <w:bottom w:val="single" w:sz="4" w:space="0" w:color="auto"/>
              <w:right w:val="single" w:sz="4" w:space="0" w:color="auto"/>
            </w:tcBorders>
            <w:vAlign w:val="center"/>
          </w:tcPr>
          <w:p w14:paraId="1AB5BAC9" w14:textId="77777777" w:rsidR="00565565" w:rsidRPr="00565565" w:rsidRDefault="00565565" w:rsidP="00565565">
            <w:pPr>
              <w:rPr>
                <w:bCs/>
                <w:iCs/>
                <w:lang w:val="sl-SI"/>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48CB811E" w14:textId="77777777" w:rsidR="00565565" w:rsidRPr="00565565" w:rsidRDefault="00565565" w:rsidP="00565565">
            <w:pPr>
              <w:rPr>
                <w:bCs/>
                <w:iCs/>
                <w:lang w:val="sl-SI"/>
              </w:rPr>
            </w:pPr>
          </w:p>
        </w:tc>
        <w:tc>
          <w:tcPr>
            <w:tcW w:w="1560" w:type="dxa"/>
            <w:tcBorders>
              <w:top w:val="single" w:sz="4" w:space="0" w:color="auto"/>
              <w:left w:val="single" w:sz="4" w:space="0" w:color="auto"/>
              <w:bottom w:val="single" w:sz="4" w:space="0" w:color="auto"/>
              <w:right w:val="single" w:sz="4" w:space="0" w:color="auto"/>
            </w:tcBorders>
            <w:vAlign w:val="center"/>
          </w:tcPr>
          <w:p w14:paraId="42253C68" w14:textId="77777777" w:rsidR="00565565" w:rsidRPr="00565565" w:rsidRDefault="00565565" w:rsidP="00565565">
            <w:pPr>
              <w:rPr>
                <w:bCs/>
                <w:iCs/>
                <w:lang w:val="sl-SI"/>
              </w:rPr>
            </w:pPr>
          </w:p>
        </w:tc>
      </w:tr>
      <w:tr w:rsidR="00565565" w:rsidRPr="00565565" w14:paraId="7F31D256"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485"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361789" w14:textId="77777777" w:rsidR="00565565" w:rsidRPr="00565565" w:rsidRDefault="00565565" w:rsidP="00565565">
            <w:pPr>
              <w:rPr>
                <w:bCs/>
                <w:iCs/>
                <w:lang w:val="sl-SI"/>
              </w:rPr>
            </w:pPr>
            <w:r w:rsidRPr="00565565">
              <w:rPr>
                <w:bCs/>
                <w:iCs/>
                <w:lang w:val="sl-SI"/>
              </w:rPr>
              <w:t>II. Finančne posledice za državni proračun</w:t>
            </w:r>
          </w:p>
        </w:tc>
      </w:tr>
      <w:tr w:rsidR="00565565" w:rsidRPr="00565565" w14:paraId="1C48C3A7"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485"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55F18D7" w14:textId="77777777" w:rsidR="00565565" w:rsidRPr="00565565" w:rsidRDefault="00565565" w:rsidP="00565565">
            <w:pPr>
              <w:rPr>
                <w:bCs/>
                <w:iCs/>
                <w:lang w:val="sl-SI"/>
              </w:rPr>
            </w:pPr>
            <w:r w:rsidRPr="00565565">
              <w:rPr>
                <w:bCs/>
                <w:iCs/>
                <w:lang w:val="sl-SI"/>
              </w:rPr>
              <w:t>II.a Pravice porabe za izvedbo predlaganih rešitev so zagotovljene:</w:t>
            </w:r>
          </w:p>
        </w:tc>
      </w:tr>
      <w:tr w:rsidR="00565565" w:rsidRPr="00565565" w14:paraId="72F133C6"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26" w:type="dxa"/>
            <w:gridSpan w:val="3"/>
            <w:tcBorders>
              <w:top w:val="single" w:sz="4" w:space="0" w:color="auto"/>
              <w:left w:val="single" w:sz="4" w:space="0" w:color="auto"/>
              <w:bottom w:val="single" w:sz="4" w:space="0" w:color="auto"/>
              <w:right w:val="single" w:sz="4" w:space="0" w:color="auto"/>
            </w:tcBorders>
            <w:vAlign w:val="center"/>
          </w:tcPr>
          <w:p w14:paraId="2E86A573" w14:textId="77777777" w:rsidR="00565565" w:rsidRPr="00565565" w:rsidRDefault="00565565" w:rsidP="00565565">
            <w:pPr>
              <w:rPr>
                <w:lang w:val="sl-SI"/>
              </w:rPr>
            </w:pPr>
            <w:r w:rsidRPr="00565565">
              <w:rPr>
                <w:lang w:val="sl-SI"/>
              </w:rPr>
              <w:t xml:space="preserve">Ime proračunskega uporabnika </w:t>
            </w:r>
          </w:p>
        </w:tc>
        <w:tc>
          <w:tcPr>
            <w:tcW w:w="2627" w:type="dxa"/>
            <w:gridSpan w:val="2"/>
            <w:tcBorders>
              <w:top w:val="single" w:sz="4" w:space="0" w:color="auto"/>
              <w:left w:val="single" w:sz="4" w:space="0" w:color="auto"/>
              <w:bottom w:val="single" w:sz="4" w:space="0" w:color="auto"/>
              <w:right w:val="single" w:sz="4" w:space="0" w:color="auto"/>
            </w:tcBorders>
            <w:vAlign w:val="center"/>
          </w:tcPr>
          <w:p w14:paraId="7E860710" w14:textId="77777777" w:rsidR="00565565" w:rsidRPr="00565565" w:rsidRDefault="00565565" w:rsidP="00565565">
            <w:pPr>
              <w:rPr>
                <w:lang w:val="sl-SI"/>
              </w:rPr>
            </w:pPr>
            <w:r w:rsidRPr="00565565">
              <w:rPr>
                <w:lang w:val="sl-SI"/>
              </w:rPr>
              <w:t>Šifra in naziv ukrepa, projekta</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76C9EC4B" w14:textId="77777777" w:rsidR="00565565" w:rsidRPr="00565565" w:rsidRDefault="00565565" w:rsidP="00565565">
            <w:pPr>
              <w:rPr>
                <w:lang w:val="sl-SI"/>
              </w:rPr>
            </w:pPr>
            <w:r w:rsidRPr="00565565">
              <w:rPr>
                <w:lang w:val="sl-SI"/>
              </w:rPr>
              <w:t>Šifra in naziv proračunske postavke</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3B7AE046" w14:textId="77777777" w:rsidR="00565565" w:rsidRPr="00565565" w:rsidRDefault="00565565" w:rsidP="00565565">
            <w:pPr>
              <w:rPr>
                <w:lang w:val="sl-SI"/>
              </w:rPr>
            </w:pPr>
            <w:r w:rsidRPr="00565565">
              <w:rPr>
                <w:lang w:val="sl-SI"/>
              </w:rPr>
              <w:t>Znesek za tekoče leto (t)</w:t>
            </w:r>
          </w:p>
        </w:tc>
        <w:tc>
          <w:tcPr>
            <w:tcW w:w="1560" w:type="dxa"/>
            <w:tcBorders>
              <w:top w:val="single" w:sz="4" w:space="0" w:color="auto"/>
              <w:left w:val="single" w:sz="4" w:space="0" w:color="auto"/>
              <w:bottom w:val="single" w:sz="4" w:space="0" w:color="auto"/>
              <w:right w:val="single" w:sz="4" w:space="0" w:color="auto"/>
            </w:tcBorders>
            <w:vAlign w:val="center"/>
          </w:tcPr>
          <w:p w14:paraId="73FAADFA" w14:textId="77777777" w:rsidR="00565565" w:rsidRPr="00565565" w:rsidRDefault="00565565" w:rsidP="00565565">
            <w:pPr>
              <w:rPr>
                <w:lang w:val="sl-SI"/>
              </w:rPr>
            </w:pPr>
            <w:r w:rsidRPr="00565565">
              <w:rPr>
                <w:lang w:val="sl-SI"/>
              </w:rPr>
              <w:t>Znesek za t + 1</w:t>
            </w:r>
          </w:p>
        </w:tc>
      </w:tr>
      <w:tr w:rsidR="00565565" w:rsidRPr="00565565" w14:paraId="6CE7B31A"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26" w:type="dxa"/>
            <w:gridSpan w:val="3"/>
            <w:tcBorders>
              <w:top w:val="single" w:sz="4" w:space="0" w:color="auto"/>
              <w:left w:val="single" w:sz="4" w:space="0" w:color="auto"/>
              <w:bottom w:val="single" w:sz="4" w:space="0" w:color="auto"/>
              <w:right w:val="single" w:sz="4" w:space="0" w:color="auto"/>
            </w:tcBorders>
            <w:vAlign w:val="center"/>
          </w:tcPr>
          <w:p w14:paraId="2A5C18C2" w14:textId="77777777" w:rsidR="00565565" w:rsidRPr="00565565" w:rsidRDefault="00565565" w:rsidP="00565565">
            <w:pPr>
              <w:rPr>
                <w:bCs/>
                <w:iCs/>
                <w:lang w:val="sl-SI"/>
              </w:rPr>
            </w:pPr>
            <w:r w:rsidRPr="00565565">
              <w:rPr>
                <w:bCs/>
                <w:iCs/>
                <w:lang w:val="sl-SI"/>
              </w:rPr>
              <w:t>MSP</w:t>
            </w:r>
          </w:p>
        </w:tc>
        <w:tc>
          <w:tcPr>
            <w:tcW w:w="2627" w:type="dxa"/>
            <w:gridSpan w:val="2"/>
            <w:tcBorders>
              <w:top w:val="single" w:sz="4" w:space="0" w:color="auto"/>
              <w:left w:val="single" w:sz="4" w:space="0" w:color="auto"/>
              <w:bottom w:val="single" w:sz="4" w:space="0" w:color="auto"/>
              <w:right w:val="single" w:sz="4" w:space="0" w:color="auto"/>
            </w:tcBorders>
            <w:vAlign w:val="center"/>
          </w:tcPr>
          <w:p w14:paraId="2A2E9E9F" w14:textId="77777777" w:rsidR="00565565" w:rsidRPr="00565565" w:rsidRDefault="00565565" w:rsidP="00565565">
            <w:pPr>
              <w:rPr>
                <w:bCs/>
                <w:iCs/>
                <w:lang w:val="sl-SI"/>
              </w:rPr>
            </w:pPr>
            <w:r w:rsidRPr="00565565">
              <w:rPr>
                <w:bCs/>
                <w:iCs/>
                <w:lang w:val="sl-SI"/>
              </w:rPr>
              <w:t>2611-22-0924 – Gradnja objekta Doma starejših občanov »Jezerca« Bovec</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598812ED" w14:textId="77777777" w:rsidR="00565565" w:rsidRPr="00565565" w:rsidRDefault="00565565" w:rsidP="00565565">
            <w:pPr>
              <w:rPr>
                <w:bCs/>
                <w:iCs/>
                <w:lang w:val="sl-SI"/>
              </w:rPr>
            </w:pPr>
            <w:r w:rsidRPr="00565565">
              <w:rPr>
                <w:bCs/>
                <w:iCs/>
                <w:lang w:val="sl-SI"/>
              </w:rPr>
              <w:t xml:space="preserve">231839 - </w:t>
            </w:r>
          </w:p>
          <w:p w14:paraId="544AEDC8" w14:textId="77777777" w:rsidR="00565565" w:rsidRPr="00565565" w:rsidRDefault="00565565" w:rsidP="00565565">
            <w:pPr>
              <w:rPr>
                <w:lang w:val="sl-SI"/>
              </w:rPr>
            </w:pPr>
            <w:r w:rsidRPr="00565565">
              <w:rPr>
                <w:lang w:val="sl-SI"/>
              </w:rPr>
              <w:t>Program mreže domov za starostnike</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5990E9C5" w14:textId="77777777" w:rsidR="00565565" w:rsidRPr="00565565" w:rsidRDefault="00565565" w:rsidP="00565565">
            <w:pPr>
              <w:rPr>
                <w:bCs/>
                <w:iCs/>
                <w:lang w:val="sl-SI"/>
              </w:rPr>
            </w:pPr>
            <w:r w:rsidRPr="00565565">
              <w:rPr>
                <w:bCs/>
                <w:iCs/>
                <w:lang w:val="sl-SI"/>
              </w:rPr>
              <w:t xml:space="preserve">             0</w:t>
            </w:r>
          </w:p>
        </w:tc>
        <w:tc>
          <w:tcPr>
            <w:tcW w:w="1560" w:type="dxa"/>
            <w:tcBorders>
              <w:top w:val="single" w:sz="4" w:space="0" w:color="auto"/>
              <w:left w:val="single" w:sz="4" w:space="0" w:color="auto"/>
              <w:bottom w:val="single" w:sz="4" w:space="0" w:color="auto"/>
              <w:right w:val="single" w:sz="4" w:space="0" w:color="auto"/>
            </w:tcBorders>
            <w:vAlign w:val="center"/>
          </w:tcPr>
          <w:p w14:paraId="27651BC9" w14:textId="77777777" w:rsidR="00565565" w:rsidRPr="00565565" w:rsidRDefault="00565565" w:rsidP="00565565">
            <w:pPr>
              <w:rPr>
                <w:bCs/>
                <w:iCs/>
                <w:lang w:val="sl-SI"/>
              </w:rPr>
            </w:pPr>
            <w:r w:rsidRPr="00565565">
              <w:rPr>
                <w:bCs/>
                <w:iCs/>
                <w:lang w:val="sl-SI"/>
              </w:rPr>
              <w:t xml:space="preserve">           0</w:t>
            </w:r>
          </w:p>
        </w:tc>
      </w:tr>
      <w:tr w:rsidR="00565565" w:rsidRPr="00565565" w14:paraId="16B55DFD"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083" w:type="dxa"/>
            <w:gridSpan w:val="7"/>
            <w:tcBorders>
              <w:top w:val="single" w:sz="4" w:space="0" w:color="auto"/>
              <w:left w:val="single" w:sz="4" w:space="0" w:color="auto"/>
              <w:bottom w:val="single" w:sz="4" w:space="0" w:color="auto"/>
              <w:right w:val="single" w:sz="4" w:space="0" w:color="auto"/>
            </w:tcBorders>
            <w:vAlign w:val="center"/>
          </w:tcPr>
          <w:p w14:paraId="0FCED86C" w14:textId="77777777" w:rsidR="00565565" w:rsidRPr="00565565" w:rsidRDefault="00565565" w:rsidP="00565565">
            <w:pPr>
              <w:rPr>
                <w:bCs/>
                <w:iCs/>
                <w:lang w:val="sl-SI"/>
              </w:rPr>
            </w:pPr>
            <w:r w:rsidRPr="00565565">
              <w:rPr>
                <w:bCs/>
                <w:iCs/>
                <w:lang w:val="sl-SI"/>
              </w:rPr>
              <w:t>SKUPAJ</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0D5150F9" w14:textId="77777777" w:rsidR="00565565" w:rsidRPr="00565565" w:rsidRDefault="00565565" w:rsidP="00565565">
            <w:pPr>
              <w:rPr>
                <w:b/>
                <w:lang w:val="sl-SI"/>
              </w:rPr>
            </w:pPr>
            <w:r w:rsidRPr="00565565">
              <w:rPr>
                <w:b/>
                <w:lang w:val="sl-SI"/>
              </w:rPr>
              <w:t xml:space="preserve">            0</w:t>
            </w:r>
          </w:p>
        </w:tc>
        <w:tc>
          <w:tcPr>
            <w:tcW w:w="1560" w:type="dxa"/>
            <w:tcBorders>
              <w:top w:val="single" w:sz="4" w:space="0" w:color="auto"/>
              <w:left w:val="single" w:sz="4" w:space="0" w:color="auto"/>
              <w:bottom w:val="single" w:sz="4" w:space="0" w:color="auto"/>
              <w:right w:val="single" w:sz="4" w:space="0" w:color="auto"/>
            </w:tcBorders>
            <w:vAlign w:val="center"/>
          </w:tcPr>
          <w:p w14:paraId="039C1A9B" w14:textId="77777777" w:rsidR="00565565" w:rsidRPr="00565565" w:rsidRDefault="00565565" w:rsidP="00565565">
            <w:pPr>
              <w:rPr>
                <w:b/>
                <w:bCs/>
                <w:iCs/>
                <w:lang w:val="sl-SI"/>
              </w:rPr>
            </w:pPr>
            <w:r w:rsidRPr="00565565">
              <w:rPr>
                <w:b/>
                <w:bCs/>
                <w:iCs/>
                <w:lang w:val="sl-SI"/>
              </w:rPr>
              <w:t xml:space="preserve">           0</w:t>
            </w:r>
          </w:p>
        </w:tc>
      </w:tr>
      <w:tr w:rsidR="00565565" w:rsidRPr="00565565" w14:paraId="1F513951"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485"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6E376CC" w14:textId="77777777" w:rsidR="00565565" w:rsidRPr="00565565" w:rsidRDefault="00565565" w:rsidP="00565565">
            <w:pPr>
              <w:rPr>
                <w:bCs/>
                <w:iCs/>
                <w:lang w:val="sl-SI"/>
              </w:rPr>
            </w:pPr>
            <w:r w:rsidRPr="00565565">
              <w:rPr>
                <w:bCs/>
                <w:iCs/>
                <w:lang w:val="sl-SI"/>
              </w:rPr>
              <w:t>II.b Manjkajoče pravice porabe bodo zagotovljene s prerazporeditvijo:</w:t>
            </w:r>
          </w:p>
        </w:tc>
      </w:tr>
      <w:tr w:rsidR="00565565" w:rsidRPr="00565565" w14:paraId="1A1BEE8F"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26" w:type="dxa"/>
            <w:gridSpan w:val="3"/>
            <w:tcBorders>
              <w:top w:val="single" w:sz="4" w:space="0" w:color="auto"/>
              <w:left w:val="single" w:sz="4" w:space="0" w:color="auto"/>
              <w:bottom w:val="single" w:sz="4" w:space="0" w:color="auto"/>
              <w:right w:val="single" w:sz="4" w:space="0" w:color="auto"/>
            </w:tcBorders>
            <w:vAlign w:val="center"/>
          </w:tcPr>
          <w:p w14:paraId="0A109DAA" w14:textId="77777777" w:rsidR="00565565" w:rsidRPr="00565565" w:rsidRDefault="00565565" w:rsidP="00565565">
            <w:pPr>
              <w:rPr>
                <w:lang w:val="sl-SI"/>
              </w:rPr>
            </w:pPr>
            <w:r w:rsidRPr="00565565">
              <w:rPr>
                <w:lang w:val="sl-SI"/>
              </w:rPr>
              <w:t xml:space="preserve">Ime proračunskega uporabnika </w:t>
            </w:r>
          </w:p>
        </w:tc>
        <w:tc>
          <w:tcPr>
            <w:tcW w:w="2627" w:type="dxa"/>
            <w:gridSpan w:val="2"/>
            <w:tcBorders>
              <w:top w:val="single" w:sz="4" w:space="0" w:color="auto"/>
              <w:left w:val="single" w:sz="4" w:space="0" w:color="auto"/>
              <w:bottom w:val="single" w:sz="4" w:space="0" w:color="auto"/>
              <w:right w:val="single" w:sz="4" w:space="0" w:color="auto"/>
            </w:tcBorders>
            <w:vAlign w:val="center"/>
          </w:tcPr>
          <w:p w14:paraId="3A7D2FF1" w14:textId="77777777" w:rsidR="00565565" w:rsidRPr="00565565" w:rsidRDefault="00565565" w:rsidP="00565565">
            <w:pPr>
              <w:rPr>
                <w:lang w:val="sl-SI"/>
              </w:rPr>
            </w:pPr>
            <w:r w:rsidRPr="00565565">
              <w:rPr>
                <w:lang w:val="sl-SI"/>
              </w:rPr>
              <w:t>Šifra in naziv ukrepa, projekta</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6FA4F854" w14:textId="77777777" w:rsidR="00565565" w:rsidRPr="00565565" w:rsidRDefault="00565565" w:rsidP="00565565">
            <w:pPr>
              <w:rPr>
                <w:lang w:val="sl-SI"/>
              </w:rPr>
            </w:pPr>
            <w:r w:rsidRPr="00565565">
              <w:rPr>
                <w:lang w:val="sl-SI"/>
              </w:rPr>
              <w:t xml:space="preserve">Šifra in naziv proračunske postavke </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26D7AF2B" w14:textId="77777777" w:rsidR="00565565" w:rsidRPr="00565565" w:rsidRDefault="00565565" w:rsidP="00565565">
            <w:pPr>
              <w:rPr>
                <w:lang w:val="sl-SI"/>
              </w:rPr>
            </w:pPr>
            <w:r w:rsidRPr="00565565">
              <w:rPr>
                <w:lang w:val="sl-SI"/>
              </w:rPr>
              <w:t>Znesek za tekoče leto (t)</w:t>
            </w:r>
          </w:p>
        </w:tc>
        <w:tc>
          <w:tcPr>
            <w:tcW w:w="1560" w:type="dxa"/>
            <w:tcBorders>
              <w:top w:val="single" w:sz="4" w:space="0" w:color="auto"/>
              <w:left w:val="single" w:sz="4" w:space="0" w:color="auto"/>
              <w:bottom w:val="single" w:sz="4" w:space="0" w:color="auto"/>
              <w:right w:val="single" w:sz="4" w:space="0" w:color="auto"/>
            </w:tcBorders>
            <w:vAlign w:val="center"/>
          </w:tcPr>
          <w:p w14:paraId="3B67D9D1" w14:textId="77777777" w:rsidR="00565565" w:rsidRPr="00565565" w:rsidRDefault="00565565" w:rsidP="00565565">
            <w:pPr>
              <w:rPr>
                <w:lang w:val="sl-SI"/>
              </w:rPr>
            </w:pPr>
            <w:r w:rsidRPr="00565565">
              <w:rPr>
                <w:lang w:val="sl-SI"/>
              </w:rPr>
              <w:t xml:space="preserve">Znesek za t + 1 </w:t>
            </w:r>
          </w:p>
        </w:tc>
      </w:tr>
      <w:tr w:rsidR="00565565" w:rsidRPr="00565565" w14:paraId="2897952C"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26" w:type="dxa"/>
            <w:gridSpan w:val="3"/>
            <w:tcBorders>
              <w:top w:val="single" w:sz="4" w:space="0" w:color="auto"/>
              <w:left w:val="single" w:sz="4" w:space="0" w:color="auto"/>
              <w:bottom w:val="single" w:sz="4" w:space="0" w:color="auto"/>
              <w:right w:val="single" w:sz="4" w:space="0" w:color="auto"/>
            </w:tcBorders>
            <w:vAlign w:val="center"/>
          </w:tcPr>
          <w:p w14:paraId="3C9BB04D" w14:textId="77777777" w:rsidR="00565565" w:rsidRPr="00565565" w:rsidRDefault="00565565" w:rsidP="00565565">
            <w:pPr>
              <w:rPr>
                <w:bCs/>
                <w:iCs/>
                <w:lang w:val="sl-SI"/>
              </w:rPr>
            </w:pPr>
            <w:r w:rsidRPr="00565565">
              <w:rPr>
                <w:bCs/>
                <w:iCs/>
                <w:lang w:val="sl-SI"/>
              </w:rPr>
              <w:t>MSP</w:t>
            </w:r>
          </w:p>
        </w:tc>
        <w:tc>
          <w:tcPr>
            <w:tcW w:w="2627" w:type="dxa"/>
            <w:gridSpan w:val="2"/>
            <w:tcBorders>
              <w:top w:val="single" w:sz="4" w:space="0" w:color="auto"/>
              <w:left w:val="single" w:sz="4" w:space="0" w:color="auto"/>
              <w:bottom w:val="single" w:sz="4" w:space="0" w:color="auto"/>
              <w:right w:val="single" w:sz="4" w:space="0" w:color="auto"/>
            </w:tcBorders>
            <w:vAlign w:val="center"/>
          </w:tcPr>
          <w:p w14:paraId="3BC75755" w14:textId="77777777" w:rsidR="00565565" w:rsidRPr="00565565" w:rsidRDefault="00565565" w:rsidP="00565565">
            <w:pPr>
              <w:rPr>
                <w:bCs/>
                <w:iCs/>
                <w:lang w:val="sl-SI"/>
              </w:rPr>
            </w:pPr>
            <w:r w:rsidRPr="00565565">
              <w:rPr>
                <w:bCs/>
                <w:iCs/>
                <w:lang w:val="sl-SI"/>
              </w:rPr>
              <w:t>2611-13-0002 Novogradnje, adaptacije, rekonstrukcije, oprema domov za starostnike in SV zavode</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696E3E27" w14:textId="77777777" w:rsidR="00565565" w:rsidRPr="00565565" w:rsidRDefault="00565565" w:rsidP="00565565">
            <w:pPr>
              <w:rPr>
                <w:bCs/>
                <w:iCs/>
                <w:lang w:val="sl-SI"/>
              </w:rPr>
            </w:pPr>
            <w:r w:rsidRPr="00565565">
              <w:rPr>
                <w:bCs/>
                <w:iCs/>
                <w:lang w:val="sl-SI"/>
              </w:rPr>
              <w:t>231839 -</w:t>
            </w:r>
          </w:p>
          <w:p w14:paraId="45535C0C" w14:textId="77777777" w:rsidR="00565565" w:rsidRPr="00565565" w:rsidRDefault="00565565" w:rsidP="00565565">
            <w:pPr>
              <w:rPr>
                <w:bCs/>
                <w:iCs/>
                <w:lang w:val="sl-SI"/>
              </w:rPr>
            </w:pPr>
            <w:r w:rsidRPr="00565565">
              <w:rPr>
                <w:bCs/>
                <w:iCs/>
                <w:lang w:val="x-none"/>
              </w:rPr>
              <w:t>Program mreže domov za starostnike</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29FF1832" w14:textId="77777777" w:rsidR="00565565" w:rsidRPr="00565565" w:rsidRDefault="00565565" w:rsidP="00565565">
            <w:pPr>
              <w:rPr>
                <w:bCs/>
                <w:iCs/>
                <w:lang w:val="sl-SI"/>
              </w:rPr>
            </w:pPr>
            <w:r w:rsidRPr="00565565">
              <w:rPr>
                <w:bCs/>
                <w:iCs/>
                <w:lang w:val="sl-SI"/>
              </w:rPr>
              <w:t xml:space="preserve">   </w:t>
            </w:r>
            <w:r w:rsidRPr="00565565">
              <w:rPr>
                <w:bCs/>
                <w:lang w:val="sl-SI"/>
              </w:rPr>
              <w:t>2.729.307,63</w:t>
            </w:r>
          </w:p>
        </w:tc>
        <w:tc>
          <w:tcPr>
            <w:tcW w:w="1560" w:type="dxa"/>
            <w:tcBorders>
              <w:top w:val="single" w:sz="4" w:space="0" w:color="auto"/>
              <w:left w:val="single" w:sz="4" w:space="0" w:color="auto"/>
              <w:bottom w:val="single" w:sz="4" w:space="0" w:color="auto"/>
              <w:right w:val="single" w:sz="4" w:space="0" w:color="auto"/>
            </w:tcBorders>
            <w:vAlign w:val="center"/>
          </w:tcPr>
          <w:p w14:paraId="3A4FF5DB" w14:textId="77777777" w:rsidR="00565565" w:rsidRPr="00565565" w:rsidRDefault="00565565" w:rsidP="00565565">
            <w:pPr>
              <w:rPr>
                <w:bCs/>
                <w:iCs/>
                <w:lang w:val="sl-SI"/>
              </w:rPr>
            </w:pPr>
            <w:r w:rsidRPr="00565565">
              <w:rPr>
                <w:bCs/>
                <w:lang w:val="sl-SI"/>
              </w:rPr>
              <w:t>2.500.000,00</w:t>
            </w:r>
          </w:p>
        </w:tc>
      </w:tr>
      <w:tr w:rsidR="00565565" w:rsidRPr="00565565" w14:paraId="2C9319D4"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26" w:type="dxa"/>
            <w:gridSpan w:val="3"/>
            <w:tcBorders>
              <w:top w:val="single" w:sz="4" w:space="0" w:color="auto"/>
              <w:left w:val="single" w:sz="4" w:space="0" w:color="auto"/>
              <w:bottom w:val="single" w:sz="4" w:space="0" w:color="auto"/>
              <w:right w:val="single" w:sz="4" w:space="0" w:color="auto"/>
            </w:tcBorders>
            <w:vAlign w:val="center"/>
          </w:tcPr>
          <w:p w14:paraId="5A427ED1" w14:textId="77777777" w:rsidR="00565565" w:rsidRPr="00565565" w:rsidRDefault="00565565" w:rsidP="00565565">
            <w:pPr>
              <w:rPr>
                <w:bCs/>
                <w:iCs/>
                <w:lang w:val="sl-SI"/>
              </w:rPr>
            </w:pPr>
          </w:p>
        </w:tc>
        <w:tc>
          <w:tcPr>
            <w:tcW w:w="2627" w:type="dxa"/>
            <w:gridSpan w:val="2"/>
            <w:tcBorders>
              <w:top w:val="single" w:sz="4" w:space="0" w:color="auto"/>
              <w:left w:val="single" w:sz="4" w:space="0" w:color="auto"/>
              <w:bottom w:val="single" w:sz="4" w:space="0" w:color="auto"/>
              <w:right w:val="single" w:sz="4" w:space="0" w:color="auto"/>
            </w:tcBorders>
            <w:vAlign w:val="center"/>
          </w:tcPr>
          <w:p w14:paraId="4407FCDB" w14:textId="77777777" w:rsidR="00565565" w:rsidRPr="00565565" w:rsidRDefault="00565565" w:rsidP="00565565">
            <w:pPr>
              <w:rPr>
                <w:lang w:val="sl-SI"/>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017C2ABD" w14:textId="77777777" w:rsidR="00565565" w:rsidRPr="00565565" w:rsidRDefault="00565565" w:rsidP="00565565">
            <w:pPr>
              <w:rPr>
                <w:bCs/>
                <w:iCs/>
                <w:lang w:val="sl-SI"/>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13804B96" w14:textId="77777777" w:rsidR="00565565" w:rsidRPr="00565565" w:rsidRDefault="00565565" w:rsidP="00565565">
            <w:pPr>
              <w:rPr>
                <w:bCs/>
                <w:iCs/>
                <w:lang w:val="sl-SI"/>
              </w:rPr>
            </w:pPr>
          </w:p>
        </w:tc>
        <w:tc>
          <w:tcPr>
            <w:tcW w:w="1560" w:type="dxa"/>
            <w:tcBorders>
              <w:top w:val="single" w:sz="4" w:space="0" w:color="auto"/>
              <w:left w:val="single" w:sz="4" w:space="0" w:color="auto"/>
              <w:bottom w:val="single" w:sz="4" w:space="0" w:color="auto"/>
              <w:right w:val="single" w:sz="4" w:space="0" w:color="auto"/>
            </w:tcBorders>
            <w:vAlign w:val="center"/>
          </w:tcPr>
          <w:p w14:paraId="3BE07270" w14:textId="77777777" w:rsidR="00565565" w:rsidRPr="00565565" w:rsidRDefault="00565565" w:rsidP="00565565">
            <w:pPr>
              <w:rPr>
                <w:bCs/>
                <w:iCs/>
                <w:lang w:val="sl-SI"/>
              </w:rPr>
            </w:pPr>
          </w:p>
        </w:tc>
      </w:tr>
      <w:tr w:rsidR="00565565" w:rsidRPr="00565565" w14:paraId="04F75604"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083" w:type="dxa"/>
            <w:gridSpan w:val="7"/>
            <w:tcBorders>
              <w:top w:val="single" w:sz="4" w:space="0" w:color="auto"/>
              <w:left w:val="single" w:sz="4" w:space="0" w:color="auto"/>
              <w:bottom w:val="single" w:sz="4" w:space="0" w:color="auto"/>
              <w:right w:val="single" w:sz="4" w:space="0" w:color="auto"/>
            </w:tcBorders>
            <w:vAlign w:val="center"/>
          </w:tcPr>
          <w:p w14:paraId="2252A1CD" w14:textId="77777777" w:rsidR="00565565" w:rsidRPr="00565565" w:rsidRDefault="00565565" w:rsidP="00565565">
            <w:pPr>
              <w:rPr>
                <w:bCs/>
                <w:iCs/>
                <w:lang w:val="sl-SI"/>
              </w:rPr>
            </w:pPr>
            <w:r w:rsidRPr="00565565">
              <w:rPr>
                <w:bCs/>
                <w:iCs/>
                <w:lang w:val="sl-SI"/>
              </w:rPr>
              <w:t>SKUPAJ</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5715E966" w14:textId="77777777" w:rsidR="00565565" w:rsidRPr="00565565" w:rsidRDefault="00565565" w:rsidP="00565565">
            <w:pPr>
              <w:rPr>
                <w:b/>
                <w:bCs/>
                <w:iCs/>
                <w:lang w:val="sl-SI"/>
              </w:rPr>
            </w:pPr>
            <w:r w:rsidRPr="00565565">
              <w:rPr>
                <w:b/>
                <w:bCs/>
                <w:iCs/>
                <w:lang w:val="x-none"/>
              </w:rPr>
              <w:t>2.729.307,63</w:t>
            </w:r>
          </w:p>
        </w:tc>
        <w:tc>
          <w:tcPr>
            <w:tcW w:w="1560" w:type="dxa"/>
            <w:tcBorders>
              <w:top w:val="single" w:sz="4" w:space="0" w:color="auto"/>
              <w:left w:val="single" w:sz="4" w:space="0" w:color="auto"/>
              <w:bottom w:val="single" w:sz="4" w:space="0" w:color="auto"/>
              <w:right w:val="single" w:sz="4" w:space="0" w:color="auto"/>
            </w:tcBorders>
            <w:vAlign w:val="center"/>
          </w:tcPr>
          <w:p w14:paraId="7EA7C32B" w14:textId="77777777" w:rsidR="00565565" w:rsidRPr="00565565" w:rsidRDefault="00565565" w:rsidP="00565565">
            <w:pPr>
              <w:rPr>
                <w:b/>
                <w:bCs/>
                <w:iCs/>
                <w:lang w:val="sl-SI"/>
              </w:rPr>
            </w:pPr>
            <w:r w:rsidRPr="00565565">
              <w:rPr>
                <w:b/>
                <w:bCs/>
                <w:iCs/>
                <w:lang w:val="x-none"/>
              </w:rPr>
              <w:t>2.500.000,00</w:t>
            </w:r>
          </w:p>
        </w:tc>
      </w:tr>
      <w:tr w:rsidR="00565565" w:rsidRPr="00565565" w14:paraId="11992E2C"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485"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FAB81A4" w14:textId="77777777" w:rsidR="00565565" w:rsidRPr="00565565" w:rsidRDefault="00565565" w:rsidP="00565565">
            <w:pPr>
              <w:rPr>
                <w:bCs/>
                <w:iCs/>
                <w:lang w:val="sl-SI"/>
              </w:rPr>
            </w:pPr>
            <w:r w:rsidRPr="00565565">
              <w:rPr>
                <w:bCs/>
                <w:iCs/>
                <w:lang w:val="sl-SI"/>
              </w:rPr>
              <w:t>II.c Načrtovana nadomestitev zmanjšanih prihodkov in povečanih odhodkov proračuna:</w:t>
            </w:r>
          </w:p>
        </w:tc>
      </w:tr>
      <w:tr w:rsidR="00565565" w:rsidRPr="00565565" w14:paraId="736DF2F0"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53" w:type="dxa"/>
            <w:gridSpan w:val="5"/>
            <w:tcBorders>
              <w:top w:val="single" w:sz="4" w:space="0" w:color="auto"/>
              <w:left w:val="single" w:sz="4" w:space="0" w:color="auto"/>
              <w:bottom w:val="single" w:sz="4" w:space="0" w:color="auto"/>
              <w:right w:val="single" w:sz="4" w:space="0" w:color="auto"/>
            </w:tcBorders>
            <w:vAlign w:val="center"/>
          </w:tcPr>
          <w:p w14:paraId="3C8D0D4D" w14:textId="77777777" w:rsidR="00565565" w:rsidRPr="00565565" w:rsidRDefault="00565565" w:rsidP="00565565">
            <w:pPr>
              <w:rPr>
                <w:lang w:val="sl-SI"/>
              </w:rPr>
            </w:pPr>
            <w:r w:rsidRPr="00565565">
              <w:rPr>
                <w:lang w:val="sl-SI"/>
              </w:rPr>
              <w:t>Novi prihodki</w:t>
            </w:r>
          </w:p>
        </w:tc>
        <w:tc>
          <w:tcPr>
            <w:tcW w:w="2740" w:type="dxa"/>
            <w:gridSpan w:val="4"/>
            <w:tcBorders>
              <w:top w:val="single" w:sz="4" w:space="0" w:color="auto"/>
              <w:left w:val="single" w:sz="4" w:space="0" w:color="auto"/>
              <w:bottom w:val="single" w:sz="4" w:space="0" w:color="auto"/>
              <w:right w:val="single" w:sz="4" w:space="0" w:color="auto"/>
            </w:tcBorders>
            <w:vAlign w:val="center"/>
          </w:tcPr>
          <w:p w14:paraId="0A44091C" w14:textId="77777777" w:rsidR="00565565" w:rsidRPr="00565565" w:rsidRDefault="00565565" w:rsidP="00565565">
            <w:pPr>
              <w:rPr>
                <w:lang w:val="sl-SI"/>
              </w:rPr>
            </w:pPr>
            <w:r w:rsidRPr="00565565">
              <w:rPr>
                <w:lang w:val="sl-SI"/>
              </w:rPr>
              <w:t>Znesek za tekoče leto (t)</w:t>
            </w:r>
          </w:p>
        </w:tc>
        <w:tc>
          <w:tcPr>
            <w:tcW w:w="2392" w:type="dxa"/>
            <w:gridSpan w:val="3"/>
            <w:tcBorders>
              <w:top w:val="single" w:sz="4" w:space="0" w:color="auto"/>
              <w:left w:val="single" w:sz="4" w:space="0" w:color="auto"/>
              <w:bottom w:val="single" w:sz="4" w:space="0" w:color="auto"/>
              <w:right w:val="single" w:sz="4" w:space="0" w:color="auto"/>
            </w:tcBorders>
            <w:vAlign w:val="center"/>
          </w:tcPr>
          <w:p w14:paraId="6F1E2B3F" w14:textId="77777777" w:rsidR="00565565" w:rsidRPr="00565565" w:rsidRDefault="00565565" w:rsidP="00565565">
            <w:pPr>
              <w:rPr>
                <w:lang w:val="sl-SI"/>
              </w:rPr>
            </w:pPr>
            <w:r w:rsidRPr="00565565">
              <w:rPr>
                <w:lang w:val="sl-SI"/>
              </w:rPr>
              <w:t>Znesek za t + 1</w:t>
            </w:r>
          </w:p>
        </w:tc>
      </w:tr>
      <w:tr w:rsidR="00565565" w:rsidRPr="00565565" w14:paraId="3E807A3C"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53" w:type="dxa"/>
            <w:gridSpan w:val="5"/>
            <w:tcBorders>
              <w:top w:val="single" w:sz="4" w:space="0" w:color="auto"/>
              <w:left w:val="single" w:sz="4" w:space="0" w:color="auto"/>
              <w:bottom w:val="single" w:sz="4" w:space="0" w:color="auto"/>
              <w:right w:val="single" w:sz="4" w:space="0" w:color="auto"/>
            </w:tcBorders>
            <w:vAlign w:val="center"/>
          </w:tcPr>
          <w:p w14:paraId="5C0DE67C" w14:textId="77777777" w:rsidR="00565565" w:rsidRPr="00565565" w:rsidRDefault="00565565" w:rsidP="00565565">
            <w:pPr>
              <w:rPr>
                <w:bCs/>
                <w:iCs/>
                <w:lang w:val="sl-SI"/>
              </w:rPr>
            </w:pPr>
          </w:p>
        </w:tc>
        <w:tc>
          <w:tcPr>
            <w:tcW w:w="2740" w:type="dxa"/>
            <w:gridSpan w:val="4"/>
            <w:tcBorders>
              <w:top w:val="single" w:sz="4" w:space="0" w:color="auto"/>
              <w:left w:val="single" w:sz="4" w:space="0" w:color="auto"/>
              <w:bottom w:val="single" w:sz="4" w:space="0" w:color="auto"/>
              <w:right w:val="single" w:sz="4" w:space="0" w:color="auto"/>
            </w:tcBorders>
            <w:vAlign w:val="center"/>
          </w:tcPr>
          <w:p w14:paraId="1C500249" w14:textId="77777777" w:rsidR="00565565" w:rsidRPr="00565565" w:rsidRDefault="00565565" w:rsidP="00565565">
            <w:pPr>
              <w:rPr>
                <w:bCs/>
                <w:iCs/>
                <w:lang w:val="sl-SI"/>
              </w:rPr>
            </w:pPr>
          </w:p>
        </w:tc>
        <w:tc>
          <w:tcPr>
            <w:tcW w:w="2392" w:type="dxa"/>
            <w:gridSpan w:val="3"/>
            <w:tcBorders>
              <w:top w:val="single" w:sz="4" w:space="0" w:color="auto"/>
              <w:left w:val="single" w:sz="4" w:space="0" w:color="auto"/>
              <w:bottom w:val="single" w:sz="4" w:space="0" w:color="auto"/>
              <w:right w:val="single" w:sz="4" w:space="0" w:color="auto"/>
            </w:tcBorders>
            <w:vAlign w:val="center"/>
          </w:tcPr>
          <w:p w14:paraId="447458D3" w14:textId="77777777" w:rsidR="00565565" w:rsidRPr="00565565" w:rsidRDefault="00565565" w:rsidP="00565565">
            <w:pPr>
              <w:rPr>
                <w:bCs/>
                <w:iCs/>
                <w:lang w:val="sl-SI"/>
              </w:rPr>
            </w:pPr>
          </w:p>
        </w:tc>
      </w:tr>
      <w:tr w:rsidR="00565565" w:rsidRPr="00565565" w14:paraId="50E03589" w14:textId="77777777" w:rsidTr="00631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53" w:type="dxa"/>
            <w:gridSpan w:val="5"/>
            <w:tcBorders>
              <w:top w:val="single" w:sz="4" w:space="0" w:color="auto"/>
              <w:left w:val="single" w:sz="4" w:space="0" w:color="auto"/>
              <w:bottom w:val="single" w:sz="4" w:space="0" w:color="auto"/>
              <w:right w:val="single" w:sz="4" w:space="0" w:color="auto"/>
            </w:tcBorders>
            <w:vAlign w:val="center"/>
          </w:tcPr>
          <w:p w14:paraId="61DE12A2" w14:textId="77777777" w:rsidR="00565565" w:rsidRPr="00565565" w:rsidRDefault="00565565" w:rsidP="00565565">
            <w:pPr>
              <w:rPr>
                <w:bCs/>
                <w:iCs/>
                <w:lang w:val="sl-SI"/>
              </w:rPr>
            </w:pPr>
            <w:r w:rsidRPr="00565565">
              <w:rPr>
                <w:bCs/>
                <w:iCs/>
                <w:lang w:val="sl-SI"/>
              </w:rPr>
              <w:t>SKUPAJ</w:t>
            </w:r>
          </w:p>
        </w:tc>
        <w:tc>
          <w:tcPr>
            <w:tcW w:w="2740" w:type="dxa"/>
            <w:gridSpan w:val="4"/>
            <w:tcBorders>
              <w:top w:val="single" w:sz="4" w:space="0" w:color="auto"/>
              <w:left w:val="single" w:sz="4" w:space="0" w:color="auto"/>
              <w:bottom w:val="single" w:sz="4" w:space="0" w:color="auto"/>
              <w:right w:val="single" w:sz="4" w:space="0" w:color="auto"/>
            </w:tcBorders>
            <w:vAlign w:val="center"/>
          </w:tcPr>
          <w:p w14:paraId="1F7DAB98" w14:textId="77777777" w:rsidR="00565565" w:rsidRPr="00565565" w:rsidRDefault="00565565" w:rsidP="00565565">
            <w:pPr>
              <w:rPr>
                <w:bCs/>
                <w:iCs/>
                <w:lang w:val="sl-SI"/>
              </w:rPr>
            </w:pPr>
          </w:p>
        </w:tc>
        <w:tc>
          <w:tcPr>
            <w:tcW w:w="2392" w:type="dxa"/>
            <w:gridSpan w:val="3"/>
            <w:tcBorders>
              <w:top w:val="single" w:sz="4" w:space="0" w:color="auto"/>
              <w:left w:val="single" w:sz="4" w:space="0" w:color="auto"/>
              <w:bottom w:val="single" w:sz="4" w:space="0" w:color="auto"/>
              <w:right w:val="single" w:sz="4" w:space="0" w:color="auto"/>
            </w:tcBorders>
            <w:vAlign w:val="center"/>
          </w:tcPr>
          <w:p w14:paraId="332C986C" w14:textId="77777777" w:rsidR="00565565" w:rsidRPr="00565565" w:rsidRDefault="00565565" w:rsidP="00565565">
            <w:pPr>
              <w:rPr>
                <w:bCs/>
                <w:iCs/>
                <w:lang w:val="sl-SI"/>
              </w:rPr>
            </w:pPr>
          </w:p>
        </w:tc>
      </w:tr>
      <w:tr w:rsidR="00565565" w:rsidRPr="00565565" w14:paraId="41C20F7A" w14:textId="77777777" w:rsidTr="00631F0C">
        <w:trPr>
          <w:trHeight w:val="551"/>
        </w:trPr>
        <w:tc>
          <w:tcPr>
            <w:tcW w:w="9485" w:type="dxa"/>
            <w:gridSpan w:val="12"/>
          </w:tcPr>
          <w:p w14:paraId="44729B7E" w14:textId="77777777" w:rsidR="00565565" w:rsidRPr="00565565" w:rsidRDefault="00565565" w:rsidP="00565565">
            <w:pPr>
              <w:rPr>
                <w:b/>
                <w:lang w:val="sl-SI"/>
              </w:rPr>
            </w:pPr>
            <w:r w:rsidRPr="00565565">
              <w:rPr>
                <w:b/>
                <w:lang w:val="sl-SI"/>
              </w:rPr>
              <w:t>OBRAZLOŽITEV:</w:t>
            </w:r>
          </w:p>
          <w:p w14:paraId="7BC3F8A0" w14:textId="77777777" w:rsidR="00565565" w:rsidRPr="00565565" w:rsidRDefault="00565565" w:rsidP="00565565">
            <w:pPr>
              <w:numPr>
                <w:ilvl w:val="0"/>
                <w:numId w:val="6"/>
              </w:numPr>
              <w:rPr>
                <w:b/>
                <w:lang w:val="sl-SI"/>
              </w:rPr>
            </w:pPr>
            <w:r w:rsidRPr="00565565">
              <w:rPr>
                <w:b/>
                <w:lang w:val="sl-SI"/>
              </w:rPr>
              <w:t>Ocena finančnih posledic, ki niso načrtovane v sprejetem proračunu</w:t>
            </w:r>
          </w:p>
          <w:p w14:paraId="282619BF" w14:textId="77777777" w:rsidR="00565565" w:rsidRPr="00565565" w:rsidRDefault="00565565" w:rsidP="00565565">
            <w:pPr>
              <w:rPr>
                <w:lang w:val="sl-SI"/>
              </w:rPr>
            </w:pPr>
            <w:r w:rsidRPr="00565565">
              <w:rPr>
                <w:lang w:val="sl-SI"/>
              </w:rPr>
              <w:t>V zvezi s predlaganim vladnim gradivom se navedejo predvidene spremembe (povečanje, zmanjšanje):</w:t>
            </w:r>
          </w:p>
          <w:p w14:paraId="58B68588" w14:textId="77777777" w:rsidR="00565565" w:rsidRPr="00565565" w:rsidRDefault="00565565" w:rsidP="00565565">
            <w:pPr>
              <w:numPr>
                <w:ilvl w:val="0"/>
                <w:numId w:val="8"/>
              </w:numPr>
              <w:rPr>
                <w:lang w:val="sl-SI"/>
              </w:rPr>
            </w:pPr>
            <w:r w:rsidRPr="00565565">
              <w:rPr>
                <w:lang w:val="sl-SI"/>
              </w:rPr>
              <w:t>prihodkov državnega proračuna in občinskih proračunov,</w:t>
            </w:r>
          </w:p>
          <w:p w14:paraId="6D2DA7BE" w14:textId="77777777" w:rsidR="00565565" w:rsidRPr="00565565" w:rsidRDefault="00565565" w:rsidP="00565565">
            <w:pPr>
              <w:numPr>
                <w:ilvl w:val="0"/>
                <w:numId w:val="8"/>
              </w:numPr>
              <w:rPr>
                <w:lang w:val="sl-SI"/>
              </w:rPr>
            </w:pPr>
            <w:r w:rsidRPr="00565565">
              <w:rPr>
                <w:lang w:val="sl-SI"/>
              </w:rPr>
              <w:t>odhodkov državnega proračuna, ki niso načrtovani na ukrepih oziroma projektih sprejetih proračunov,</w:t>
            </w:r>
          </w:p>
          <w:p w14:paraId="0B890F19" w14:textId="77777777" w:rsidR="00565565" w:rsidRPr="00565565" w:rsidRDefault="00565565" w:rsidP="00565565">
            <w:pPr>
              <w:numPr>
                <w:ilvl w:val="0"/>
                <w:numId w:val="8"/>
              </w:numPr>
              <w:rPr>
                <w:lang w:val="sl-SI"/>
              </w:rPr>
            </w:pPr>
            <w:r w:rsidRPr="00565565">
              <w:rPr>
                <w:lang w:val="sl-SI"/>
              </w:rPr>
              <w:t>obveznosti za druga javnofinančna sredstva (drugi viri), ki niso načrtovana na ukrepih oziroma projektih sprejetih proračunov.</w:t>
            </w:r>
          </w:p>
          <w:p w14:paraId="2414FB4A" w14:textId="77777777" w:rsidR="00565565" w:rsidRPr="00565565" w:rsidRDefault="00565565" w:rsidP="00565565">
            <w:pPr>
              <w:numPr>
                <w:ilvl w:val="0"/>
                <w:numId w:val="6"/>
              </w:numPr>
              <w:rPr>
                <w:b/>
                <w:lang w:val="sl-SI"/>
              </w:rPr>
            </w:pPr>
            <w:r w:rsidRPr="00565565">
              <w:rPr>
                <w:b/>
                <w:lang w:val="sl-SI"/>
              </w:rPr>
              <w:t>Finančne posledice za državni proračun</w:t>
            </w:r>
          </w:p>
          <w:p w14:paraId="53F90B1E" w14:textId="77777777" w:rsidR="00565565" w:rsidRPr="00565565" w:rsidRDefault="00565565" w:rsidP="00565565">
            <w:pPr>
              <w:rPr>
                <w:lang w:val="sl-SI"/>
              </w:rPr>
            </w:pPr>
            <w:r w:rsidRPr="00565565">
              <w:rPr>
                <w:lang w:val="sl-SI"/>
              </w:rPr>
              <w:t>Prikazane morajo biti finančne posledice za državni proračun, ki so na proračunskih postavkah načrtovane v dinamiki projektov oziroma ukrepov:</w:t>
            </w:r>
          </w:p>
          <w:p w14:paraId="142C5172" w14:textId="77777777" w:rsidR="00565565" w:rsidRPr="00565565" w:rsidRDefault="00565565" w:rsidP="00565565">
            <w:pPr>
              <w:rPr>
                <w:b/>
                <w:lang w:val="sl-SI"/>
              </w:rPr>
            </w:pPr>
            <w:r w:rsidRPr="00565565">
              <w:rPr>
                <w:b/>
                <w:lang w:val="sl-SI"/>
              </w:rPr>
              <w:t>II.a Pravice porabe za izvedbo predlaganih rešitev so zagotovljene:</w:t>
            </w:r>
          </w:p>
          <w:p w14:paraId="033D4A33" w14:textId="77777777" w:rsidR="00565565" w:rsidRPr="00565565" w:rsidRDefault="00565565" w:rsidP="00565565">
            <w:pPr>
              <w:rPr>
                <w:lang w:val="sl-SI"/>
              </w:rPr>
            </w:pPr>
            <w:r w:rsidRPr="00565565">
              <w:rPr>
                <w:lang w:val="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1543A73" w14:textId="77777777" w:rsidR="00565565" w:rsidRPr="00565565" w:rsidRDefault="00565565" w:rsidP="00565565">
            <w:pPr>
              <w:numPr>
                <w:ilvl w:val="0"/>
                <w:numId w:val="9"/>
              </w:numPr>
              <w:rPr>
                <w:lang w:val="sl-SI"/>
              </w:rPr>
            </w:pPr>
            <w:r w:rsidRPr="00565565">
              <w:rPr>
                <w:lang w:val="sl-SI"/>
              </w:rPr>
              <w:t>proračunski uporabnik, ki bo financiral novi projekt oziroma ukrep,</w:t>
            </w:r>
          </w:p>
          <w:p w14:paraId="77534942" w14:textId="77777777" w:rsidR="00565565" w:rsidRPr="00565565" w:rsidRDefault="00565565" w:rsidP="00565565">
            <w:pPr>
              <w:numPr>
                <w:ilvl w:val="0"/>
                <w:numId w:val="9"/>
              </w:numPr>
              <w:rPr>
                <w:lang w:val="sl-SI"/>
              </w:rPr>
            </w:pPr>
            <w:r w:rsidRPr="00565565">
              <w:rPr>
                <w:lang w:val="sl-SI"/>
              </w:rPr>
              <w:t xml:space="preserve">projekt oziroma ukrep, s katerim se bodo dosegli cilji vladnega gradiva, in </w:t>
            </w:r>
          </w:p>
          <w:p w14:paraId="512E6701" w14:textId="77777777" w:rsidR="00565565" w:rsidRPr="00565565" w:rsidRDefault="00565565" w:rsidP="00565565">
            <w:pPr>
              <w:numPr>
                <w:ilvl w:val="0"/>
                <w:numId w:val="9"/>
              </w:numPr>
              <w:rPr>
                <w:lang w:val="sl-SI"/>
              </w:rPr>
            </w:pPr>
            <w:r w:rsidRPr="00565565">
              <w:rPr>
                <w:lang w:val="sl-SI"/>
              </w:rPr>
              <w:t>proračunske postavke.</w:t>
            </w:r>
          </w:p>
          <w:p w14:paraId="7C327F48" w14:textId="77777777" w:rsidR="00565565" w:rsidRPr="00565565" w:rsidRDefault="00565565" w:rsidP="00565565">
            <w:pPr>
              <w:rPr>
                <w:lang w:val="sl-SI"/>
              </w:rPr>
            </w:pPr>
            <w:r w:rsidRPr="00565565">
              <w:rPr>
                <w:lang w:val="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849D8E7" w14:textId="77777777" w:rsidR="00565565" w:rsidRPr="00565565" w:rsidRDefault="00565565" w:rsidP="00565565">
            <w:pPr>
              <w:rPr>
                <w:b/>
                <w:lang w:val="sl-SI"/>
              </w:rPr>
            </w:pPr>
            <w:r w:rsidRPr="00565565">
              <w:rPr>
                <w:b/>
                <w:lang w:val="sl-SI"/>
              </w:rPr>
              <w:t>II.b Manjkajoče pravice porabe bodo zagotovljene s prerazporeditvijo:</w:t>
            </w:r>
          </w:p>
          <w:p w14:paraId="0412F78E" w14:textId="77777777" w:rsidR="00565565" w:rsidRPr="00565565" w:rsidRDefault="00565565" w:rsidP="00565565">
            <w:pPr>
              <w:rPr>
                <w:lang w:val="sl-SI"/>
              </w:rPr>
            </w:pPr>
            <w:r w:rsidRPr="00565565">
              <w:rPr>
                <w:lang w:val="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6AFA9B2" w14:textId="77777777" w:rsidR="00565565" w:rsidRPr="00565565" w:rsidRDefault="00565565" w:rsidP="00565565">
            <w:pPr>
              <w:rPr>
                <w:b/>
                <w:lang w:val="sl-SI"/>
              </w:rPr>
            </w:pPr>
            <w:r w:rsidRPr="00565565">
              <w:rPr>
                <w:b/>
                <w:lang w:val="sl-SI"/>
              </w:rPr>
              <w:t>II.c Načrtovana nadomestitev zmanjšanih prihodkov in povečanih odhodkov proračuna:</w:t>
            </w:r>
          </w:p>
          <w:p w14:paraId="7C0E0AD2" w14:textId="77777777" w:rsidR="00565565" w:rsidRPr="00565565" w:rsidRDefault="00565565" w:rsidP="00565565">
            <w:pPr>
              <w:rPr>
                <w:lang w:val="sl-SI"/>
              </w:rPr>
            </w:pPr>
            <w:r w:rsidRPr="00565565">
              <w:rPr>
                <w:lang w:val="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565565" w:rsidRPr="00565565" w14:paraId="78D8F652" w14:textId="77777777" w:rsidTr="00631F0C">
        <w:trPr>
          <w:trHeight w:val="1152"/>
        </w:trPr>
        <w:tc>
          <w:tcPr>
            <w:tcW w:w="9485" w:type="dxa"/>
            <w:gridSpan w:val="12"/>
            <w:tcBorders>
              <w:top w:val="single" w:sz="4" w:space="0" w:color="000000"/>
              <w:left w:val="single" w:sz="4" w:space="0" w:color="000000"/>
              <w:bottom w:val="single" w:sz="4" w:space="0" w:color="000000"/>
              <w:right w:val="single" w:sz="4" w:space="0" w:color="000000"/>
            </w:tcBorders>
          </w:tcPr>
          <w:p w14:paraId="4CD89875" w14:textId="77777777" w:rsidR="00565565" w:rsidRPr="00565565" w:rsidRDefault="00565565" w:rsidP="00565565">
            <w:pPr>
              <w:rPr>
                <w:b/>
                <w:lang w:val="sl-SI"/>
              </w:rPr>
            </w:pPr>
            <w:r w:rsidRPr="00565565">
              <w:rPr>
                <w:b/>
                <w:lang w:val="sl-SI"/>
              </w:rPr>
              <w:t>7.b Predstavitev ocene finančnih posledic pod 40.000 EUR:</w:t>
            </w:r>
          </w:p>
          <w:p w14:paraId="2C5D91E1" w14:textId="77777777" w:rsidR="00565565" w:rsidRPr="00565565" w:rsidRDefault="00565565" w:rsidP="00565565">
            <w:pPr>
              <w:rPr>
                <w:lang w:val="sl-SI"/>
              </w:rPr>
            </w:pPr>
            <w:r w:rsidRPr="00565565">
              <w:rPr>
                <w:lang w:val="sl-SI"/>
              </w:rPr>
              <w:t>(Samo če izberete NE pod točko 6.a.)</w:t>
            </w:r>
          </w:p>
          <w:p w14:paraId="1CB22242" w14:textId="77777777" w:rsidR="00565565" w:rsidRPr="00565565" w:rsidRDefault="00565565" w:rsidP="00565565">
            <w:pPr>
              <w:rPr>
                <w:lang w:val="sl-SI"/>
              </w:rPr>
            </w:pPr>
            <w:r w:rsidRPr="00565565">
              <w:rPr>
                <w:b/>
                <w:lang w:val="sl-SI"/>
              </w:rPr>
              <w:t>Kratka obrazložitev</w:t>
            </w:r>
          </w:p>
        </w:tc>
      </w:tr>
      <w:tr w:rsidR="00565565" w:rsidRPr="00565565" w14:paraId="4BD9A7EB" w14:textId="77777777" w:rsidTr="00631F0C">
        <w:trPr>
          <w:trHeight w:val="371"/>
        </w:trPr>
        <w:tc>
          <w:tcPr>
            <w:tcW w:w="9485" w:type="dxa"/>
            <w:gridSpan w:val="12"/>
            <w:tcBorders>
              <w:top w:val="single" w:sz="4" w:space="0" w:color="000000"/>
              <w:left w:val="single" w:sz="4" w:space="0" w:color="000000"/>
              <w:bottom w:val="single" w:sz="4" w:space="0" w:color="000000"/>
              <w:right w:val="single" w:sz="4" w:space="0" w:color="000000"/>
            </w:tcBorders>
          </w:tcPr>
          <w:p w14:paraId="366E9868" w14:textId="77777777" w:rsidR="00565565" w:rsidRPr="00565565" w:rsidRDefault="00565565" w:rsidP="00565565">
            <w:pPr>
              <w:rPr>
                <w:b/>
                <w:lang w:val="sl-SI"/>
              </w:rPr>
            </w:pPr>
            <w:r w:rsidRPr="00565565">
              <w:rPr>
                <w:b/>
                <w:lang w:val="sl-SI"/>
              </w:rPr>
              <w:t>8. Predstavitev sodelovanja z združenji občin:</w:t>
            </w:r>
          </w:p>
        </w:tc>
      </w:tr>
      <w:tr w:rsidR="00565565" w:rsidRPr="00565565" w14:paraId="13C6517D" w14:textId="77777777" w:rsidTr="00631F0C">
        <w:tc>
          <w:tcPr>
            <w:tcW w:w="7389" w:type="dxa"/>
            <w:gridSpan w:val="10"/>
          </w:tcPr>
          <w:p w14:paraId="780BCFEA" w14:textId="77777777" w:rsidR="00565565" w:rsidRPr="00565565" w:rsidRDefault="00565565" w:rsidP="00565565">
            <w:pPr>
              <w:rPr>
                <w:iCs/>
                <w:lang w:val="sl-SI"/>
              </w:rPr>
            </w:pPr>
            <w:r w:rsidRPr="00565565">
              <w:rPr>
                <w:iCs/>
                <w:lang w:val="sl-SI"/>
              </w:rPr>
              <w:t>Vsebina predloženega gradiva (predpisa) vpliva na:</w:t>
            </w:r>
          </w:p>
          <w:p w14:paraId="78343346" w14:textId="77777777" w:rsidR="00565565" w:rsidRPr="00565565" w:rsidRDefault="00565565" w:rsidP="00565565">
            <w:pPr>
              <w:numPr>
                <w:ilvl w:val="1"/>
                <w:numId w:val="8"/>
              </w:numPr>
              <w:rPr>
                <w:iCs/>
                <w:lang w:val="sl-SI"/>
              </w:rPr>
            </w:pPr>
            <w:r w:rsidRPr="00565565">
              <w:rPr>
                <w:iCs/>
                <w:lang w:val="sl-SI"/>
              </w:rPr>
              <w:t>pristojnosti občin,</w:t>
            </w:r>
          </w:p>
          <w:p w14:paraId="059FFA98" w14:textId="77777777" w:rsidR="00565565" w:rsidRPr="00565565" w:rsidRDefault="00565565" w:rsidP="00565565">
            <w:pPr>
              <w:numPr>
                <w:ilvl w:val="1"/>
                <w:numId w:val="8"/>
              </w:numPr>
              <w:rPr>
                <w:iCs/>
                <w:lang w:val="sl-SI"/>
              </w:rPr>
            </w:pPr>
            <w:r w:rsidRPr="00565565">
              <w:rPr>
                <w:iCs/>
                <w:lang w:val="sl-SI"/>
              </w:rPr>
              <w:t>delovanje občin,</w:t>
            </w:r>
          </w:p>
          <w:p w14:paraId="655D5DED" w14:textId="77777777" w:rsidR="00565565" w:rsidRPr="00565565" w:rsidRDefault="00565565" w:rsidP="00565565">
            <w:pPr>
              <w:numPr>
                <w:ilvl w:val="1"/>
                <w:numId w:val="8"/>
              </w:numPr>
              <w:rPr>
                <w:iCs/>
                <w:lang w:val="sl-SI"/>
              </w:rPr>
            </w:pPr>
            <w:r w:rsidRPr="00565565">
              <w:rPr>
                <w:iCs/>
                <w:lang w:val="sl-SI"/>
              </w:rPr>
              <w:t>financiranje občin.</w:t>
            </w:r>
          </w:p>
        </w:tc>
        <w:tc>
          <w:tcPr>
            <w:tcW w:w="2096" w:type="dxa"/>
            <w:gridSpan w:val="2"/>
          </w:tcPr>
          <w:p w14:paraId="49E93C97" w14:textId="77777777" w:rsidR="00565565" w:rsidRPr="00565565" w:rsidRDefault="00565565" w:rsidP="00565565">
            <w:pPr>
              <w:rPr>
                <w:lang w:val="sl-SI"/>
              </w:rPr>
            </w:pPr>
            <w:r w:rsidRPr="00565565">
              <w:rPr>
                <w:lang w:val="sl-SI"/>
              </w:rPr>
              <w:t>DA/</w:t>
            </w:r>
            <w:r w:rsidRPr="00565565">
              <w:rPr>
                <w:b/>
                <w:lang w:val="sl-SI"/>
              </w:rPr>
              <w:t>NE</w:t>
            </w:r>
          </w:p>
        </w:tc>
      </w:tr>
      <w:tr w:rsidR="00565565" w:rsidRPr="00565565" w14:paraId="3CD0BB25" w14:textId="77777777" w:rsidTr="00631F0C">
        <w:trPr>
          <w:trHeight w:val="274"/>
        </w:trPr>
        <w:tc>
          <w:tcPr>
            <w:tcW w:w="9485" w:type="dxa"/>
            <w:gridSpan w:val="12"/>
          </w:tcPr>
          <w:p w14:paraId="3A30D9B7" w14:textId="77777777" w:rsidR="00565565" w:rsidRPr="00565565" w:rsidRDefault="00565565" w:rsidP="00565565">
            <w:pPr>
              <w:rPr>
                <w:iCs/>
                <w:lang w:val="sl-SI"/>
              </w:rPr>
            </w:pPr>
            <w:r w:rsidRPr="00565565">
              <w:rPr>
                <w:iCs/>
                <w:lang w:val="sl-SI"/>
              </w:rPr>
              <w:t xml:space="preserve">Gradivo (predpis) je bilo poslano v mnenje: </w:t>
            </w:r>
          </w:p>
          <w:p w14:paraId="7F1D08E2" w14:textId="77777777" w:rsidR="00565565" w:rsidRPr="00565565" w:rsidRDefault="00565565" w:rsidP="00565565">
            <w:pPr>
              <w:numPr>
                <w:ilvl w:val="0"/>
                <w:numId w:val="10"/>
              </w:numPr>
              <w:rPr>
                <w:iCs/>
                <w:lang w:val="sl-SI"/>
              </w:rPr>
            </w:pPr>
            <w:r w:rsidRPr="00565565">
              <w:rPr>
                <w:iCs/>
                <w:lang w:val="sl-SI"/>
              </w:rPr>
              <w:t>Skupnosti občin Slovenije SOS: DA/</w:t>
            </w:r>
            <w:r w:rsidRPr="00565565">
              <w:rPr>
                <w:b/>
                <w:iCs/>
                <w:lang w:val="sl-SI"/>
              </w:rPr>
              <w:t>NE</w:t>
            </w:r>
          </w:p>
          <w:p w14:paraId="17EACA47" w14:textId="77777777" w:rsidR="00565565" w:rsidRPr="00565565" w:rsidRDefault="00565565" w:rsidP="00565565">
            <w:pPr>
              <w:numPr>
                <w:ilvl w:val="0"/>
                <w:numId w:val="10"/>
              </w:numPr>
              <w:rPr>
                <w:iCs/>
                <w:lang w:val="sl-SI"/>
              </w:rPr>
            </w:pPr>
            <w:r w:rsidRPr="00565565">
              <w:rPr>
                <w:iCs/>
                <w:lang w:val="sl-SI"/>
              </w:rPr>
              <w:t>Združenju občin Slovenije ZOS: DA/</w:t>
            </w:r>
            <w:r w:rsidRPr="00565565">
              <w:rPr>
                <w:b/>
                <w:iCs/>
                <w:lang w:val="sl-SI"/>
              </w:rPr>
              <w:t>NE</w:t>
            </w:r>
          </w:p>
          <w:p w14:paraId="255EC928" w14:textId="77777777" w:rsidR="00565565" w:rsidRPr="00565565" w:rsidRDefault="00565565" w:rsidP="00565565">
            <w:pPr>
              <w:numPr>
                <w:ilvl w:val="0"/>
                <w:numId w:val="10"/>
              </w:numPr>
              <w:rPr>
                <w:iCs/>
                <w:lang w:val="sl-SI"/>
              </w:rPr>
            </w:pPr>
            <w:r w:rsidRPr="00565565">
              <w:rPr>
                <w:iCs/>
                <w:lang w:val="sl-SI"/>
              </w:rPr>
              <w:t>Združenju mestnih občin Slovenije ZMOS: DA/</w:t>
            </w:r>
            <w:r w:rsidRPr="00565565">
              <w:rPr>
                <w:b/>
                <w:iCs/>
                <w:lang w:val="sl-SI"/>
              </w:rPr>
              <w:t>NE</w:t>
            </w:r>
          </w:p>
          <w:p w14:paraId="4057C252" w14:textId="77777777" w:rsidR="00565565" w:rsidRPr="00565565" w:rsidRDefault="00565565" w:rsidP="00565565">
            <w:pPr>
              <w:rPr>
                <w:iCs/>
                <w:lang w:val="sl-SI"/>
              </w:rPr>
            </w:pPr>
            <w:r w:rsidRPr="00565565">
              <w:rPr>
                <w:iCs/>
                <w:lang w:val="sl-SI"/>
              </w:rPr>
              <w:t>Predlogi in pripombe združenj so bili upoštevani:</w:t>
            </w:r>
          </w:p>
          <w:p w14:paraId="01C6A5E0" w14:textId="77777777" w:rsidR="00565565" w:rsidRPr="00565565" w:rsidRDefault="00565565" w:rsidP="00565565">
            <w:pPr>
              <w:numPr>
                <w:ilvl w:val="0"/>
                <w:numId w:val="11"/>
              </w:numPr>
              <w:rPr>
                <w:iCs/>
                <w:lang w:val="sl-SI"/>
              </w:rPr>
            </w:pPr>
            <w:r w:rsidRPr="00565565">
              <w:rPr>
                <w:iCs/>
                <w:lang w:val="sl-SI"/>
              </w:rPr>
              <w:t>v celoti,</w:t>
            </w:r>
          </w:p>
          <w:p w14:paraId="3CD62CEF" w14:textId="77777777" w:rsidR="00565565" w:rsidRPr="00565565" w:rsidRDefault="00565565" w:rsidP="00565565">
            <w:pPr>
              <w:numPr>
                <w:ilvl w:val="0"/>
                <w:numId w:val="11"/>
              </w:numPr>
              <w:rPr>
                <w:iCs/>
                <w:lang w:val="sl-SI"/>
              </w:rPr>
            </w:pPr>
            <w:r w:rsidRPr="00565565">
              <w:rPr>
                <w:iCs/>
                <w:lang w:val="sl-SI"/>
              </w:rPr>
              <w:t>večinoma,</w:t>
            </w:r>
          </w:p>
          <w:p w14:paraId="7F86AD41" w14:textId="77777777" w:rsidR="00565565" w:rsidRPr="00565565" w:rsidRDefault="00565565" w:rsidP="00565565">
            <w:pPr>
              <w:numPr>
                <w:ilvl w:val="0"/>
                <w:numId w:val="11"/>
              </w:numPr>
              <w:rPr>
                <w:iCs/>
                <w:lang w:val="sl-SI"/>
              </w:rPr>
            </w:pPr>
            <w:r w:rsidRPr="00565565">
              <w:rPr>
                <w:iCs/>
                <w:lang w:val="sl-SI"/>
              </w:rPr>
              <w:t>delno,</w:t>
            </w:r>
          </w:p>
          <w:p w14:paraId="6CB1A50D" w14:textId="77777777" w:rsidR="00565565" w:rsidRPr="00565565" w:rsidRDefault="00565565" w:rsidP="00565565">
            <w:pPr>
              <w:numPr>
                <w:ilvl w:val="0"/>
                <w:numId w:val="11"/>
              </w:numPr>
              <w:rPr>
                <w:iCs/>
                <w:lang w:val="sl-SI"/>
              </w:rPr>
            </w:pPr>
            <w:r w:rsidRPr="00565565">
              <w:rPr>
                <w:iCs/>
                <w:lang w:val="sl-SI"/>
              </w:rPr>
              <w:t>niso bili upoštevani.</w:t>
            </w:r>
          </w:p>
          <w:p w14:paraId="7615C919" w14:textId="77777777" w:rsidR="00565565" w:rsidRPr="00565565" w:rsidRDefault="00565565" w:rsidP="00565565">
            <w:pPr>
              <w:rPr>
                <w:iCs/>
                <w:lang w:val="sl-SI"/>
              </w:rPr>
            </w:pPr>
            <w:r w:rsidRPr="00565565">
              <w:rPr>
                <w:iCs/>
                <w:lang w:val="sl-SI"/>
              </w:rPr>
              <w:t>Bistveni predlogi in pripombe, ki niso bili upoštevani.</w:t>
            </w:r>
          </w:p>
        </w:tc>
      </w:tr>
      <w:tr w:rsidR="00565565" w:rsidRPr="00565565" w14:paraId="0893F867" w14:textId="77777777" w:rsidTr="00631F0C">
        <w:tc>
          <w:tcPr>
            <w:tcW w:w="9485" w:type="dxa"/>
            <w:gridSpan w:val="12"/>
            <w:vAlign w:val="center"/>
          </w:tcPr>
          <w:p w14:paraId="2EA8460C" w14:textId="77777777" w:rsidR="00565565" w:rsidRPr="00565565" w:rsidRDefault="00565565" w:rsidP="00565565">
            <w:pPr>
              <w:rPr>
                <w:b/>
                <w:lang w:val="sl-SI"/>
              </w:rPr>
            </w:pPr>
            <w:r w:rsidRPr="00565565">
              <w:rPr>
                <w:b/>
                <w:lang w:val="sl-SI"/>
              </w:rPr>
              <w:t>9. Predstavitev sodelovanja javnosti:</w:t>
            </w:r>
          </w:p>
        </w:tc>
      </w:tr>
      <w:tr w:rsidR="00565565" w:rsidRPr="00565565" w14:paraId="734A3D5E" w14:textId="77777777" w:rsidTr="00631F0C">
        <w:tc>
          <w:tcPr>
            <w:tcW w:w="7389" w:type="dxa"/>
            <w:gridSpan w:val="10"/>
          </w:tcPr>
          <w:p w14:paraId="2FAD4A2E" w14:textId="77777777" w:rsidR="00565565" w:rsidRPr="00565565" w:rsidRDefault="00565565" w:rsidP="00565565">
            <w:pPr>
              <w:rPr>
                <w:lang w:val="sl-SI"/>
              </w:rPr>
            </w:pPr>
            <w:r w:rsidRPr="00565565">
              <w:rPr>
                <w:iCs/>
                <w:lang w:val="sl-SI"/>
              </w:rPr>
              <w:t>Gradivo je bilo predhodno objavljeno na spletni strani predlagatelja:</w:t>
            </w:r>
          </w:p>
        </w:tc>
        <w:tc>
          <w:tcPr>
            <w:tcW w:w="2096" w:type="dxa"/>
            <w:gridSpan w:val="2"/>
          </w:tcPr>
          <w:p w14:paraId="26039A7C" w14:textId="77777777" w:rsidR="00565565" w:rsidRPr="00565565" w:rsidRDefault="00565565" w:rsidP="00565565">
            <w:pPr>
              <w:rPr>
                <w:iCs/>
                <w:lang w:val="sl-SI"/>
              </w:rPr>
            </w:pPr>
            <w:r w:rsidRPr="00565565">
              <w:rPr>
                <w:lang w:val="sl-SI"/>
              </w:rPr>
              <w:t>DA/</w:t>
            </w:r>
            <w:r w:rsidRPr="00565565">
              <w:rPr>
                <w:b/>
                <w:lang w:val="sl-SI"/>
              </w:rPr>
              <w:t>NE</w:t>
            </w:r>
          </w:p>
        </w:tc>
      </w:tr>
      <w:tr w:rsidR="00565565" w:rsidRPr="00565565" w14:paraId="4EBF25EE" w14:textId="77777777" w:rsidTr="00631F0C">
        <w:tc>
          <w:tcPr>
            <w:tcW w:w="9485" w:type="dxa"/>
            <w:gridSpan w:val="12"/>
          </w:tcPr>
          <w:p w14:paraId="02213371" w14:textId="77777777" w:rsidR="00565565" w:rsidRPr="00565565" w:rsidRDefault="00565565" w:rsidP="00565565">
            <w:pPr>
              <w:rPr>
                <w:iCs/>
                <w:lang w:val="sl-SI"/>
              </w:rPr>
            </w:pPr>
            <w:r w:rsidRPr="00565565">
              <w:rPr>
                <w:iCs/>
                <w:lang w:val="sl-SI"/>
              </w:rPr>
              <w:t>Pri pripravi gradiva sodelovanje javnosti ni potrebno</w:t>
            </w:r>
          </w:p>
        </w:tc>
      </w:tr>
      <w:tr w:rsidR="00565565" w:rsidRPr="00565565" w14:paraId="3D1A0F1F" w14:textId="77777777" w:rsidTr="00631F0C">
        <w:tc>
          <w:tcPr>
            <w:tcW w:w="9485" w:type="dxa"/>
            <w:gridSpan w:val="12"/>
          </w:tcPr>
          <w:p w14:paraId="161EF7ED" w14:textId="77777777" w:rsidR="00565565" w:rsidRPr="00565565" w:rsidRDefault="00565565" w:rsidP="00565565">
            <w:pPr>
              <w:rPr>
                <w:iCs/>
                <w:lang w:val="sl-SI"/>
              </w:rPr>
            </w:pPr>
          </w:p>
        </w:tc>
      </w:tr>
      <w:tr w:rsidR="00565565" w:rsidRPr="00565565" w14:paraId="08EE2DBB" w14:textId="77777777" w:rsidTr="00631F0C">
        <w:tc>
          <w:tcPr>
            <w:tcW w:w="7389" w:type="dxa"/>
            <w:gridSpan w:val="10"/>
            <w:vAlign w:val="center"/>
          </w:tcPr>
          <w:p w14:paraId="2BC2F1CD" w14:textId="77777777" w:rsidR="00565565" w:rsidRPr="00565565" w:rsidRDefault="00565565" w:rsidP="00565565">
            <w:pPr>
              <w:rPr>
                <w:lang w:val="sl-SI"/>
              </w:rPr>
            </w:pPr>
            <w:r w:rsidRPr="00565565">
              <w:rPr>
                <w:b/>
                <w:lang w:val="sl-SI"/>
              </w:rPr>
              <w:t>10. Pri pripravi gradiva so bile upoštevane zahteve iz Resolucije o normativni dejavnosti:</w:t>
            </w:r>
          </w:p>
        </w:tc>
        <w:tc>
          <w:tcPr>
            <w:tcW w:w="2096" w:type="dxa"/>
            <w:gridSpan w:val="2"/>
            <w:vAlign w:val="center"/>
          </w:tcPr>
          <w:p w14:paraId="70C321A2" w14:textId="77777777" w:rsidR="00565565" w:rsidRPr="00565565" w:rsidRDefault="00565565" w:rsidP="00565565">
            <w:pPr>
              <w:rPr>
                <w:iCs/>
                <w:lang w:val="sl-SI"/>
              </w:rPr>
            </w:pPr>
            <w:r w:rsidRPr="00565565">
              <w:rPr>
                <w:lang w:val="sl-SI"/>
              </w:rPr>
              <w:t>DA/</w:t>
            </w:r>
            <w:r w:rsidRPr="00565565">
              <w:rPr>
                <w:b/>
                <w:lang w:val="sl-SI"/>
              </w:rPr>
              <w:t>NE</w:t>
            </w:r>
          </w:p>
        </w:tc>
      </w:tr>
      <w:tr w:rsidR="00565565" w:rsidRPr="00565565" w14:paraId="7EFA8D56" w14:textId="77777777" w:rsidTr="00631F0C">
        <w:tc>
          <w:tcPr>
            <w:tcW w:w="7389" w:type="dxa"/>
            <w:gridSpan w:val="10"/>
            <w:tcBorders>
              <w:bottom w:val="single" w:sz="4" w:space="0" w:color="auto"/>
            </w:tcBorders>
            <w:vAlign w:val="center"/>
          </w:tcPr>
          <w:p w14:paraId="345D055F" w14:textId="77777777" w:rsidR="00565565" w:rsidRPr="00565565" w:rsidRDefault="00565565" w:rsidP="00565565">
            <w:pPr>
              <w:rPr>
                <w:b/>
                <w:lang w:val="sl-SI"/>
              </w:rPr>
            </w:pPr>
            <w:r w:rsidRPr="00565565">
              <w:rPr>
                <w:b/>
                <w:lang w:val="sl-SI"/>
              </w:rPr>
              <w:t>11. Gradivo je uvrščeno v delovni program vlade:</w:t>
            </w:r>
          </w:p>
        </w:tc>
        <w:tc>
          <w:tcPr>
            <w:tcW w:w="2096" w:type="dxa"/>
            <w:gridSpan w:val="2"/>
            <w:tcBorders>
              <w:bottom w:val="single" w:sz="4" w:space="0" w:color="auto"/>
            </w:tcBorders>
            <w:vAlign w:val="center"/>
          </w:tcPr>
          <w:p w14:paraId="6FA3EE51" w14:textId="77777777" w:rsidR="00565565" w:rsidRPr="00565565" w:rsidRDefault="00565565" w:rsidP="00565565">
            <w:pPr>
              <w:rPr>
                <w:lang w:val="sl-SI"/>
              </w:rPr>
            </w:pPr>
            <w:r w:rsidRPr="00565565">
              <w:rPr>
                <w:lang w:val="sl-SI"/>
              </w:rPr>
              <w:t>DA/</w:t>
            </w:r>
            <w:r w:rsidRPr="00565565">
              <w:rPr>
                <w:b/>
                <w:lang w:val="sl-SI"/>
              </w:rPr>
              <w:t>NE</w:t>
            </w:r>
          </w:p>
        </w:tc>
      </w:tr>
      <w:tr w:rsidR="00565565" w:rsidRPr="00565565" w14:paraId="631D2B76" w14:textId="77777777" w:rsidTr="00631F0C">
        <w:trPr>
          <w:trHeight w:val="70"/>
        </w:trPr>
        <w:tc>
          <w:tcPr>
            <w:tcW w:w="9485" w:type="dxa"/>
            <w:gridSpan w:val="12"/>
            <w:tcBorders>
              <w:top w:val="single" w:sz="4" w:space="0" w:color="auto"/>
              <w:left w:val="single" w:sz="4" w:space="0" w:color="auto"/>
              <w:bottom w:val="single" w:sz="4" w:space="0" w:color="auto"/>
              <w:right w:val="single" w:sz="4" w:space="0" w:color="auto"/>
            </w:tcBorders>
          </w:tcPr>
          <w:p w14:paraId="2B09132A" w14:textId="77777777" w:rsidR="00565565" w:rsidRDefault="00565565" w:rsidP="00565565">
            <w:pPr>
              <w:rPr>
                <w:lang w:val="sl-SI"/>
              </w:rPr>
            </w:pPr>
          </w:p>
          <w:p w14:paraId="748B6D01" w14:textId="77777777" w:rsidR="00427ABA" w:rsidRPr="00565565" w:rsidRDefault="00427ABA" w:rsidP="00565565">
            <w:pPr>
              <w:rPr>
                <w:lang w:val="sl-SI"/>
              </w:rPr>
            </w:pPr>
          </w:p>
          <w:p w14:paraId="1630EC55" w14:textId="403E5B6D" w:rsidR="00565565" w:rsidRPr="00565565" w:rsidRDefault="00565565" w:rsidP="00565565">
            <w:pPr>
              <w:rPr>
                <w:b/>
                <w:lang w:val="sl-SI"/>
              </w:rPr>
            </w:pPr>
            <w:r w:rsidRPr="00565565">
              <w:rPr>
                <w:b/>
                <w:lang w:val="sl-SI"/>
              </w:rPr>
              <w:t xml:space="preserve">                       </w:t>
            </w:r>
            <w:r>
              <w:rPr>
                <w:b/>
                <w:lang w:val="sl-SI"/>
              </w:rPr>
              <w:t xml:space="preserve">                                                                      </w:t>
            </w:r>
            <w:r w:rsidRPr="00565565">
              <w:rPr>
                <w:b/>
                <w:lang w:val="sl-SI"/>
              </w:rPr>
              <w:t>Simon Maljevac</w:t>
            </w:r>
          </w:p>
          <w:p w14:paraId="6DE72396" w14:textId="082BB722" w:rsidR="00565565" w:rsidRPr="00565565" w:rsidRDefault="00565565" w:rsidP="00565565">
            <w:pPr>
              <w:rPr>
                <w:b/>
                <w:lang w:val="sl-SI"/>
              </w:rPr>
            </w:pPr>
            <w:r w:rsidRPr="00565565">
              <w:rPr>
                <w:b/>
                <w:lang w:val="sl-SI"/>
              </w:rPr>
              <w:t xml:space="preserve">                          </w:t>
            </w:r>
            <w:r>
              <w:rPr>
                <w:b/>
                <w:lang w:val="sl-SI"/>
              </w:rPr>
              <w:t xml:space="preserve">                                                                         m</w:t>
            </w:r>
            <w:r w:rsidRPr="00565565">
              <w:rPr>
                <w:b/>
                <w:lang w:val="sl-SI"/>
              </w:rPr>
              <w:t>inister</w:t>
            </w:r>
          </w:p>
          <w:p w14:paraId="574D1FDC" w14:textId="77777777" w:rsidR="00565565" w:rsidRPr="00565565" w:rsidRDefault="00565565" w:rsidP="00565565">
            <w:pPr>
              <w:rPr>
                <w:lang w:val="it-IT"/>
              </w:rPr>
            </w:pPr>
          </w:p>
          <w:p w14:paraId="44CC2A31" w14:textId="77777777" w:rsidR="00565565" w:rsidRPr="00565565" w:rsidRDefault="00565565" w:rsidP="00565565">
            <w:pPr>
              <w:rPr>
                <w:lang w:val="sl-SI"/>
              </w:rPr>
            </w:pPr>
            <w:r w:rsidRPr="00565565">
              <w:rPr>
                <w:lang w:val="it-IT"/>
              </w:rPr>
              <w:t xml:space="preserve">   </w:t>
            </w:r>
            <w:r w:rsidRPr="00565565">
              <w:rPr>
                <w:lang w:val="sl-SI"/>
              </w:rPr>
              <w:t xml:space="preserve">Priloge: </w:t>
            </w:r>
          </w:p>
          <w:p w14:paraId="677B6986" w14:textId="77777777" w:rsidR="00565565" w:rsidRPr="00565565" w:rsidRDefault="00565565" w:rsidP="00565565">
            <w:pPr>
              <w:numPr>
                <w:ilvl w:val="1"/>
                <w:numId w:val="8"/>
              </w:numPr>
              <w:rPr>
                <w:lang w:val="sl-SI"/>
              </w:rPr>
            </w:pPr>
            <w:r w:rsidRPr="00565565">
              <w:rPr>
                <w:lang w:val="sl-SI"/>
              </w:rPr>
              <w:t>Obrazložitev,</w:t>
            </w:r>
          </w:p>
          <w:p w14:paraId="048C1DB7" w14:textId="77777777" w:rsidR="00565565" w:rsidRPr="00565565" w:rsidRDefault="00565565" w:rsidP="00565565">
            <w:pPr>
              <w:numPr>
                <w:ilvl w:val="1"/>
                <w:numId w:val="8"/>
              </w:numPr>
              <w:rPr>
                <w:lang w:val="sl-SI"/>
              </w:rPr>
            </w:pPr>
            <w:r w:rsidRPr="00565565">
              <w:rPr>
                <w:lang w:val="sl-SI"/>
              </w:rPr>
              <w:t>Predlog Sklepa Vlade RS,</w:t>
            </w:r>
          </w:p>
          <w:p w14:paraId="0E5C9567" w14:textId="77777777" w:rsidR="00565565" w:rsidRPr="00565565" w:rsidRDefault="00565565" w:rsidP="00565565">
            <w:pPr>
              <w:numPr>
                <w:ilvl w:val="1"/>
                <w:numId w:val="8"/>
              </w:numPr>
              <w:rPr>
                <w:lang w:val="sl-SI"/>
              </w:rPr>
            </w:pPr>
            <w:r w:rsidRPr="00565565">
              <w:rPr>
                <w:lang w:val="sl-SI"/>
              </w:rPr>
              <w:t>Obrazec 3: Načrt razvojnih programov,</w:t>
            </w:r>
          </w:p>
          <w:p w14:paraId="10DC526F" w14:textId="77777777" w:rsidR="00565565" w:rsidRPr="00565565" w:rsidRDefault="00565565" w:rsidP="00565565">
            <w:pPr>
              <w:numPr>
                <w:ilvl w:val="1"/>
                <w:numId w:val="8"/>
              </w:numPr>
              <w:rPr>
                <w:lang w:val="sl-SI"/>
              </w:rPr>
            </w:pPr>
            <w:r w:rsidRPr="00565565">
              <w:rPr>
                <w:lang w:val="sl-SI"/>
              </w:rPr>
              <w:t>Sklep o potrditvi investicijske dokumentacije.</w:t>
            </w:r>
          </w:p>
          <w:p w14:paraId="6F5320C5" w14:textId="77777777" w:rsidR="00565565" w:rsidRPr="00565565" w:rsidRDefault="00565565" w:rsidP="00565565">
            <w:pPr>
              <w:rPr>
                <w:lang w:val="it-IT"/>
              </w:rPr>
            </w:pPr>
            <w:r w:rsidRPr="00565565">
              <w:rPr>
                <w:lang w:val="it-IT"/>
              </w:rPr>
              <w:t xml:space="preserve">                                                                                                                                                                                                   </w:t>
            </w:r>
          </w:p>
        </w:tc>
      </w:tr>
    </w:tbl>
    <w:p w14:paraId="5F139148" w14:textId="77777777" w:rsidR="00565565" w:rsidRPr="00565565" w:rsidRDefault="00565565" w:rsidP="00565565">
      <w:pPr>
        <w:jc w:val="center"/>
        <w:rPr>
          <w:b/>
          <w:lang w:val="sl-SI"/>
        </w:rPr>
      </w:pPr>
      <w:r w:rsidRPr="00565565">
        <w:rPr>
          <w:b/>
          <w:lang w:val="sl-SI"/>
        </w:rPr>
        <w:t>OBRAZLOŽITEV</w:t>
      </w:r>
    </w:p>
    <w:p w14:paraId="0CB94FF3" w14:textId="77777777" w:rsidR="00565565" w:rsidRPr="00565565" w:rsidRDefault="00565565" w:rsidP="00565565">
      <w:pPr>
        <w:jc w:val="both"/>
        <w:rPr>
          <w:lang w:val="sl-SI"/>
        </w:rPr>
      </w:pPr>
    </w:p>
    <w:p w14:paraId="3C3CDA1F" w14:textId="77777777" w:rsidR="00565565" w:rsidRPr="00565565" w:rsidRDefault="00565565" w:rsidP="00565565">
      <w:pPr>
        <w:jc w:val="both"/>
        <w:rPr>
          <w:b/>
          <w:iCs/>
          <w:lang w:val="sl-SI"/>
        </w:rPr>
      </w:pPr>
      <w:r w:rsidRPr="00565565">
        <w:rPr>
          <w:b/>
          <w:iCs/>
          <w:lang w:val="sl-SI"/>
        </w:rPr>
        <w:t>Sprememba izhodiščne vrednosti ter podaljšanje in ponovna uvrstitev</w:t>
      </w:r>
      <w:r w:rsidRPr="00565565">
        <w:rPr>
          <w:b/>
          <w:iCs/>
          <w:lang w:val="it-IT"/>
        </w:rPr>
        <w:t xml:space="preserve"> </w:t>
      </w:r>
      <w:r w:rsidRPr="00565565">
        <w:rPr>
          <w:b/>
          <w:iCs/>
          <w:lang w:val="sl-SI"/>
        </w:rPr>
        <w:t>projekta</w:t>
      </w:r>
      <w:r w:rsidRPr="00565565">
        <w:rPr>
          <w:b/>
          <w:iCs/>
          <w:lang w:val="it-IT"/>
        </w:rPr>
        <w:t xml:space="preserve"> 2611-22-0924 – </w:t>
      </w:r>
      <w:r w:rsidRPr="00565565">
        <w:rPr>
          <w:b/>
          <w:iCs/>
          <w:lang w:val="sl-SI"/>
        </w:rPr>
        <w:t>Gradnja objekta Doma starejših občanov »Jezerca«, Bovec</w:t>
      </w:r>
    </w:p>
    <w:p w14:paraId="05889DA0" w14:textId="77777777" w:rsidR="00565565" w:rsidRPr="00565565" w:rsidRDefault="00565565" w:rsidP="00565565">
      <w:pPr>
        <w:jc w:val="both"/>
        <w:rPr>
          <w:b/>
          <w:iCs/>
          <w:lang w:val="sl-SI"/>
        </w:rPr>
      </w:pPr>
    </w:p>
    <w:p w14:paraId="3DCA40B7" w14:textId="77777777" w:rsidR="00565565" w:rsidRPr="00565565" w:rsidRDefault="00565565" w:rsidP="00565565">
      <w:pPr>
        <w:jc w:val="both"/>
        <w:rPr>
          <w:lang w:val="sl-SI"/>
        </w:rPr>
      </w:pPr>
      <w:bookmarkStart w:id="3" w:name="_Hlk102563198"/>
      <w:r w:rsidRPr="00565565">
        <w:rPr>
          <w:lang w:val="sl-SI"/>
        </w:rPr>
        <w:t>V Občini Bovec ni doma za starejše občane, veliko občanov pa potrebuje določeno pomoč pri hrani, negi ipd., poleg tega pa današnji tempo življenja in okoliščine, kot so zaposlenost, oddaljenost ali zdravstvene težave, mnogim družinskim članom onemogočajo, da bi prevzeli vlogo oskrbovalca. Trenutno so starejši občani Bovca večinoma nastanjeni v Domu upokojencev Podbrdo ter njegovih enotah v Tolminu in Petrovem Brdu, nekateri pa tudi po drugih domovih po Sloveniji. Glede na obstoječe stanje, ki je neustrezno in onemogoča kvalitetno bivanje, nego in oskrbo starejšega prebivalstva v občini Bovec ter predvidene potrebe po kapacitetah institucionalnega varstva, so se pokazale potrebe po izgradnji objekta za dom starejših občanov. Gradnja je predvidena v Bovcu na lokaciji Jezerca, na podlagi izdelane DGD projektne dokumentacije pa je bilo že izdano gradbeno dovoljenje. Novozgrajeni dom bo v upravljanju Doma upokojencev Nova Gorica, ki je javni socialnovarstveni zavod, katerega osnovna dejavnost je institucionalno varstvo starejših, dnevno varstvo in pomoč na domu, poleg tega pa izvaja tudi skupnostne programe v Hišah dobre volje (dnevni centri) in vodi Center za dnevne aktivnosti starejših. Svojo osnovno dejavnost izvaja v dveh enotah na dveh lokacijah s skupno kapaciteto 304 postelj (DU Nova Gorica s kapaciteto 214 postelj in Dom Podsabotin s kapaciteto 90 postelj).</w:t>
      </w:r>
    </w:p>
    <w:p w14:paraId="13218C64" w14:textId="77777777" w:rsidR="00565565" w:rsidRPr="00565565" w:rsidRDefault="00565565" w:rsidP="00565565">
      <w:pPr>
        <w:jc w:val="both"/>
        <w:rPr>
          <w:lang w:val="sl-SI"/>
        </w:rPr>
      </w:pPr>
    </w:p>
    <w:p w14:paraId="09139EFD" w14:textId="77777777" w:rsidR="00565565" w:rsidRPr="00565565" w:rsidRDefault="00565565" w:rsidP="00565565">
      <w:pPr>
        <w:jc w:val="both"/>
        <w:rPr>
          <w:lang w:val="sl-SI"/>
        </w:rPr>
      </w:pPr>
      <w:r w:rsidRPr="00565565">
        <w:rPr>
          <w:lang w:val="sl-SI"/>
        </w:rPr>
        <w:t xml:space="preserve">Glavni namen predmetne investicije je izgradnja doma starejših občanov, s čimer bodo zagotovljene nove kapacitete, mreža domov pa se bo razširila tudi na bovško, kar bo omogočilo kvalitetno in strokovno ustrezno oskrbo, nego ter pomoč starejšim občanom v njihovem domačem okolju. </w:t>
      </w:r>
    </w:p>
    <w:p w14:paraId="50C70E66" w14:textId="77777777" w:rsidR="00565565" w:rsidRPr="00565565" w:rsidRDefault="00565565" w:rsidP="00565565">
      <w:pPr>
        <w:jc w:val="both"/>
        <w:rPr>
          <w:lang w:val="sl-SI"/>
        </w:rPr>
      </w:pPr>
    </w:p>
    <w:p w14:paraId="7F804B9F" w14:textId="77777777" w:rsidR="00565565" w:rsidRPr="00565565" w:rsidRDefault="00565565" w:rsidP="00565565">
      <w:pPr>
        <w:jc w:val="both"/>
        <w:rPr>
          <w:lang w:val="sl-SI"/>
        </w:rPr>
      </w:pPr>
      <w:r w:rsidRPr="00565565">
        <w:rPr>
          <w:lang w:val="sl-SI"/>
        </w:rPr>
        <w:t>Objekt v skupni neto tlorisni površini 4.394,85 m2 bo obsegal pritličje, prvo in drugo nadstropje. Vse etaže bodo povezane s stopniščem in dvema dvigaloma. V pritličju so predvideni prostori uprave in socialne delavke, recepcija, avla s prostorom za obiskovalce, skupni večnamenski prostor oziroma jedilnica, kuhinja, prostor za zbiranje umazanega ter shranjevanje čistega perila in prostor za umrlega. Urejena bo tudi bivalna enota, namenjena starejšim z demenco in sorodnimi stanji, z 8 sobami s kopalnico za do 12 oskrbovancev, sestrsko sobo, prostorom za sanitetni material in zdravila, skupnim prostorom z jedilnico in čajno kuhinjo, negovalno kopalnico, prostorom za čisto perilo, čistila in umazano perilo, prostori za vzdrževalca ter tehničnimi prostori (kotlovnica, toplotna postaja, delavnica za vzdrževalce…). V prvem nadstropju bodo negovalni oddelek z 12 sobami za do 20 oskrbovancev, z enako organiziranimi prostori kot v bivalni enoti za starejše z demenco in sorodnimi stanji v pritličju, celoten zdravstveni program in skupni prostori za dejavnosti stanovalcev, prostora za fizioterapijo in delovno terapijo s kabinetoma, prostor za druženje ter prostor za duhovno oskrbo. V prvem in drugem nadstropju bosta nastanitvena oddelka z 9 sobami s kopalnico za do 16 stanovalcev, skupnim prostorom z dnevno sobo, jedilnico in čajno kuhinjo, negovalno kopalnico, prostori za čisto perilo, sanitetni material, zdravila, čistila in umazano perilo. Vse sobe na vseh oddelkih bodo zasnovane tako, da se lahko v njih uredi eno ali dvoposteljne sobe. Poleg objekta bo urejeno servisno dvorišče in parkirišče. Zelene površine bodo namenjene stanovalcem za preživljanje prostega časa, rekreacijo ali druge dejavnosti na prostem, del teh pa bo ločen in zaprt, saj bo namenjen stanovalcem na dementnem oddelku.</w:t>
      </w:r>
    </w:p>
    <w:p w14:paraId="77E21A87" w14:textId="77777777" w:rsidR="00565565" w:rsidRPr="00565565" w:rsidRDefault="00565565" w:rsidP="00565565">
      <w:pPr>
        <w:jc w:val="both"/>
        <w:rPr>
          <w:lang w:val="sl-SI"/>
        </w:rPr>
      </w:pPr>
    </w:p>
    <w:p w14:paraId="3820B257" w14:textId="77777777" w:rsidR="00565565" w:rsidRPr="00565565" w:rsidRDefault="00565565" w:rsidP="00565565">
      <w:pPr>
        <w:jc w:val="both"/>
        <w:rPr>
          <w:lang w:val="sl-SI"/>
        </w:rPr>
      </w:pPr>
      <w:r w:rsidRPr="00565565">
        <w:rPr>
          <w:lang w:val="sl-SI"/>
        </w:rPr>
        <w:t>Z izvedbo investicije se bo pridobilo 64 novih postelj, kar bo starejšim občanom zagotovilo dostojno preživljanje starosti, saj jim bo poleg osnovnih bivalnih potreb in osnovnega zdravstvenega varstva, zagotovljeno tudi izvajanje dodatnih dejavnosti in prostočasnih aktivnosti, s čimer se bo izboljšala kakovost njihovega bivanja, omogočila pa se bo tudi kvalitetna oskrba in programi za starejše ljudi z demenco.</w:t>
      </w:r>
    </w:p>
    <w:p w14:paraId="596692D7" w14:textId="77777777" w:rsidR="00565565" w:rsidRPr="00565565" w:rsidRDefault="00565565" w:rsidP="00565565">
      <w:pPr>
        <w:jc w:val="both"/>
        <w:rPr>
          <w:lang w:val="sl-SI"/>
        </w:rPr>
      </w:pPr>
    </w:p>
    <w:p w14:paraId="4F1C16C6" w14:textId="77777777" w:rsidR="00565565" w:rsidRPr="00565565" w:rsidRDefault="00565565" w:rsidP="00565565">
      <w:pPr>
        <w:jc w:val="both"/>
        <w:rPr>
          <w:bCs/>
          <w:lang w:val="sl-SI"/>
        </w:rPr>
      </w:pPr>
      <w:r w:rsidRPr="00565565">
        <w:rPr>
          <w:bCs/>
          <w:lang w:val="sl-SI"/>
        </w:rPr>
        <w:t xml:space="preserve">Na podlagi Zakona o spremembah in dopolnitvah Zakona o državni upravi (Uradni list RS, št. 18/23) se je z dnem 14. 2. 2023 opravljanje nalog na področju socialnega varstva v delu, ki se nanaša na institucionalno varstvo, preneslo v pristojnost Ministrstva za solidarno prihodnost (v nadaljevanju: ministrstvo). </w:t>
      </w:r>
    </w:p>
    <w:p w14:paraId="03A28D83" w14:textId="77777777" w:rsidR="00565565" w:rsidRPr="00565565" w:rsidRDefault="00565565" w:rsidP="00565565">
      <w:pPr>
        <w:jc w:val="both"/>
        <w:rPr>
          <w:lang w:val="sl-SI"/>
        </w:rPr>
      </w:pPr>
    </w:p>
    <w:p w14:paraId="0E1B9D6E" w14:textId="77777777" w:rsidR="00565565" w:rsidRPr="00565565" w:rsidRDefault="00565565" w:rsidP="00565565">
      <w:pPr>
        <w:jc w:val="both"/>
        <w:rPr>
          <w:lang w:val="sl-SI"/>
        </w:rPr>
      </w:pPr>
      <w:r w:rsidRPr="00565565">
        <w:rPr>
          <w:lang w:val="sl-SI"/>
        </w:rPr>
        <w:t>Zaradi povišanja ocenjene vrednosti investicije, kot posledice uskladitve projektantskega popisa del glede na PZI, revalorizacije cen iz stalnih cen decembra 2021 na stalne cene maj 2023, podražitve gradbenih del in materialov ter ažuriranih inflacijskih faktorjev iz Pomladanske napovedi gospodarskih gibanj 2023, spremembe v virih financiranja ter spremembe terminskega plana izvedbe, je bila v pripravi Novelacija investicijskega programa.</w:t>
      </w:r>
    </w:p>
    <w:p w14:paraId="54733956" w14:textId="77777777" w:rsidR="00565565" w:rsidRPr="00565565" w:rsidRDefault="00565565" w:rsidP="00565565">
      <w:pPr>
        <w:jc w:val="both"/>
        <w:rPr>
          <w:lang w:val="sl-SI"/>
        </w:rPr>
      </w:pPr>
    </w:p>
    <w:p w14:paraId="636B70CE" w14:textId="77777777" w:rsidR="00565565" w:rsidRPr="00565565" w:rsidRDefault="00565565" w:rsidP="00565565">
      <w:pPr>
        <w:jc w:val="both"/>
        <w:rPr>
          <w:bCs/>
          <w:iCs/>
          <w:lang w:val="sl-SI"/>
        </w:rPr>
      </w:pPr>
      <w:r w:rsidRPr="00565565">
        <w:rPr>
          <w:bCs/>
          <w:iCs/>
          <w:lang w:val="sl-SI"/>
        </w:rPr>
        <w:t xml:space="preserve">Zaradi znatnega znižanja obsega proračunskih sredstev v letu 2024 z izvedbo investicije ni bilo možno nadaljevati. Ker ni bilo znano, kdaj in v kakšnem obsegu bodo sredstva lahko zagotovljena ter na kakšen način se bo investicija nadaljevala, se je do zagotovitve sredstev ter sprejetja odločitve, določil status projekta začasno prekinjen. </w:t>
      </w:r>
    </w:p>
    <w:p w14:paraId="2BD38380" w14:textId="77777777" w:rsidR="00565565" w:rsidRPr="00565565" w:rsidRDefault="00565565" w:rsidP="00565565">
      <w:pPr>
        <w:jc w:val="both"/>
        <w:rPr>
          <w:bCs/>
          <w:iCs/>
          <w:lang w:val="sl-SI"/>
        </w:rPr>
      </w:pPr>
    </w:p>
    <w:p w14:paraId="6C689838" w14:textId="370C5F1F" w:rsidR="00565565" w:rsidRPr="00565565" w:rsidRDefault="00565565" w:rsidP="00565565">
      <w:pPr>
        <w:jc w:val="both"/>
        <w:rPr>
          <w:bCs/>
          <w:iCs/>
          <w:lang w:val="sl-SI"/>
        </w:rPr>
      </w:pPr>
      <w:r w:rsidRPr="00565565">
        <w:rPr>
          <w:bCs/>
          <w:iCs/>
          <w:lang w:val="sl-SI"/>
        </w:rPr>
        <w:t xml:space="preserve">Ker se je pokazala možnost zagotovitve sredstev za izvedbo investicije v letih 2025, 2026 in 2027, je bila izdelana novelacija investicijskega projekta, s katero se, skladno z Zakonom o spremembah </w:t>
      </w:r>
      <w:r w:rsidR="00427ABA">
        <w:rPr>
          <w:bCs/>
          <w:iCs/>
          <w:lang w:val="sl-SI"/>
        </w:rPr>
        <w:t>Z</w:t>
      </w:r>
      <w:r w:rsidRPr="00565565">
        <w:rPr>
          <w:bCs/>
          <w:iCs/>
          <w:lang w:val="sl-SI"/>
        </w:rPr>
        <w:t>akona o Vladi Republike Slovenije (Uradni list RS, št. 16</w:t>
      </w:r>
      <w:r w:rsidR="00427ABA">
        <w:rPr>
          <w:bCs/>
          <w:iCs/>
          <w:lang w:val="sl-SI"/>
        </w:rPr>
        <w:t>3</w:t>
      </w:r>
      <w:r w:rsidRPr="00565565">
        <w:rPr>
          <w:bCs/>
          <w:iCs/>
          <w:lang w:val="sl-SI"/>
        </w:rPr>
        <w:t xml:space="preserve">/22) spreminja investitor, zaradi izvedenih razparcelacij se spreminjajo številke parcel, na katerih se bo investicija izvajala, spreminja se terminski plan izvedbe, ki zaključek investicije predvideva v letu 2027 namesto v letu 2024 ter posledično dinamika in viri financiranja. Zaradi uskladitve projektantskega popisa del glede na PZI, s katero se je vključila oprema, ki je prvotni popis ni zajemal, in upoštevala revalorizacija cen iz stalnih cen v decembru 2021 na današnje stalne cene, podražitev gradbenih del in materialov, spremembe faktorjev rasti cen glede na zadnjo objavljeno napoved gospodarskih gibanj (UMAR) ter spremembe v obračunu davčne stopnje, se je povišala tudi vrednost investicije. </w:t>
      </w:r>
    </w:p>
    <w:p w14:paraId="03A48A91" w14:textId="77777777" w:rsidR="00565565" w:rsidRPr="00565565" w:rsidRDefault="00565565" w:rsidP="00565565">
      <w:pPr>
        <w:jc w:val="both"/>
        <w:rPr>
          <w:bCs/>
          <w:iCs/>
          <w:lang w:val="sl-SI"/>
        </w:rPr>
      </w:pPr>
    </w:p>
    <w:bookmarkEnd w:id="3"/>
    <w:p w14:paraId="5A6497A5" w14:textId="77777777" w:rsidR="00565565" w:rsidRPr="00565565" w:rsidRDefault="00565565" w:rsidP="00565565">
      <w:pPr>
        <w:jc w:val="both"/>
        <w:rPr>
          <w:iCs/>
          <w:lang w:val="sl-SI"/>
        </w:rPr>
      </w:pPr>
      <w:r w:rsidRPr="00565565">
        <w:rPr>
          <w:iCs/>
          <w:lang w:val="sl-SI"/>
        </w:rPr>
        <w:t xml:space="preserve">Ocenjena vrednost investicije </w:t>
      </w:r>
      <w:r w:rsidRPr="00565565">
        <w:rPr>
          <w:lang w:val="sl-SI"/>
        </w:rPr>
        <w:t xml:space="preserve">po novelaciji investicijskega programa </w:t>
      </w:r>
      <w:r w:rsidRPr="00565565">
        <w:rPr>
          <w:iCs/>
          <w:lang w:val="sl-SI"/>
        </w:rPr>
        <w:t xml:space="preserve">znaša 9.379.304,33 EUR z DDV. </w:t>
      </w:r>
    </w:p>
    <w:p w14:paraId="601A6CE8" w14:textId="77777777" w:rsidR="00565565" w:rsidRPr="00565565" w:rsidRDefault="00565565" w:rsidP="00565565">
      <w:pPr>
        <w:jc w:val="both"/>
        <w:rPr>
          <w:iCs/>
          <w:lang w:val="sl-SI"/>
        </w:rPr>
      </w:pPr>
    </w:p>
    <w:p w14:paraId="70D0E38F" w14:textId="77777777" w:rsidR="00565565" w:rsidRPr="00565565" w:rsidRDefault="00565565" w:rsidP="00565565">
      <w:pPr>
        <w:jc w:val="both"/>
        <w:rPr>
          <w:iCs/>
          <w:lang w:val="sl-SI"/>
        </w:rPr>
      </w:pPr>
      <w:r w:rsidRPr="00565565">
        <w:rPr>
          <w:iCs/>
          <w:lang w:val="sl-SI"/>
        </w:rPr>
        <w:t xml:space="preserve">Izhodiščna vrednost projekta po investicijskem programu je znašala 7.512.651,00 EUR. Z novelacijo investicijskega programa se vrednost projekta povečuje za 1.866.653,33 EUR oziroma 24,85 %, nova izhodiščna vrednost projekta pa tako znaša 9.379.304,33 EUR. </w:t>
      </w:r>
    </w:p>
    <w:p w14:paraId="18B6D8A4" w14:textId="77777777" w:rsidR="00565565" w:rsidRPr="00565565" w:rsidRDefault="00565565" w:rsidP="00565565">
      <w:pPr>
        <w:jc w:val="both"/>
        <w:rPr>
          <w:iCs/>
          <w:lang w:val="sl-SI"/>
        </w:rPr>
      </w:pPr>
    </w:p>
    <w:p w14:paraId="39A1D070" w14:textId="77777777" w:rsidR="00565565" w:rsidRPr="00565565" w:rsidRDefault="00565565" w:rsidP="00565565">
      <w:pPr>
        <w:jc w:val="both"/>
        <w:rPr>
          <w:lang w:val="sl-SI"/>
        </w:rPr>
      </w:pPr>
      <w:r w:rsidRPr="00565565">
        <w:rPr>
          <w:lang w:val="sl-SI"/>
        </w:rPr>
        <w:t>Sredstva za investicijo bosta zagotovila ministrstvo ter Občina Bovec na naslednji način:</w:t>
      </w:r>
    </w:p>
    <w:p w14:paraId="0FC62FC2" w14:textId="77777777" w:rsidR="00565565" w:rsidRPr="00565565" w:rsidRDefault="00565565" w:rsidP="00565565">
      <w:pPr>
        <w:numPr>
          <w:ilvl w:val="0"/>
          <w:numId w:val="13"/>
        </w:numPr>
        <w:jc w:val="both"/>
        <w:rPr>
          <w:lang w:val="sl-SI"/>
        </w:rPr>
      </w:pPr>
      <w:r w:rsidRPr="00565565">
        <w:rPr>
          <w:lang w:val="sl-SI"/>
        </w:rPr>
        <w:t>ministrstvo v višini 7.701.000,00 EUR, od tega:</w:t>
      </w:r>
    </w:p>
    <w:p w14:paraId="4122DB80" w14:textId="77777777" w:rsidR="00565565" w:rsidRPr="00565565" w:rsidRDefault="00565565" w:rsidP="00565565">
      <w:pPr>
        <w:numPr>
          <w:ilvl w:val="1"/>
          <w:numId w:val="13"/>
        </w:numPr>
        <w:jc w:val="both"/>
        <w:rPr>
          <w:lang w:val="sl-SI"/>
        </w:rPr>
      </w:pPr>
      <w:r w:rsidRPr="00565565">
        <w:rPr>
          <w:lang w:val="sl-SI"/>
        </w:rPr>
        <w:t>2.729.307,63 EUR v letu 2025</w:t>
      </w:r>
    </w:p>
    <w:p w14:paraId="714B95EA" w14:textId="77777777" w:rsidR="00565565" w:rsidRPr="00565565" w:rsidRDefault="00565565" w:rsidP="00565565">
      <w:pPr>
        <w:numPr>
          <w:ilvl w:val="1"/>
          <w:numId w:val="13"/>
        </w:numPr>
        <w:jc w:val="both"/>
        <w:rPr>
          <w:lang w:val="sl-SI"/>
        </w:rPr>
      </w:pPr>
      <w:r w:rsidRPr="00565565">
        <w:rPr>
          <w:lang w:val="sl-SI"/>
        </w:rPr>
        <w:t>2.500.000,00 EUR v letu 2026</w:t>
      </w:r>
    </w:p>
    <w:p w14:paraId="7BC318BB" w14:textId="77777777" w:rsidR="00565565" w:rsidRPr="00565565" w:rsidRDefault="00565565" w:rsidP="00565565">
      <w:pPr>
        <w:numPr>
          <w:ilvl w:val="1"/>
          <w:numId w:val="13"/>
        </w:numPr>
        <w:jc w:val="both"/>
        <w:rPr>
          <w:lang w:val="sl-SI"/>
        </w:rPr>
      </w:pPr>
      <w:r w:rsidRPr="00565565">
        <w:rPr>
          <w:lang w:val="sl-SI"/>
        </w:rPr>
        <w:t>2.471.692,37 EUR v letu 2027</w:t>
      </w:r>
    </w:p>
    <w:p w14:paraId="0698BF57" w14:textId="77777777" w:rsidR="00565565" w:rsidRPr="00565565" w:rsidRDefault="00565565" w:rsidP="00565565">
      <w:pPr>
        <w:numPr>
          <w:ilvl w:val="0"/>
          <w:numId w:val="13"/>
        </w:numPr>
        <w:jc w:val="both"/>
        <w:rPr>
          <w:lang w:val="sl-SI"/>
        </w:rPr>
      </w:pPr>
      <w:r w:rsidRPr="00565565">
        <w:rPr>
          <w:lang w:val="sl-SI"/>
        </w:rPr>
        <w:t>Občina Bovec v višini 1.678.304,33 EUR, od tega:</w:t>
      </w:r>
    </w:p>
    <w:p w14:paraId="2CF11465" w14:textId="77777777" w:rsidR="00565565" w:rsidRPr="00565565" w:rsidRDefault="00565565" w:rsidP="00565565">
      <w:pPr>
        <w:numPr>
          <w:ilvl w:val="1"/>
          <w:numId w:val="13"/>
        </w:numPr>
        <w:jc w:val="both"/>
        <w:rPr>
          <w:lang w:val="sl-SI"/>
        </w:rPr>
      </w:pPr>
      <w:r w:rsidRPr="00565565">
        <w:rPr>
          <w:lang w:val="sl-SI"/>
        </w:rPr>
        <w:t>170.554,50 EUR v letu 2021</w:t>
      </w:r>
    </w:p>
    <w:p w14:paraId="37A82B7A" w14:textId="77777777" w:rsidR="00565565" w:rsidRPr="00565565" w:rsidRDefault="00565565" w:rsidP="00565565">
      <w:pPr>
        <w:numPr>
          <w:ilvl w:val="1"/>
          <w:numId w:val="13"/>
        </w:numPr>
        <w:jc w:val="both"/>
        <w:rPr>
          <w:lang w:val="sl-SI"/>
        </w:rPr>
      </w:pPr>
      <w:r w:rsidRPr="00565565">
        <w:rPr>
          <w:lang w:val="sl-SI"/>
        </w:rPr>
        <w:t>154.927,80 EUR v letu 2022</w:t>
      </w:r>
    </w:p>
    <w:p w14:paraId="4998B76B" w14:textId="77777777" w:rsidR="00565565" w:rsidRPr="00565565" w:rsidRDefault="00565565" w:rsidP="00565565">
      <w:pPr>
        <w:numPr>
          <w:ilvl w:val="1"/>
          <w:numId w:val="13"/>
        </w:numPr>
        <w:jc w:val="both"/>
        <w:rPr>
          <w:lang w:val="sl-SI"/>
        </w:rPr>
      </w:pPr>
      <w:r w:rsidRPr="00565565">
        <w:rPr>
          <w:lang w:val="sl-SI"/>
        </w:rPr>
        <w:t>2.979,85 EUR v letu 2023</w:t>
      </w:r>
    </w:p>
    <w:p w14:paraId="02C16462" w14:textId="77777777" w:rsidR="00565565" w:rsidRPr="00565565" w:rsidRDefault="00565565" w:rsidP="00565565">
      <w:pPr>
        <w:numPr>
          <w:ilvl w:val="1"/>
          <w:numId w:val="13"/>
        </w:numPr>
        <w:jc w:val="both"/>
        <w:rPr>
          <w:lang w:val="sl-SI"/>
        </w:rPr>
      </w:pPr>
      <w:r w:rsidRPr="00565565">
        <w:rPr>
          <w:lang w:val="sl-SI"/>
        </w:rPr>
        <w:t>12.055,07 EUR v letu 2024</w:t>
      </w:r>
    </w:p>
    <w:p w14:paraId="5034B547" w14:textId="77777777" w:rsidR="00565565" w:rsidRPr="00565565" w:rsidRDefault="00565565" w:rsidP="00565565">
      <w:pPr>
        <w:numPr>
          <w:ilvl w:val="1"/>
          <w:numId w:val="13"/>
        </w:numPr>
        <w:jc w:val="both"/>
        <w:rPr>
          <w:lang w:val="sl-SI"/>
        </w:rPr>
      </w:pPr>
      <w:r w:rsidRPr="00565565">
        <w:rPr>
          <w:lang w:val="sl-SI"/>
        </w:rPr>
        <w:t>63.745,45 EUR v letu 2025</w:t>
      </w:r>
    </w:p>
    <w:p w14:paraId="111B4F0C" w14:textId="77777777" w:rsidR="00565565" w:rsidRPr="00565565" w:rsidRDefault="00565565" w:rsidP="00565565">
      <w:pPr>
        <w:numPr>
          <w:ilvl w:val="1"/>
          <w:numId w:val="13"/>
        </w:numPr>
        <w:jc w:val="both"/>
        <w:rPr>
          <w:lang w:val="sl-SI"/>
        </w:rPr>
      </w:pPr>
      <w:r w:rsidRPr="00565565">
        <w:rPr>
          <w:lang w:val="sl-SI"/>
        </w:rPr>
        <w:t>327.129,22 EUR v letu 2026</w:t>
      </w:r>
    </w:p>
    <w:p w14:paraId="5FB43934" w14:textId="77777777" w:rsidR="00565565" w:rsidRPr="00565565" w:rsidRDefault="00565565" w:rsidP="00565565">
      <w:pPr>
        <w:numPr>
          <w:ilvl w:val="1"/>
          <w:numId w:val="13"/>
        </w:numPr>
        <w:jc w:val="both"/>
        <w:rPr>
          <w:lang w:val="sl-SI"/>
        </w:rPr>
      </w:pPr>
      <w:r w:rsidRPr="00565565">
        <w:rPr>
          <w:lang w:val="sl-SI"/>
        </w:rPr>
        <w:t>946.912,44 EUR v letu 2027</w:t>
      </w:r>
    </w:p>
    <w:p w14:paraId="2003626C" w14:textId="77777777" w:rsidR="00565565" w:rsidRPr="00565565" w:rsidRDefault="00565565" w:rsidP="00565565">
      <w:pPr>
        <w:jc w:val="both"/>
        <w:rPr>
          <w:lang w:val="sl-SI"/>
        </w:rPr>
      </w:pPr>
    </w:p>
    <w:p w14:paraId="3CE39D9B" w14:textId="77777777" w:rsidR="00565565" w:rsidRPr="00565565" w:rsidRDefault="00565565" w:rsidP="00565565">
      <w:pPr>
        <w:jc w:val="both"/>
        <w:rPr>
          <w:lang w:val="sl-SI"/>
        </w:rPr>
      </w:pPr>
      <w:r w:rsidRPr="00565565">
        <w:rPr>
          <w:lang w:val="sl-SI"/>
        </w:rPr>
        <w:t>Investicijske aktivnosti so se začele v letu 2021, gradnja pa se bo izvajala v letih 2025, 2026 in 2027.</w:t>
      </w:r>
    </w:p>
    <w:p w14:paraId="686977B9" w14:textId="77777777" w:rsidR="00565565" w:rsidRPr="00565565" w:rsidRDefault="00565565" w:rsidP="00565565">
      <w:pPr>
        <w:tabs>
          <w:tab w:val="left" w:pos="3402"/>
        </w:tabs>
        <w:jc w:val="both"/>
        <w:rPr>
          <w:b/>
          <w:szCs w:val="20"/>
          <w:lang w:val="sl-SI"/>
        </w:rPr>
      </w:pPr>
      <w:r w:rsidRPr="00565565">
        <w:rPr>
          <w:b/>
          <w:szCs w:val="20"/>
          <w:lang w:val="sl-SI"/>
        </w:rPr>
        <w:t>PREDLOG SKLEPA VLADE</w:t>
      </w:r>
    </w:p>
    <w:p w14:paraId="3122E9C5" w14:textId="77777777" w:rsidR="00565565" w:rsidRPr="00565565" w:rsidRDefault="00565565" w:rsidP="00565565">
      <w:pPr>
        <w:tabs>
          <w:tab w:val="left" w:pos="3402"/>
        </w:tabs>
        <w:jc w:val="both"/>
        <w:rPr>
          <w:b/>
          <w:szCs w:val="20"/>
          <w:lang w:val="sl-SI"/>
        </w:rPr>
      </w:pPr>
    </w:p>
    <w:p w14:paraId="236F042F" w14:textId="77777777" w:rsidR="00565565" w:rsidRPr="00565565" w:rsidRDefault="00565565" w:rsidP="00565565">
      <w:pPr>
        <w:tabs>
          <w:tab w:val="left" w:pos="3402"/>
        </w:tabs>
        <w:jc w:val="both"/>
        <w:rPr>
          <w:b/>
          <w:szCs w:val="20"/>
          <w:lang w:val="sl-SI"/>
        </w:rPr>
      </w:pPr>
    </w:p>
    <w:p w14:paraId="75003BD7" w14:textId="77777777" w:rsidR="00565565" w:rsidRPr="00565565" w:rsidRDefault="00565565" w:rsidP="00565565">
      <w:pPr>
        <w:tabs>
          <w:tab w:val="left" w:pos="3402"/>
        </w:tabs>
        <w:jc w:val="both"/>
        <w:rPr>
          <w:szCs w:val="20"/>
          <w:lang w:val="sl-SI"/>
        </w:rPr>
      </w:pPr>
      <w:r w:rsidRPr="00565565">
        <w:rPr>
          <w:szCs w:val="20"/>
          <w:lang w:val="sl-SI"/>
        </w:rPr>
        <w:t>Številka:</w:t>
      </w:r>
    </w:p>
    <w:p w14:paraId="25048CDC" w14:textId="77777777" w:rsidR="00565565" w:rsidRPr="00565565" w:rsidRDefault="00565565" w:rsidP="00565565">
      <w:pPr>
        <w:tabs>
          <w:tab w:val="left" w:pos="3402"/>
        </w:tabs>
        <w:jc w:val="both"/>
        <w:rPr>
          <w:szCs w:val="20"/>
          <w:lang w:val="sl-SI"/>
        </w:rPr>
      </w:pPr>
    </w:p>
    <w:p w14:paraId="3A9CA12C" w14:textId="77777777" w:rsidR="00565565" w:rsidRPr="00565565" w:rsidRDefault="00565565" w:rsidP="00565565">
      <w:pPr>
        <w:tabs>
          <w:tab w:val="left" w:pos="3402"/>
        </w:tabs>
        <w:jc w:val="both"/>
        <w:rPr>
          <w:szCs w:val="20"/>
          <w:lang w:val="sl-SI"/>
        </w:rPr>
      </w:pPr>
    </w:p>
    <w:p w14:paraId="25DFF93E" w14:textId="77777777" w:rsidR="00565565" w:rsidRPr="00565565" w:rsidRDefault="00565565" w:rsidP="00565565">
      <w:pPr>
        <w:tabs>
          <w:tab w:val="left" w:pos="3402"/>
        </w:tabs>
        <w:jc w:val="both"/>
        <w:rPr>
          <w:szCs w:val="20"/>
          <w:lang w:val="sl-SI"/>
        </w:rPr>
      </w:pPr>
      <w:r w:rsidRPr="00565565">
        <w:rPr>
          <w:szCs w:val="20"/>
          <w:lang w:val="sl-SI"/>
        </w:rPr>
        <w:t>Ljubljana, dne</w:t>
      </w:r>
    </w:p>
    <w:p w14:paraId="1C69745A" w14:textId="77777777" w:rsidR="00565565" w:rsidRPr="00565565" w:rsidRDefault="00565565" w:rsidP="00565565">
      <w:pPr>
        <w:tabs>
          <w:tab w:val="left" w:pos="3402"/>
        </w:tabs>
        <w:jc w:val="both"/>
        <w:rPr>
          <w:szCs w:val="20"/>
          <w:lang w:val="sl-SI"/>
        </w:rPr>
      </w:pPr>
    </w:p>
    <w:p w14:paraId="14A15659" w14:textId="77777777" w:rsidR="00565565" w:rsidRPr="00565565" w:rsidRDefault="00565565" w:rsidP="00565565">
      <w:pPr>
        <w:tabs>
          <w:tab w:val="left" w:pos="3402"/>
        </w:tabs>
        <w:jc w:val="both"/>
        <w:rPr>
          <w:szCs w:val="20"/>
          <w:lang w:val="sl-SI"/>
        </w:rPr>
      </w:pPr>
    </w:p>
    <w:p w14:paraId="0C7A49E9" w14:textId="77777777" w:rsidR="00565565" w:rsidRPr="00565565" w:rsidRDefault="00565565" w:rsidP="00565565">
      <w:pPr>
        <w:overflowPunct w:val="0"/>
        <w:autoSpaceDE w:val="0"/>
        <w:autoSpaceDN w:val="0"/>
        <w:adjustRightInd w:val="0"/>
        <w:spacing w:before="60" w:after="60" w:line="200" w:lineRule="exact"/>
        <w:jc w:val="both"/>
        <w:textAlignment w:val="baseline"/>
        <w:rPr>
          <w:rFonts w:cs="Arial"/>
          <w:iCs/>
          <w:szCs w:val="20"/>
          <w:lang w:val="sl-SI" w:eastAsia="sl-SI"/>
        </w:rPr>
      </w:pPr>
    </w:p>
    <w:p w14:paraId="4A721E40" w14:textId="25D3EC46" w:rsidR="00565565" w:rsidRPr="00565565" w:rsidRDefault="00565565" w:rsidP="00565565">
      <w:pPr>
        <w:overflowPunct w:val="0"/>
        <w:autoSpaceDE w:val="0"/>
        <w:autoSpaceDN w:val="0"/>
        <w:adjustRightInd w:val="0"/>
        <w:spacing w:line="240" w:lineRule="auto"/>
        <w:jc w:val="both"/>
        <w:textAlignment w:val="baseline"/>
        <w:rPr>
          <w:rFonts w:cs="Arial"/>
          <w:iCs/>
          <w:szCs w:val="20"/>
          <w:lang w:val="sl-SI" w:eastAsia="sl-SI"/>
        </w:rPr>
      </w:pPr>
      <w:r w:rsidRPr="00565565">
        <w:rPr>
          <w:rFonts w:cs="Arial"/>
          <w:iCs/>
          <w:szCs w:val="20"/>
          <w:lang w:val="sl-SI" w:eastAsia="sl-SI"/>
        </w:rPr>
        <w:t xml:space="preserve">Na podlagi petega odstavka 31. člena Zakona o izvrševanju proračunov Republike Slovenije za leti 2025 in 2026 (Uradni list RS, št. </w:t>
      </w:r>
      <w:r w:rsidRPr="00427ABA">
        <w:rPr>
          <w:rFonts w:cs="Arial"/>
          <w:iCs/>
          <w:szCs w:val="20"/>
          <w:lang w:val="sl-SI" w:eastAsia="sl-SI"/>
        </w:rPr>
        <w:t>104/24</w:t>
      </w:r>
      <w:r w:rsidR="00427ABA">
        <w:rPr>
          <w:rFonts w:cs="Arial"/>
          <w:iCs/>
          <w:szCs w:val="20"/>
          <w:lang w:val="sl-SI" w:eastAsia="sl-SI"/>
        </w:rPr>
        <w:t>,</w:t>
      </w:r>
      <w:r w:rsidRPr="00427ABA">
        <w:rPr>
          <w:rFonts w:cs="Arial"/>
          <w:iCs/>
          <w:szCs w:val="20"/>
          <w:lang w:val="sl-SI" w:eastAsia="sl-SI"/>
        </w:rPr>
        <w:t xml:space="preserve"> 17/25 - ZFO–1E</w:t>
      </w:r>
      <w:r w:rsidR="00427ABA">
        <w:rPr>
          <w:rFonts w:cs="Arial"/>
          <w:iCs/>
          <w:szCs w:val="20"/>
          <w:lang w:val="sl-SI" w:eastAsia="sl-SI"/>
        </w:rPr>
        <w:t xml:space="preserve"> in 32/25 – ZJU-1</w:t>
      </w:r>
      <w:r w:rsidRPr="00565565">
        <w:rPr>
          <w:rFonts w:cs="Arial"/>
          <w:iCs/>
          <w:szCs w:val="20"/>
          <w:lang w:val="sl-SI" w:eastAsia="sl-SI"/>
        </w:rPr>
        <w:t xml:space="preserve">) je Vlada Republike Slovenije na seji dne………………sprejela naslednji </w:t>
      </w:r>
    </w:p>
    <w:p w14:paraId="16FF5658" w14:textId="77777777" w:rsidR="00565565" w:rsidRPr="00565565" w:rsidRDefault="00565565" w:rsidP="00565565">
      <w:pPr>
        <w:overflowPunct w:val="0"/>
        <w:autoSpaceDE w:val="0"/>
        <w:autoSpaceDN w:val="0"/>
        <w:adjustRightInd w:val="0"/>
        <w:spacing w:line="240" w:lineRule="auto"/>
        <w:jc w:val="both"/>
        <w:textAlignment w:val="baseline"/>
        <w:rPr>
          <w:rFonts w:cs="Arial"/>
          <w:iCs/>
          <w:szCs w:val="20"/>
          <w:lang w:val="sl-SI" w:eastAsia="sl-SI"/>
        </w:rPr>
      </w:pPr>
    </w:p>
    <w:p w14:paraId="5CA02052" w14:textId="77777777" w:rsidR="00565565" w:rsidRPr="00565565" w:rsidRDefault="00565565" w:rsidP="00565565">
      <w:pPr>
        <w:overflowPunct w:val="0"/>
        <w:autoSpaceDE w:val="0"/>
        <w:autoSpaceDN w:val="0"/>
        <w:adjustRightInd w:val="0"/>
        <w:spacing w:line="240" w:lineRule="auto"/>
        <w:jc w:val="both"/>
        <w:textAlignment w:val="baseline"/>
        <w:rPr>
          <w:rFonts w:cs="Arial"/>
          <w:iCs/>
          <w:szCs w:val="20"/>
          <w:lang w:val="sl-SI" w:eastAsia="sl-SI"/>
        </w:rPr>
      </w:pPr>
    </w:p>
    <w:p w14:paraId="0604C608" w14:textId="77777777" w:rsidR="00565565" w:rsidRPr="00565565" w:rsidRDefault="00565565" w:rsidP="00565565">
      <w:pPr>
        <w:overflowPunct w:val="0"/>
        <w:autoSpaceDE w:val="0"/>
        <w:autoSpaceDN w:val="0"/>
        <w:adjustRightInd w:val="0"/>
        <w:spacing w:line="240" w:lineRule="auto"/>
        <w:jc w:val="center"/>
        <w:textAlignment w:val="baseline"/>
        <w:rPr>
          <w:rFonts w:cs="Arial"/>
          <w:iCs/>
          <w:szCs w:val="20"/>
          <w:lang w:val="sl-SI" w:eastAsia="sl-SI"/>
        </w:rPr>
      </w:pPr>
      <w:r w:rsidRPr="00565565">
        <w:rPr>
          <w:rFonts w:cs="Arial"/>
          <w:iCs/>
          <w:szCs w:val="20"/>
          <w:lang w:val="sl-SI" w:eastAsia="sl-SI"/>
        </w:rPr>
        <w:t>SKLEP</w:t>
      </w:r>
    </w:p>
    <w:p w14:paraId="002DC507" w14:textId="77777777" w:rsidR="00565565" w:rsidRPr="00565565" w:rsidRDefault="00565565" w:rsidP="00565565">
      <w:pPr>
        <w:overflowPunct w:val="0"/>
        <w:autoSpaceDE w:val="0"/>
        <w:autoSpaceDN w:val="0"/>
        <w:adjustRightInd w:val="0"/>
        <w:spacing w:line="240" w:lineRule="auto"/>
        <w:jc w:val="both"/>
        <w:textAlignment w:val="baseline"/>
        <w:rPr>
          <w:rFonts w:cs="Arial"/>
          <w:iCs/>
          <w:szCs w:val="20"/>
          <w:lang w:val="sl-SI" w:eastAsia="sl-SI"/>
        </w:rPr>
      </w:pPr>
    </w:p>
    <w:p w14:paraId="76EC3FC8" w14:textId="77777777" w:rsidR="00565565" w:rsidRPr="00565565" w:rsidRDefault="00565565" w:rsidP="00565565">
      <w:pPr>
        <w:overflowPunct w:val="0"/>
        <w:autoSpaceDE w:val="0"/>
        <w:autoSpaceDN w:val="0"/>
        <w:adjustRightInd w:val="0"/>
        <w:spacing w:line="240" w:lineRule="auto"/>
        <w:jc w:val="both"/>
        <w:textAlignment w:val="baseline"/>
        <w:rPr>
          <w:rFonts w:cs="Arial"/>
          <w:iCs/>
          <w:szCs w:val="20"/>
          <w:lang w:val="sl-SI" w:eastAsia="sl-SI"/>
        </w:rPr>
      </w:pPr>
    </w:p>
    <w:p w14:paraId="6057DC3C" w14:textId="77777777" w:rsidR="00565565" w:rsidRPr="00565565" w:rsidRDefault="00565565" w:rsidP="00565565">
      <w:pPr>
        <w:jc w:val="both"/>
        <w:rPr>
          <w:iCs/>
          <w:color w:val="000000"/>
          <w:szCs w:val="20"/>
          <w:lang w:val="sl-SI"/>
        </w:rPr>
      </w:pPr>
      <w:r w:rsidRPr="00565565">
        <w:rPr>
          <w:iCs/>
          <w:szCs w:val="20"/>
          <w:lang w:val="sl-SI"/>
        </w:rPr>
        <w:t>V veljavnem Načrtu razvojnih programov 2025–2028 se skladno s priloženo tabelo spremeni projekt, ki izhaja iz evidenčnega projekta 2611-13-0002 – novogradnje, adaptacije, rekonstrukcije, oprema domov za starostnike in SV zavode, in sicer: 2611-22-0924 – Gradnja objekta DSO »Jezerca«, Bovec, ki spada v skupino projektov, 2611-11-S018 – Izvajanje enovitega sistema dolgotrajne oskrbe.</w:t>
      </w:r>
    </w:p>
    <w:p w14:paraId="25A8C656" w14:textId="77777777" w:rsidR="00565565" w:rsidRPr="00565565" w:rsidRDefault="00565565" w:rsidP="00565565">
      <w:pPr>
        <w:overflowPunct w:val="0"/>
        <w:autoSpaceDE w:val="0"/>
        <w:autoSpaceDN w:val="0"/>
        <w:adjustRightInd w:val="0"/>
        <w:spacing w:before="60" w:after="60" w:line="200" w:lineRule="exact"/>
        <w:jc w:val="both"/>
        <w:textAlignment w:val="baseline"/>
        <w:rPr>
          <w:rFonts w:cs="Arial"/>
          <w:iCs/>
          <w:szCs w:val="20"/>
          <w:lang w:val="sl-SI" w:eastAsia="sl-SI"/>
        </w:rPr>
      </w:pPr>
    </w:p>
    <w:p w14:paraId="56CD913B" w14:textId="77777777" w:rsidR="00565565" w:rsidRPr="00565565" w:rsidRDefault="00565565" w:rsidP="00565565">
      <w:pPr>
        <w:overflowPunct w:val="0"/>
        <w:autoSpaceDE w:val="0"/>
        <w:autoSpaceDN w:val="0"/>
        <w:adjustRightInd w:val="0"/>
        <w:spacing w:before="60" w:after="60" w:line="200" w:lineRule="exact"/>
        <w:jc w:val="both"/>
        <w:textAlignment w:val="baseline"/>
        <w:rPr>
          <w:rFonts w:cs="Arial"/>
          <w:iCs/>
          <w:szCs w:val="20"/>
          <w:lang w:val="sl-SI" w:eastAsia="sl-SI"/>
        </w:rPr>
      </w:pPr>
    </w:p>
    <w:p w14:paraId="274962EC" w14:textId="77777777" w:rsidR="00565565" w:rsidRPr="00565565" w:rsidRDefault="00565565" w:rsidP="00565565">
      <w:pPr>
        <w:overflowPunct w:val="0"/>
        <w:autoSpaceDE w:val="0"/>
        <w:autoSpaceDN w:val="0"/>
        <w:adjustRightInd w:val="0"/>
        <w:spacing w:before="60" w:after="60" w:line="200" w:lineRule="exact"/>
        <w:jc w:val="both"/>
        <w:textAlignment w:val="baseline"/>
        <w:rPr>
          <w:rFonts w:cs="Arial"/>
          <w:iCs/>
          <w:szCs w:val="20"/>
          <w:lang w:val="sl-SI" w:eastAsia="sl-SI"/>
        </w:rPr>
      </w:pPr>
    </w:p>
    <w:p w14:paraId="4564AD15" w14:textId="77777777" w:rsidR="00565565" w:rsidRPr="00565565" w:rsidRDefault="00565565" w:rsidP="00565565">
      <w:pPr>
        <w:overflowPunct w:val="0"/>
        <w:autoSpaceDE w:val="0"/>
        <w:autoSpaceDN w:val="0"/>
        <w:adjustRightInd w:val="0"/>
        <w:spacing w:before="60" w:after="60" w:line="200" w:lineRule="exact"/>
        <w:jc w:val="both"/>
        <w:textAlignment w:val="baseline"/>
        <w:rPr>
          <w:rFonts w:cs="Arial"/>
          <w:iCs/>
          <w:szCs w:val="20"/>
          <w:lang w:val="sl-SI" w:eastAsia="sl-SI"/>
        </w:rPr>
      </w:pPr>
    </w:p>
    <w:p w14:paraId="4250E50E" w14:textId="77777777" w:rsidR="00565565" w:rsidRPr="00565565" w:rsidRDefault="00565565" w:rsidP="00565565">
      <w:pPr>
        <w:overflowPunct w:val="0"/>
        <w:autoSpaceDE w:val="0"/>
        <w:autoSpaceDN w:val="0"/>
        <w:adjustRightInd w:val="0"/>
        <w:spacing w:before="60" w:after="60" w:line="200" w:lineRule="exact"/>
        <w:jc w:val="both"/>
        <w:textAlignment w:val="baseline"/>
        <w:rPr>
          <w:rFonts w:cs="Arial"/>
          <w:iCs/>
          <w:szCs w:val="20"/>
          <w:highlight w:val="yellow"/>
          <w:lang w:val="sl-SI" w:eastAsia="sl-SI"/>
        </w:rPr>
      </w:pPr>
      <w:r w:rsidRPr="00565565">
        <w:rPr>
          <w:rFonts w:cs="Arial"/>
          <w:iCs/>
          <w:szCs w:val="20"/>
          <w:lang w:val="sl-SI" w:eastAsia="sl-SI"/>
        </w:rPr>
        <w:t xml:space="preserve">                                                                                       Barbara Kolenko Helbl</w:t>
      </w:r>
    </w:p>
    <w:p w14:paraId="34702F8A" w14:textId="77777777" w:rsidR="00565565" w:rsidRPr="00565565" w:rsidRDefault="00565565" w:rsidP="00565565">
      <w:pPr>
        <w:overflowPunct w:val="0"/>
        <w:autoSpaceDE w:val="0"/>
        <w:autoSpaceDN w:val="0"/>
        <w:adjustRightInd w:val="0"/>
        <w:spacing w:before="60" w:after="60" w:line="200" w:lineRule="exact"/>
        <w:jc w:val="both"/>
        <w:textAlignment w:val="baseline"/>
        <w:rPr>
          <w:rFonts w:cs="Arial"/>
          <w:iCs/>
          <w:szCs w:val="20"/>
          <w:lang w:val="sl-SI" w:eastAsia="sl-SI"/>
        </w:rPr>
      </w:pPr>
      <w:r w:rsidRPr="00565565">
        <w:rPr>
          <w:rFonts w:cs="Arial"/>
          <w:iCs/>
          <w:szCs w:val="20"/>
          <w:lang w:val="sl-SI" w:eastAsia="sl-SI"/>
        </w:rPr>
        <w:t xml:space="preserve">                                                                                       generalna sekretarka</w:t>
      </w:r>
    </w:p>
    <w:p w14:paraId="4EDC98B9" w14:textId="77777777" w:rsidR="00565565" w:rsidRPr="00565565" w:rsidRDefault="00565565" w:rsidP="00565565">
      <w:pPr>
        <w:overflowPunct w:val="0"/>
        <w:autoSpaceDE w:val="0"/>
        <w:autoSpaceDN w:val="0"/>
        <w:adjustRightInd w:val="0"/>
        <w:spacing w:before="60" w:after="60" w:line="200" w:lineRule="exact"/>
        <w:jc w:val="both"/>
        <w:textAlignment w:val="baseline"/>
        <w:rPr>
          <w:rFonts w:cs="Arial"/>
          <w:iCs/>
          <w:szCs w:val="20"/>
          <w:lang w:val="sl-SI" w:eastAsia="sl-SI"/>
        </w:rPr>
      </w:pPr>
    </w:p>
    <w:p w14:paraId="7FDBD801" w14:textId="77777777" w:rsidR="00565565" w:rsidRPr="00565565" w:rsidRDefault="00565565" w:rsidP="00565565">
      <w:pPr>
        <w:overflowPunct w:val="0"/>
        <w:autoSpaceDE w:val="0"/>
        <w:autoSpaceDN w:val="0"/>
        <w:adjustRightInd w:val="0"/>
        <w:spacing w:before="60" w:after="60" w:line="200" w:lineRule="exact"/>
        <w:jc w:val="both"/>
        <w:textAlignment w:val="baseline"/>
        <w:rPr>
          <w:rFonts w:cs="Arial"/>
          <w:iCs/>
          <w:szCs w:val="20"/>
          <w:lang w:val="sl-SI" w:eastAsia="sl-SI"/>
        </w:rPr>
      </w:pPr>
    </w:p>
    <w:p w14:paraId="2FFAA6A9" w14:textId="77777777" w:rsidR="00565565" w:rsidRPr="00565565" w:rsidRDefault="00565565" w:rsidP="00565565">
      <w:pPr>
        <w:overflowPunct w:val="0"/>
        <w:autoSpaceDE w:val="0"/>
        <w:autoSpaceDN w:val="0"/>
        <w:adjustRightInd w:val="0"/>
        <w:spacing w:before="60" w:after="60" w:line="200" w:lineRule="exact"/>
        <w:jc w:val="both"/>
        <w:textAlignment w:val="baseline"/>
        <w:rPr>
          <w:rFonts w:cs="Arial"/>
          <w:iCs/>
          <w:szCs w:val="20"/>
          <w:lang w:val="sl-SI" w:eastAsia="sl-SI"/>
        </w:rPr>
      </w:pPr>
    </w:p>
    <w:p w14:paraId="3DD86475" w14:textId="77777777" w:rsidR="00565565" w:rsidRPr="00565565" w:rsidRDefault="00565565" w:rsidP="00565565">
      <w:pPr>
        <w:overflowPunct w:val="0"/>
        <w:autoSpaceDE w:val="0"/>
        <w:autoSpaceDN w:val="0"/>
        <w:adjustRightInd w:val="0"/>
        <w:spacing w:before="60" w:after="60" w:line="200" w:lineRule="exact"/>
        <w:jc w:val="both"/>
        <w:textAlignment w:val="baseline"/>
        <w:rPr>
          <w:rFonts w:cs="Arial"/>
          <w:iCs/>
          <w:szCs w:val="20"/>
          <w:lang w:val="sl-SI" w:eastAsia="sl-SI"/>
        </w:rPr>
      </w:pPr>
      <w:r w:rsidRPr="00565565">
        <w:rPr>
          <w:rFonts w:cs="Arial"/>
          <w:iCs/>
          <w:szCs w:val="20"/>
          <w:lang w:val="sl-SI" w:eastAsia="sl-SI"/>
        </w:rPr>
        <w:t>Priloga:</w:t>
      </w:r>
    </w:p>
    <w:p w14:paraId="3192A5C9" w14:textId="77777777" w:rsidR="00565565" w:rsidRPr="00565565" w:rsidRDefault="00565565" w:rsidP="00565565">
      <w:pPr>
        <w:overflowPunct w:val="0"/>
        <w:autoSpaceDE w:val="0"/>
        <w:autoSpaceDN w:val="0"/>
        <w:adjustRightInd w:val="0"/>
        <w:spacing w:before="60" w:after="60" w:line="200" w:lineRule="exact"/>
        <w:jc w:val="both"/>
        <w:textAlignment w:val="baseline"/>
        <w:rPr>
          <w:rFonts w:cs="Arial"/>
          <w:iCs/>
          <w:szCs w:val="20"/>
          <w:lang w:val="sl-SI" w:eastAsia="sl-SI"/>
        </w:rPr>
      </w:pPr>
      <w:r w:rsidRPr="00565565">
        <w:rPr>
          <w:rFonts w:cs="Arial"/>
          <w:iCs/>
          <w:szCs w:val="20"/>
          <w:lang w:val="sl-SI" w:eastAsia="sl-SI"/>
        </w:rPr>
        <w:tab/>
        <w:t>Obrazec 3: Načrt razvojnih programov</w:t>
      </w:r>
    </w:p>
    <w:p w14:paraId="61EEDC38" w14:textId="77777777" w:rsidR="00565565" w:rsidRPr="00565565" w:rsidRDefault="00565565" w:rsidP="00565565">
      <w:pPr>
        <w:keepLines/>
        <w:jc w:val="both"/>
        <w:rPr>
          <w:rFonts w:cs="Arial"/>
          <w:bCs/>
          <w:szCs w:val="20"/>
          <w:lang w:val="sl-SI"/>
        </w:rPr>
      </w:pPr>
      <w:r w:rsidRPr="00565565">
        <w:rPr>
          <w:rFonts w:cs="Arial"/>
          <w:bCs/>
          <w:szCs w:val="20"/>
          <w:lang w:val="sl-SI"/>
        </w:rPr>
        <w:t>Sklep prejmejo:</w:t>
      </w:r>
    </w:p>
    <w:p w14:paraId="23834622" w14:textId="77777777" w:rsidR="00565565" w:rsidRPr="00565565" w:rsidRDefault="00565565" w:rsidP="00565565">
      <w:pPr>
        <w:keepLines/>
        <w:numPr>
          <w:ilvl w:val="0"/>
          <w:numId w:val="12"/>
        </w:numPr>
        <w:ind w:left="851"/>
        <w:contextualSpacing/>
        <w:jc w:val="both"/>
        <w:rPr>
          <w:rFonts w:cs="Arial"/>
          <w:bCs/>
          <w:szCs w:val="20"/>
          <w:lang w:val="sl-SI" w:eastAsia="sl-SI"/>
        </w:rPr>
      </w:pPr>
      <w:r w:rsidRPr="00565565">
        <w:rPr>
          <w:rFonts w:cs="Arial"/>
          <w:bCs/>
          <w:szCs w:val="20"/>
          <w:lang w:val="sl-SI" w:eastAsia="sl-SI"/>
        </w:rPr>
        <w:t>Ministrstvo za solidarno prihodnost,</w:t>
      </w:r>
    </w:p>
    <w:p w14:paraId="7E264E81" w14:textId="77777777" w:rsidR="00565565" w:rsidRPr="00565565" w:rsidRDefault="00565565" w:rsidP="00565565">
      <w:pPr>
        <w:keepLines/>
        <w:numPr>
          <w:ilvl w:val="0"/>
          <w:numId w:val="12"/>
        </w:numPr>
        <w:ind w:left="851"/>
        <w:contextualSpacing/>
        <w:jc w:val="both"/>
        <w:rPr>
          <w:rFonts w:cs="Arial"/>
          <w:bCs/>
          <w:szCs w:val="20"/>
          <w:lang w:val="sl-SI" w:eastAsia="sl-SI"/>
        </w:rPr>
      </w:pPr>
      <w:r w:rsidRPr="00565565">
        <w:rPr>
          <w:rFonts w:cs="Arial"/>
          <w:bCs/>
          <w:szCs w:val="20"/>
          <w:lang w:val="sl-SI" w:eastAsia="sl-SI"/>
        </w:rPr>
        <w:t>Generalni sekretariat Vlade Republike Slovenije,</w:t>
      </w:r>
    </w:p>
    <w:p w14:paraId="1E9EA7FF" w14:textId="77777777" w:rsidR="00565565" w:rsidRPr="00565565" w:rsidRDefault="00565565" w:rsidP="00565565">
      <w:pPr>
        <w:keepLines/>
        <w:numPr>
          <w:ilvl w:val="0"/>
          <w:numId w:val="12"/>
        </w:numPr>
        <w:ind w:left="851"/>
        <w:contextualSpacing/>
        <w:jc w:val="both"/>
        <w:rPr>
          <w:rFonts w:cs="Arial"/>
          <w:bCs/>
          <w:szCs w:val="20"/>
          <w:lang w:val="sl-SI" w:eastAsia="sl-SI"/>
        </w:rPr>
      </w:pPr>
      <w:r w:rsidRPr="00565565">
        <w:rPr>
          <w:rFonts w:cs="Arial"/>
          <w:bCs/>
          <w:szCs w:val="20"/>
          <w:lang w:val="sl-SI" w:eastAsia="sl-SI"/>
        </w:rPr>
        <w:t>Ministrstvo za finance.</w:t>
      </w:r>
    </w:p>
    <w:p w14:paraId="479FA24D" w14:textId="77777777" w:rsidR="00565565" w:rsidRPr="00565565" w:rsidRDefault="00565565" w:rsidP="00565565">
      <w:pPr>
        <w:overflowPunct w:val="0"/>
        <w:autoSpaceDE w:val="0"/>
        <w:autoSpaceDN w:val="0"/>
        <w:adjustRightInd w:val="0"/>
        <w:spacing w:before="60" w:after="60" w:line="200" w:lineRule="exact"/>
        <w:jc w:val="both"/>
        <w:textAlignment w:val="baseline"/>
        <w:rPr>
          <w:iCs/>
          <w:szCs w:val="20"/>
          <w:lang w:val="sl-SI"/>
        </w:rPr>
      </w:pPr>
    </w:p>
    <w:p w14:paraId="03220B05" w14:textId="77777777" w:rsidR="00565565" w:rsidRPr="00565565" w:rsidRDefault="00565565" w:rsidP="00565565">
      <w:pPr>
        <w:jc w:val="both"/>
        <w:rPr>
          <w:lang w:val="sl-SI"/>
        </w:rPr>
      </w:pPr>
    </w:p>
    <w:p w14:paraId="5965B304" w14:textId="77777777" w:rsidR="00565565" w:rsidRDefault="00565565" w:rsidP="00565565">
      <w:pPr>
        <w:rPr>
          <w:lang w:val="sl-SI"/>
        </w:rPr>
      </w:pPr>
    </w:p>
    <w:p w14:paraId="5E7FCAAA" w14:textId="77777777" w:rsidR="00565565" w:rsidRPr="00565565" w:rsidRDefault="00565565" w:rsidP="00565565">
      <w:pPr>
        <w:rPr>
          <w:lang w:val="sl-SI"/>
        </w:rPr>
      </w:pPr>
    </w:p>
    <w:sectPr w:rsidR="00565565" w:rsidRPr="00565565" w:rsidSect="00254B3D">
      <w:headerReference w:type="default" r:id="rId8"/>
      <w:headerReference w:type="first" r:id="rId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FA1F" w14:textId="77777777" w:rsidR="009345A2" w:rsidRDefault="009345A2">
      <w:r>
        <w:separator/>
      </w:r>
    </w:p>
  </w:endnote>
  <w:endnote w:type="continuationSeparator" w:id="0">
    <w:p w14:paraId="3F2CAAC9" w14:textId="77777777" w:rsidR="009345A2" w:rsidRDefault="0093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3E98" w14:textId="77777777" w:rsidR="009345A2" w:rsidRDefault="009345A2">
      <w:r>
        <w:separator/>
      </w:r>
    </w:p>
  </w:footnote>
  <w:footnote w:type="continuationSeparator" w:id="0">
    <w:p w14:paraId="3F482445" w14:textId="77777777" w:rsidR="009345A2" w:rsidRDefault="00934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035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BB28646" w14:textId="77777777">
      <w:trPr>
        <w:cantSplit/>
        <w:trHeight w:hRule="exact" w:val="847"/>
      </w:trPr>
      <w:tc>
        <w:tcPr>
          <w:tcW w:w="567" w:type="dxa"/>
        </w:tcPr>
        <w:p w14:paraId="2E12361B" w14:textId="4F7326CD" w:rsidR="002A2B69" w:rsidRPr="008F3500" w:rsidRDefault="00306D02"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4C670723" wp14:editId="02E796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1A38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4C474F0" w14:textId="0FA46CE7" w:rsidR="00A770A6" w:rsidRPr="008F3500" w:rsidRDefault="00565565" w:rsidP="00565565">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9264" behindDoc="0" locked="0" layoutInCell="1" allowOverlap="1" wp14:anchorId="675CC45C" wp14:editId="27979ADE">
          <wp:simplePos x="0" y="0"/>
          <wp:positionH relativeFrom="page">
            <wp:align>left</wp:align>
          </wp:positionH>
          <wp:positionV relativeFrom="page">
            <wp:align>top</wp:align>
          </wp:positionV>
          <wp:extent cx="3535680" cy="1087120"/>
          <wp:effectExtent l="0" t="0" r="0" b="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Dunajska </w:t>
    </w:r>
    <w:r w:rsidR="00BC1883">
      <w:rPr>
        <w:rFonts w:cs="Arial"/>
        <w:sz w:val="16"/>
        <w:lang w:val="sl-SI"/>
      </w:rPr>
      <w:t xml:space="preserve">cesta </w:t>
    </w:r>
    <w:r>
      <w:rPr>
        <w:rFonts w:cs="Arial"/>
        <w:sz w:val="16"/>
        <w:lang w:val="sl-SI"/>
      </w:rPr>
      <w:t>21</w:t>
    </w:r>
    <w:r w:rsidR="00A770A6" w:rsidRPr="008F3500">
      <w:rPr>
        <w:rFonts w:cs="Arial"/>
        <w:sz w:val="16"/>
        <w:lang w:val="sl-SI"/>
      </w:rPr>
      <w:t xml:space="preserve">, </w:t>
    </w:r>
    <w:r w:rsidR="00254B3D">
      <w:rPr>
        <w:rFonts w:cs="Arial"/>
        <w:sz w:val="16"/>
        <w:lang w:val="sl-SI"/>
      </w:rPr>
      <w:t>1000 Ljubljana</w:t>
    </w:r>
    <w:r w:rsidR="00A770A6" w:rsidRPr="008F3500">
      <w:rPr>
        <w:rFonts w:cs="Arial"/>
        <w:sz w:val="16"/>
        <w:lang w:val="sl-SI"/>
      </w:rPr>
      <w:tab/>
      <w:t xml:space="preserve">E: </w:t>
    </w:r>
    <w:r w:rsidR="00254B3D">
      <w:rPr>
        <w:rFonts w:cs="Arial"/>
        <w:sz w:val="16"/>
        <w:lang w:val="sl-SI"/>
      </w:rPr>
      <w:t>gp.m</w:t>
    </w:r>
    <w:r w:rsidR="00306D02">
      <w:rPr>
        <w:rFonts w:cs="Arial"/>
        <w:sz w:val="16"/>
        <w:lang w:val="sl-SI"/>
      </w:rPr>
      <w:t>sp</w:t>
    </w:r>
    <w:r w:rsidR="00254B3D">
      <w:rPr>
        <w:rFonts w:cs="Arial"/>
        <w:sz w:val="16"/>
        <w:lang w:val="sl-SI"/>
      </w:rPr>
      <w:t>@gov.si</w:t>
    </w:r>
  </w:p>
  <w:p w14:paraId="3FC7052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254B3D">
      <w:rPr>
        <w:rFonts w:cs="Arial"/>
        <w:sz w:val="16"/>
        <w:lang w:val="sl-SI"/>
      </w:rPr>
      <w:t>www.gov.si</w:t>
    </w:r>
  </w:p>
  <w:p w14:paraId="511CE369"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75946CA"/>
    <w:multiLevelType w:val="hybridMultilevel"/>
    <w:tmpl w:val="F05C87F2"/>
    <w:lvl w:ilvl="0" w:tplc="AF2CE064">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4920040">
    <w:abstractNumId w:val="9"/>
  </w:num>
  <w:num w:numId="2" w16cid:durableId="110321047">
    <w:abstractNumId w:val="4"/>
  </w:num>
  <w:num w:numId="3" w16cid:durableId="896281517">
    <w:abstractNumId w:val="6"/>
  </w:num>
  <w:num w:numId="4" w16cid:durableId="1278828483">
    <w:abstractNumId w:val="0"/>
  </w:num>
  <w:num w:numId="5" w16cid:durableId="451941782">
    <w:abstractNumId w:val="1"/>
  </w:num>
  <w:num w:numId="6" w16cid:durableId="942224274">
    <w:abstractNumId w:val="2"/>
  </w:num>
  <w:num w:numId="7" w16cid:durableId="767577518">
    <w:abstractNumId w:val="8"/>
  </w:num>
  <w:num w:numId="8" w16cid:durableId="1196771213">
    <w:abstractNumId w:val="10"/>
  </w:num>
  <w:num w:numId="9" w16cid:durableId="793672297">
    <w:abstractNumId w:val="12"/>
  </w:num>
  <w:num w:numId="10" w16cid:durableId="1722053527">
    <w:abstractNumId w:val="5"/>
  </w:num>
  <w:num w:numId="11" w16cid:durableId="842864732">
    <w:abstractNumId w:val="3"/>
  </w:num>
  <w:num w:numId="12" w16cid:durableId="9487002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03562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65"/>
    <w:rsid w:val="00023A88"/>
    <w:rsid w:val="000A7238"/>
    <w:rsid w:val="001357B2"/>
    <w:rsid w:val="0017478F"/>
    <w:rsid w:val="00202A77"/>
    <w:rsid w:val="002367CB"/>
    <w:rsid w:val="00254B3D"/>
    <w:rsid w:val="00271CE5"/>
    <w:rsid w:val="00282020"/>
    <w:rsid w:val="002A2B69"/>
    <w:rsid w:val="00306D02"/>
    <w:rsid w:val="003636BF"/>
    <w:rsid w:val="00371442"/>
    <w:rsid w:val="003845B4"/>
    <w:rsid w:val="00387B1A"/>
    <w:rsid w:val="003C5EE5"/>
    <w:rsid w:val="003E1C74"/>
    <w:rsid w:val="00427ABA"/>
    <w:rsid w:val="004344B6"/>
    <w:rsid w:val="004657EE"/>
    <w:rsid w:val="00485A1E"/>
    <w:rsid w:val="00526246"/>
    <w:rsid w:val="00565565"/>
    <w:rsid w:val="00567106"/>
    <w:rsid w:val="005E1D3C"/>
    <w:rsid w:val="005F6CC3"/>
    <w:rsid w:val="00625AE6"/>
    <w:rsid w:val="00632253"/>
    <w:rsid w:val="00642714"/>
    <w:rsid w:val="006455CE"/>
    <w:rsid w:val="00655841"/>
    <w:rsid w:val="00733017"/>
    <w:rsid w:val="00783310"/>
    <w:rsid w:val="007A4A6D"/>
    <w:rsid w:val="007D1BCF"/>
    <w:rsid w:val="007D75CF"/>
    <w:rsid w:val="007E0440"/>
    <w:rsid w:val="007E6DC5"/>
    <w:rsid w:val="0088043C"/>
    <w:rsid w:val="00884889"/>
    <w:rsid w:val="008906C9"/>
    <w:rsid w:val="008C5738"/>
    <w:rsid w:val="008D04F0"/>
    <w:rsid w:val="008F3500"/>
    <w:rsid w:val="00924E3C"/>
    <w:rsid w:val="009345A2"/>
    <w:rsid w:val="009612BB"/>
    <w:rsid w:val="009932EA"/>
    <w:rsid w:val="009C740A"/>
    <w:rsid w:val="009E53D1"/>
    <w:rsid w:val="00A125C5"/>
    <w:rsid w:val="00A2451C"/>
    <w:rsid w:val="00A565C9"/>
    <w:rsid w:val="00A65EE7"/>
    <w:rsid w:val="00A70133"/>
    <w:rsid w:val="00A770A6"/>
    <w:rsid w:val="00A813B1"/>
    <w:rsid w:val="00AB36C4"/>
    <w:rsid w:val="00AC32B2"/>
    <w:rsid w:val="00B17141"/>
    <w:rsid w:val="00B31575"/>
    <w:rsid w:val="00B8547D"/>
    <w:rsid w:val="00BC1883"/>
    <w:rsid w:val="00C250D5"/>
    <w:rsid w:val="00C35666"/>
    <w:rsid w:val="00C426B8"/>
    <w:rsid w:val="00C92898"/>
    <w:rsid w:val="00CA4340"/>
    <w:rsid w:val="00CE5238"/>
    <w:rsid w:val="00CE7514"/>
    <w:rsid w:val="00D04605"/>
    <w:rsid w:val="00D248DE"/>
    <w:rsid w:val="00D801C7"/>
    <w:rsid w:val="00D8542D"/>
    <w:rsid w:val="00DB0B2E"/>
    <w:rsid w:val="00DC478F"/>
    <w:rsid w:val="00DC6A71"/>
    <w:rsid w:val="00E0357D"/>
    <w:rsid w:val="00ED1C3E"/>
    <w:rsid w:val="00F240BB"/>
    <w:rsid w:val="00F57FED"/>
    <w:rsid w:val="00FC7B4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0558EFC"/>
  <w15:chartTrackingRefBased/>
  <w15:docId w15:val="{0702AC5C-1139-4E17-8150-5D8EE7F0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565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USR\M-P\MallyM17\Desktop\MSP\Glava%20-%20MS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 - MSP</Template>
  <TotalTime>19</TotalTime>
  <Pages>7</Pages>
  <Words>2751</Words>
  <Characters>15684</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vt:lpstr>
      <vt:lpstr>Številka: </vt:lpstr>
    </vt:vector>
  </TitlesOfParts>
  <Company>Indea d.o.o.</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Maja Mally Dovč</dc:creator>
  <cp:keywords/>
  <cp:lastModifiedBy>Maja Mally Dovč</cp:lastModifiedBy>
  <cp:revision>3</cp:revision>
  <cp:lastPrinted>2010-07-16T07:41:00Z</cp:lastPrinted>
  <dcterms:created xsi:type="dcterms:W3CDTF">2025-06-10T05:01:00Z</dcterms:created>
  <dcterms:modified xsi:type="dcterms:W3CDTF">2025-06-10T06:41:00Z</dcterms:modified>
</cp:coreProperties>
</file>