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SPREMEMBAH UREDBE O DOLOČITVI ZNESKA TROŠARINE ZA ENERGENTE IN ELEKTRIČNO ENERGIJO</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2025-1611-0110</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 xml:space="preserve">Prva alineja prvega odstavka 110. člena Zakona o trošarinah </w:t>
      </w:r>
    </w:p>
    <w:p>
      <w:pPr>
        <w:spacing w:after="0" w:line="260" w:lineRule="auto"/>
        <w:rPr>
          <w:rFonts w:ascii="Arial" w:hAnsi="Arial" w:cs="Arial"/>
        </w:rPr>
      </w:pPr>
    </w:p>
    <w:p>
      <w:pPr>
        <w:spacing w:after="0" w:line="260" w:lineRule="auto"/>
      </w:pPr>
      <w:r>
        <w:t>Rok za izdajo:</w:t>
      </w:r>
    </w:p>
    <w:p>
      <w:pPr>
        <w:spacing w:after="0" w:line="240" w:lineRule="auto"/>
      </w:pPr>
      <w:r>
        <w:t>Roka ni.</w:t>
      </w:r>
    </w:p>
    <w:p>
      <w:pPr>
        <w:spacing w:after="0" w:line="260" w:lineRule="auto"/>
        <w:rPr>
          <w:rFonts w:ascii="Arial" w:hAnsi="Arial" w:cs="Arial"/>
        </w:rPr>
      </w:pPr>
    </w:p>
    <w:p>
      <w:pPr>
        <w:spacing w:after="0" w:line="260" w:lineRule="auto"/>
      </w:pPr>
      <w:r>
        <w:t>Glavni razlogi za izdajo:</w:t>
      </w:r>
    </w:p>
    <w:p>
      <w:pPr>
        <w:spacing w:after="0" w:line="240" w:lineRule="auto"/>
        <w:jc w:val="both"/>
      </w:pPr>
      <w:r>
        <w:t xml:space="preserve">S predlagano uredbo se na podlagi pooblastila vladi iz prvega odstavka 110. člena Zakona o trošarinah (Uradni list RS, št. 47/16, 92/21, 192/21, 140/22 in 38/24; v nadaljevanju: Zakon o trošarinah) spreminjajo trošarine za določene energente. </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pStyle w:val="Odebeljeno"/>
        <w:spacing w:after="0" w:line="260" w:lineRule="auto"/>
        <w:ind w:left="360" w:hanging="360"/>
      </w:pPr>
      <w:r>
        <w:tab/>
      </w:r>
      <w:r>
        <w:t>Predpis ima posledice za državni proračun in druga javnofinančna sredstva.</w:t>
      </w:r>
    </w:p>
    <w:p>
      <w:pPr>
        <w:spacing w:after="0" w:line="260" w:lineRule="auto"/>
        <w:rPr>
          <w:rFonts w:ascii="Arial" w:hAnsi="Arial" w:cs="Arial"/>
        </w:rPr>
      </w:pPr>
    </w:p>
    <w:p>
      <w:pPr>
        <w:pStyle w:val="Odebeljeno"/>
        <w:spacing w:after="0" w:line="260" w:lineRule="auto"/>
        <w:ind w:left="720" w:hanging="360"/>
      </w:pPr>
      <w:r>
        <w:t>–</w:t>
      </w:r>
      <w:r>
        <w:tab/>
      </w:r>
      <w:r>
        <w:t>Predpis ima posledice za blagajne javnega financiranja (državni proračun, občinski proračuni ter pokojninska in zdravstvena blagajna).</w:t>
      </w:r>
    </w:p>
    <w:p>
      <w:pPr>
        <w:spacing w:after="0" w:line="260" w:lineRule="auto"/>
        <w:rPr>
          <w:rFonts w:ascii="Arial" w:hAnsi="Arial" w:cs="Arial"/>
        </w:rPr>
      </w:pPr>
    </w:p>
    <w:p>
      <w:pPr>
        <w:spacing w:after="0" w:line="260" w:lineRule="auto"/>
        <w:ind w:left="1080" w:hanging="360"/>
      </w:pPr>
      <w:r>
        <w:t>–</w:t>
      </w:r>
      <w:r>
        <w:tab/>
      </w:r>
      <w:r>
        <w:t>Predpis ima na blagajne javnega financiranja učinek v vrednosti nad 40.000 eur.</w:t>
      </w:r>
    </w:p>
    <w:p>
      <w:pPr>
        <w:spacing w:after="0" w:line="260" w:lineRule="auto"/>
        <w:rPr>
          <w:rFonts w:ascii="Arial" w:hAnsi="Arial" w:cs="Arial"/>
        </w:rPr>
      </w:pPr>
    </w:p>
    <w:p>
      <w:pPr>
        <w:spacing w:after="0" w:line="240" w:lineRule="auto"/>
        <w:ind w:left="1080"/>
      </w:pPr>
      <w:r>
        <w:t>Spremembe zneskov trošarin neosvinčenega bencina, plinskega olja za gorivo za pogonski namen in za ogrevanje bodo znižale prihodke iz naslova trošarin za približno 115 milijonov evrov na leto.</w:t>
      </w:r>
    </w:p>
    <w:p>
      <w:pPr>
        <w:spacing w:after="0" w:line="240" w:lineRule="auto"/>
        <w:ind w:left="1080" w:firstLine="0"/>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pStyle w:val="Odebeljeno"/>
        <w:spacing w:after="0" w:line="260" w:lineRule="auto"/>
        <w:ind w:left="360" w:hanging="360"/>
      </w:pPr>
      <w:r>
        <w:t>a)</w:t>
      </w:r>
      <w:r>
        <w:tab/>
      </w:r>
      <w:r>
        <w:t>Predpis ima učinek na količino emisij onesnaževal zunanjega zraka ali na kakovost zunanjega zraka.</w:t>
      </w:r>
    </w:p>
    <w:p>
      <w:pPr>
        <w:spacing w:after="0" w:line="260" w:lineRule="auto"/>
        <w:rPr>
          <w:rFonts w:ascii="Arial" w:hAnsi="Arial" w:cs="Arial"/>
        </w:rPr>
      </w:pPr>
    </w:p>
    <w:p>
      <w:pPr>
        <w:pStyle w:val="Odebeljeno"/>
        <w:spacing w:after="0" w:line="260" w:lineRule="auto"/>
        <w:ind w:left="720" w:hanging="360"/>
      </w:pPr>
      <w:r>
        <w:t>–</w:t>
      </w:r>
      <w:r>
        <w:tab/>
      </w:r>
      <w:r>
        <w:t>Predpis ima negativen učinek na cilj zmanjšanja emisij onesnaževal zunanjega zraka in na zagotavljanje predpisane kakovosti zraka.</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zmanjšuje spodbudo za znižanje rabe fosilnih goriv in s tem zmanjšuje možnosti za dosego cilja zmanjšanja emisij onesnaževal zunanjega zraka in na zagotavljanje predpisane kakovosti zraka.</w:t>
      </w:r>
    </w:p>
    <w:p>
      <w:pPr>
        <w:spacing w:after="0" w:line="240" w:lineRule="auto"/>
        <w:ind w:left="720"/>
      </w:pPr>
      <w:r>
        <w:t xml:space="preserve"> </w:t>
      </w:r>
    </w:p>
    <w:p>
      <w:pPr>
        <w:spacing w:after="0" w:line="240" w:lineRule="auto"/>
        <w:ind w:left="720" w:firstLine="0"/>
      </w:pPr>
    </w:p>
    <w:p>
      <w:pPr>
        <w:pStyle w:val="Odebeljeno"/>
        <w:spacing w:after="0" w:line="260" w:lineRule="auto"/>
        <w:ind w:left="360" w:hanging="360"/>
      </w:pPr>
      <w:r>
        <w:t>b)</w:t>
      </w:r>
      <w:r>
        <w:tab/>
      </w:r>
      <w:r>
        <w:t>Predpis ima učinek na cilj doseganja podnebne nevtralnosti oziroma zmanjševanja emisij toplogrednih plinov.</w:t>
      </w:r>
    </w:p>
    <w:p>
      <w:pPr>
        <w:spacing w:after="0" w:line="260" w:lineRule="auto"/>
        <w:rPr>
          <w:rFonts w:ascii="Arial" w:hAnsi="Arial" w:cs="Arial"/>
        </w:rPr>
      </w:pPr>
    </w:p>
    <w:p>
      <w:pPr>
        <w:pStyle w:val="Odebeljeno"/>
        <w:spacing w:after="0" w:line="260" w:lineRule="auto"/>
        <w:ind w:left="720" w:hanging="360"/>
      </w:pPr>
      <w:r>
        <w:t>–</w:t>
      </w:r>
      <w:r>
        <w:tab/>
      </w:r>
      <w:r>
        <w:t>Predpis ima negativen učinek na zmanjševanje emisij toplogrednih plinov.</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zmanjšuje spodbudo za znižanje rabe fosilnih goriv in s tem povečuje emisije toplogrednih plinov.</w:t>
      </w:r>
    </w:p>
    <w:p>
      <w:pPr>
        <w:spacing w:after="0" w:line="240" w:lineRule="auto"/>
        <w:ind w:left="720" w:firstLine="0"/>
      </w:pPr>
    </w:p>
    <w:p>
      <w:pPr>
        <w:pStyle w:val="Odebeljeno"/>
        <w:spacing w:after="0" w:line="260" w:lineRule="auto"/>
        <w:ind w:left="360" w:hanging="360"/>
      </w:pPr>
      <w:r>
        <w:t>c)</w:t>
      </w:r>
      <w:r>
        <w:tab/>
      </w:r>
      <w:r>
        <w:t>Predpis ima učinek na preprečevanje ali zmanjševanje tveganj za okolje.</w:t>
      </w:r>
    </w:p>
    <w:p>
      <w:pPr>
        <w:spacing w:after="0" w:line="260" w:lineRule="auto"/>
        <w:rPr>
          <w:rFonts w:ascii="Arial" w:hAnsi="Arial" w:cs="Arial"/>
        </w:rPr>
      </w:pPr>
    </w:p>
    <w:p>
      <w:pPr>
        <w:pStyle w:val="Odebeljeno"/>
        <w:spacing w:after="0" w:line="260" w:lineRule="auto"/>
        <w:ind w:left="720" w:hanging="360"/>
      </w:pPr>
      <w:r>
        <w:t>–</w:t>
      </w:r>
      <w:r>
        <w:tab/>
      </w:r>
      <w:r>
        <w:t>Predpis ima negativen učinek na preprečevanje ali zmanjševanje tveganj za okolje.</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zmanjšuje spodbudo za znižanje rabe fosilnih goriv in s tem povečuje tveganja za okolje.</w:t>
      </w:r>
    </w:p>
    <w:p>
      <w:pPr>
        <w:spacing w:after="0" w:line="240" w:lineRule="auto"/>
        <w:ind w:left="720" w:firstLine="0"/>
      </w:pPr>
    </w:p>
    <w:p>
      <w:pPr>
        <w:pStyle w:val="Odebeljeno"/>
        <w:spacing w:after="0" w:line="260" w:lineRule="auto"/>
        <w:ind w:left="360" w:hanging="360"/>
      </w:pPr>
      <w:r>
        <w:t>č)</w:t>
      </w:r>
      <w:r>
        <w:tab/>
      </w:r>
      <w:r>
        <w:t>Predpis ima učinek na spodbujanje posameznikov, podjetij in javnega sektorja v odnosu do uporabe okolju primernih tehnologij, s katerimi se povečuje izraba obnovljivih virov energije, učinkovito ravna z energijo in zmanjšuje ogljični odtis pri njihovih aktivnostih.</w:t>
      </w:r>
    </w:p>
    <w:p>
      <w:pPr>
        <w:spacing w:after="0" w:line="260" w:lineRule="auto"/>
        <w:rPr>
          <w:rFonts w:ascii="Arial" w:hAnsi="Arial" w:cs="Arial"/>
        </w:rPr>
      </w:pPr>
    </w:p>
    <w:p>
      <w:pPr>
        <w:pStyle w:val="Odebeljeno"/>
        <w:spacing w:after="0" w:line="260" w:lineRule="auto"/>
        <w:ind w:left="720" w:hanging="360"/>
      </w:pPr>
      <w:r>
        <w:t>–</w:t>
      </w:r>
      <w:r>
        <w:tab/>
      </w:r>
      <w:r>
        <w:t>Predpis ima negativen učinek na aktivnost posameznikov, podjetij in javnega sektorja v odnosu do uporabe okolju primernih tehnologij.</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zmanjšuje spodbudo za aktivnost posameznikov, podjetij in javnega sektorja v odnosu do uporabe okolju primernih tehnologij.</w:t>
      </w:r>
    </w:p>
    <w:p>
      <w:pPr>
        <w:spacing w:after="0" w:line="240" w:lineRule="auto"/>
        <w:ind w:left="720" w:firstLine="0"/>
      </w:pPr>
    </w:p>
    <w:p>
      <w:pPr>
        <w:pStyle w:val="Odebeljeno"/>
        <w:spacing w:after="0" w:line="260" w:lineRule="auto"/>
        <w:ind w:left="360" w:hanging="360"/>
      </w:pPr>
      <w:r>
        <w:t>d)</w:t>
      </w:r>
      <w:r>
        <w:tab/>
      </w:r>
      <w:r>
        <w:t>Predpis ima učinek na spodbujanje rabe obnovljivih virov energije.</w:t>
      </w:r>
    </w:p>
    <w:p>
      <w:pPr>
        <w:spacing w:after="0" w:line="260" w:lineRule="auto"/>
        <w:rPr>
          <w:rFonts w:ascii="Arial" w:hAnsi="Arial" w:cs="Arial"/>
        </w:rPr>
      </w:pPr>
    </w:p>
    <w:p>
      <w:pPr>
        <w:pStyle w:val="Odebeljeno"/>
        <w:spacing w:after="0" w:line="260" w:lineRule="auto"/>
        <w:ind w:left="720" w:hanging="360"/>
      </w:pPr>
      <w:r>
        <w:t>–</w:t>
      </w:r>
      <w:r>
        <w:tab/>
      </w:r>
      <w:r>
        <w:t>Predpis ima negativen učinek na spodbujanje rabe obnovljivih virov energije.</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negativno vpliva na spodbujanje rabe obnovljivih virov energije.</w:t>
      </w:r>
    </w:p>
    <w:p>
      <w:pPr>
        <w:spacing w:after="0" w:line="240" w:lineRule="auto"/>
        <w:ind w:left="720" w:firstLine="0"/>
      </w:pPr>
    </w:p>
    <w:p>
      <w:pPr>
        <w:pStyle w:val="Odebeljeno"/>
        <w:spacing w:after="0" w:line="260" w:lineRule="auto"/>
        <w:ind w:left="360" w:hanging="360"/>
      </w:pPr>
      <w:r>
        <w:t>e)</w:t>
      </w:r>
      <w:r>
        <w:tab/>
      </w:r>
      <w:r>
        <w:t>Predpis ima učinek na učinkovito rabo energije.</w:t>
      </w:r>
    </w:p>
    <w:p>
      <w:pPr>
        <w:spacing w:after="0" w:line="260" w:lineRule="auto"/>
        <w:rPr>
          <w:rFonts w:ascii="Arial" w:hAnsi="Arial" w:cs="Arial"/>
        </w:rPr>
      </w:pPr>
    </w:p>
    <w:p>
      <w:pPr>
        <w:pStyle w:val="Odebeljeno"/>
        <w:spacing w:after="0" w:line="260" w:lineRule="auto"/>
        <w:ind w:left="720" w:hanging="360"/>
      </w:pPr>
      <w:r>
        <w:t>–</w:t>
      </w:r>
      <w:r>
        <w:tab/>
      </w:r>
      <w:r>
        <w:t>Predpis ima negativen učinek na zmanjšanje rabe energije.</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negativno vpliva na zmanjšanje rabe energije.</w:t>
      </w:r>
    </w:p>
    <w:p>
      <w:pPr>
        <w:spacing w:after="0" w:line="240" w:lineRule="auto"/>
        <w:ind w:left="720" w:firstLine="0"/>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pStyle w:val="Odebeljeno"/>
        <w:spacing w:after="0" w:line="260" w:lineRule="auto"/>
        <w:ind w:left="360" w:hanging="360"/>
      </w:pPr>
      <w:r>
        <w:t>a)</w:t>
      </w:r>
      <w:r>
        <w:tab/>
      </w:r>
      <w:r>
        <w:t>Predpis ima učinek na fizične in pravne osebe, ki opravljajo dejavnost.</w:t>
      </w:r>
    </w:p>
    <w:p>
      <w:pPr>
        <w:spacing w:after="0" w:line="260" w:lineRule="auto"/>
        <w:rPr>
          <w:rFonts w:ascii="Arial" w:hAnsi="Arial" w:cs="Arial"/>
        </w:rPr>
      </w:pPr>
    </w:p>
    <w:p>
      <w:pPr>
        <w:pStyle w:val="Odebeljeno"/>
        <w:spacing w:after="0" w:line="260" w:lineRule="auto"/>
        <w:ind w:left="720" w:hanging="360"/>
      </w:pPr>
      <w:r>
        <w:t>–</w:t>
      </w:r>
      <w:r>
        <w:tab/>
      </w:r>
      <w:r>
        <w:t>Predpis ima pozitiven učinek na stroške poslovanja.</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znižuje stroške poslovanja v primerjavi s scenarijem nespremenjenih trošarin.</w:t>
      </w:r>
    </w:p>
    <w:p>
      <w:pPr>
        <w:spacing w:after="0" w:line="240" w:lineRule="auto"/>
        <w:ind w:left="720" w:firstLine="0"/>
      </w:pPr>
    </w:p>
    <w:p>
      <w:pPr>
        <w:pStyle w:val="Odebeljeno"/>
        <w:spacing w:after="0" w:line="260" w:lineRule="auto"/>
        <w:ind w:left="360" w:hanging="360"/>
      </w:pPr>
      <w:r>
        <w:t>b)</w:t>
      </w:r>
      <w:r>
        <w:tab/>
      </w:r>
      <w:r>
        <w:t>Predpis ima učinek na potrošnike oziroma gospodinjstva.</w:t>
      </w:r>
    </w:p>
    <w:p>
      <w:pPr>
        <w:spacing w:after="0" w:line="260" w:lineRule="auto"/>
        <w:rPr>
          <w:rFonts w:ascii="Arial" w:hAnsi="Arial" w:cs="Arial"/>
        </w:rPr>
      </w:pPr>
    </w:p>
    <w:p>
      <w:pPr>
        <w:pStyle w:val="Odebeljeno"/>
        <w:spacing w:after="0" w:line="260" w:lineRule="auto"/>
        <w:ind w:left="720" w:hanging="360"/>
      </w:pPr>
      <w:r>
        <w:t>–</w:t>
      </w:r>
      <w:r>
        <w:tab/>
      </w:r>
      <w:r>
        <w:t>Predpis ima pozitiven učinek na cene blaga/storitev za potrošnike oziroma gospodinjstva.</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bo zmanjšalo pritisk na dvig cen blaga in storitev za potrošnike oziroma gospodinjstva.</w:t>
      </w:r>
    </w:p>
    <w:p>
      <w:pPr>
        <w:spacing w:after="0" w:line="240" w:lineRule="auto"/>
        <w:ind w:left="720" w:firstLine="0"/>
      </w:pPr>
    </w:p>
    <w:p>
      <w:pPr>
        <w:pStyle w:val="Odebeljeno"/>
        <w:spacing w:after="0" w:line="260" w:lineRule="auto"/>
        <w:ind w:left="360" w:hanging="360"/>
      </w:pPr>
      <w:r>
        <w:t>c)</w:t>
      </w:r>
      <w:r>
        <w:tab/>
      </w:r>
      <w:r>
        <w:t>Predpis ima učinek na makroekonomijo kot npr. inflacija, gospodarska rast, javno-finančni prihodki, zadolžitev ali širše (mednarodno).</w:t>
      </w:r>
    </w:p>
    <w:p>
      <w:pPr>
        <w:spacing w:after="0" w:line="260" w:lineRule="auto"/>
        <w:rPr>
          <w:rFonts w:ascii="Arial" w:hAnsi="Arial" w:cs="Arial"/>
        </w:rPr>
      </w:pPr>
    </w:p>
    <w:p>
      <w:pPr>
        <w:pStyle w:val="Odebeljeno"/>
        <w:spacing w:after="0" w:line="260" w:lineRule="auto"/>
        <w:ind w:left="720" w:hanging="360"/>
      </w:pPr>
      <w:r>
        <w:t>–</w:t>
      </w:r>
      <w:r>
        <w:tab/>
      </w:r>
      <w:r>
        <w:t>Predpis ima pozitiven učinek na gospodarsko rast v Sloveniji.</w:t>
      </w:r>
    </w:p>
    <w:p>
      <w:pPr>
        <w:spacing w:after="0" w:line="260" w:lineRule="auto"/>
        <w:rPr>
          <w:rFonts w:ascii="Arial" w:hAnsi="Arial" w:cs="Arial"/>
        </w:rPr>
      </w:pPr>
    </w:p>
    <w:p>
      <w:pPr>
        <w:spacing w:after="0" w:line="240" w:lineRule="auto"/>
        <w:ind w:left="720"/>
      </w:pPr>
      <w:r>
        <w:t>Znižanje dajatev bo kratkoročno pozitivno vplivala na gospodarsko rast v Sloveniji, dolgoročno pa je nevarnost, da bo znižalo gospodarsko rast, saj bo znižanje dajatev znižalo javnofinančne prihodke, povečalo javnofinančni primanjkljaj in s tem možnost za druge ukrepe, ki zahtevajo javnofinančna sredstva.</w:t>
      </w:r>
    </w:p>
    <w:p>
      <w:pPr>
        <w:spacing w:after="0" w:line="240" w:lineRule="auto"/>
        <w:ind w:left="720" w:firstLine="0"/>
      </w:pPr>
    </w:p>
    <w:p>
      <w:pPr>
        <w:pStyle w:val="Odebeljeno"/>
        <w:spacing w:after="0" w:line="260" w:lineRule="auto"/>
        <w:ind w:left="720" w:hanging="360"/>
      </w:pPr>
      <w:r>
        <w:t>–</w:t>
      </w:r>
      <w:r>
        <w:tab/>
      </w:r>
      <w:r>
        <w:t>Predpis ima pozitiven učinek na inflacijske pojave v Sloveniji.</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bo pomenilo nižjo inflacijo, kot bi bila, če vlada ne bi znižala trošarin.</w:t>
      </w:r>
    </w:p>
    <w:p>
      <w:pPr>
        <w:spacing w:after="0" w:line="240" w:lineRule="auto"/>
        <w:ind w:left="720" w:firstLine="0"/>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pStyle w:val="Odebeljeno"/>
        <w:spacing w:after="0" w:line="260" w:lineRule="auto"/>
        <w:ind w:left="360" w:hanging="360"/>
      </w:pPr>
      <w:r>
        <w:t>a)</w:t>
      </w:r>
      <w:r>
        <w:tab/>
      </w:r>
      <w:r>
        <w:t>Predpis ima učinek na socialno vključenost in materialni položaj gospodinjstev.</w:t>
      </w:r>
    </w:p>
    <w:p>
      <w:pPr>
        <w:spacing w:after="0" w:line="260" w:lineRule="auto"/>
        <w:rPr>
          <w:rFonts w:ascii="Arial" w:hAnsi="Arial" w:cs="Arial"/>
        </w:rPr>
      </w:pPr>
    </w:p>
    <w:p>
      <w:pPr>
        <w:pStyle w:val="Odebeljeno"/>
        <w:spacing w:after="0" w:line="260" w:lineRule="auto"/>
        <w:ind w:left="720" w:hanging="360"/>
      </w:pPr>
      <w:r>
        <w:t>–</w:t>
      </w:r>
      <w:r>
        <w:tab/>
      </w:r>
      <w:r>
        <w:t>Predpis ima pozitiven učinek na tveganje socialne izključenosti oziroma na gospodinjstva s slabšim položajem oziroma na položaj ranljivih skupin.</w:t>
      </w:r>
    </w:p>
    <w:p>
      <w:pPr>
        <w:spacing w:after="0" w:line="260" w:lineRule="auto"/>
        <w:rPr>
          <w:rFonts w:ascii="Arial" w:hAnsi="Arial" w:cs="Arial"/>
        </w:rPr>
      </w:pPr>
    </w:p>
    <w:p>
      <w:pPr>
        <w:spacing w:after="0" w:line="240" w:lineRule="auto"/>
        <w:ind w:left="720"/>
      </w:pPr>
      <w:r>
        <w:t>Glede na gibanje cen neosvinčenega bencina, plinskega olja za pogon in za ogrevanje na svetovnem trgu bi se ob nespremenjenih trošarinah drobnoprodajne cene neosvinčenega bencina, plinskega olja za pogon in za ogrevanje zvišale. S spremembo trošarin na izbrane energente se bodo drobnoprodajne cene neosvinčenega bencina, plinskega olja za pogon in za ogrevanje zvišale manj, kot bi se ob nespremenjenih trošarinah, kar zmanjšuje tveganje socialne izključenosti oziroma na gospodinjstva s slabšim položajem oziroma na položaj ranljivih skupin.</w:t>
      </w:r>
    </w:p>
    <w:p>
      <w:pPr>
        <w:spacing w:after="0" w:line="240" w:lineRule="auto"/>
        <w:ind w:left="720" w:firstLine="0"/>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40" w:lineRule="auto"/>
      </w:pPr>
      <w:r>
        <w:t>Predstavitve ni bilo.</w:t>
      </w:r>
    </w:p>
    <w:p>
      <w:pPr>
        <w:spacing w:after="0" w:line="240" w:lineRule="auto"/>
      </w:pPr>
      <w:r>
        <w:t>Izvajanje predpisa se bo spremljalo skozi pregled obračunov trošarin.</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ni bilo predmet sodelovanja z javnostjo.</w:t>
      </w:r>
    </w:p>
    <w:p>
      <w:pPr>
        <w:spacing w:after="0" w:line="260" w:lineRule="auto"/>
        <w:rPr>
          <w:rFonts w:ascii="Arial" w:hAnsi="Arial" w:cs="Arial"/>
        </w:rPr>
      </w:pPr>
    </w:p>
    <w:p>
      <w:pPr>
        <w:spacing w:after="0" w:line="260" w:lineRule="auto"/>
      </w:pPr>
      <w:r>
        <w:t>Obrazložitev:</w:t>
      </w:r>
    </w:p>
    <w:p>
      <w:pPr>
        <w:spacing w:after="0" w:line="240" w:lineRule="auto"/>
        <w:jc w:val="left"/>
      </w:pPr>
      <w:r>
        <w:t>Vsebina predloženega gradiva (predpisa) ne vpliva na pristojnosti občin, delovanje občin, financiranje občin.</w:t>
      </w:r>
    </w:p>
    <w:p>
      <w:pPr>
        <w:spacing w:after="0" w:line="260" w:lineRule="auto"/>
      </w:pP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prve alineje prvega odstavka 110. člena Zakona o trošarinah (Uradni list RS, št. 47/16, 92/21, 192/21, 140/22 in 38/24) Vlada Republike Slovenije izdaja</w:t>
      </w:r>
    </w:p>
    <w:p>
      <w:pPr>
        <w:spacing w:after="0" w:line="260" w:lineRule="auto"/>
        <w:rPr>
          <w:rFonts w:ascii="Arial" w:hAnsi="Arial" w:cs="Arial"/>
        </w:rPr>
      </w:pPr>
    </w:p>
    <w:p>
      <w:pPr>
        <w:pStyle w:val="Naslov1"/>
        <w:spacing w:after="0" w:line="260" w:lineRule="auto"/>
      </w:pPr>
      <w:r>
        <w:t>Uredba o spremembah Uredbe o določitvi zneska trošarine za energente in električno energijo</w:t>
      </w:r>
    </w:p>
    <w:p>
      <w:pPr>
        <w:pStyle w:val="len"/>
        <w:spacing w:after="0" w:line="260" w:lineRule="auto"/>
      </w:pPr>
      <w:r>
        <w:t>1. člen</w:t>
      </w:r>
    </w:p>
    <w:p>
      <w:pPr>
        <w:spacing w:after="0" w:line="260" w:lineRule="auto"/>
        <w:rPr>
          <w:rFonts w:ascii="Arial" w:hAnsi="Arial" w:cs="Arial"/>
        </w:rPr>
      </w:pPr>
    </w:p>
    <w:p>
      <w:pPr>
        <w:spacing w:after="0" w:line="260" w:lineRule="auto"/>
      </w:pPr>
      <w:r>
        <w:tab/>
      </w:r>
      <w:r>
        <w:t>V Uredbi o določitvi zneska trošarine za energente in električno energijo (Uradni list RS, št. 99/22, 6/23, 13/23, 19/23, 26/23, 36/23, 47/23, 73/23, 90/23, 104/23, 108/23, 120/23, 20/24, 64/24, 68/24, 75/24, 49/25, 64/25, 89/25 in 106/25) se v 1. členu:</w:t>
      </w:r>
    </w:p>
    <w:p>
      <w:pPr>
        <w:spacing w:after="0" w:line="260" w:lineRule="auto"/>
        <w:rPr>
          <w:rFonts w:ascii="Arial" w:hAnsi="Arial" w:cs="Arial"/>
        </w:rPr>
      </w:pPr>
    </w:p>
    <w:p>
      <w:pPr>
        <w:spacing w:after="0" w:line="260" w:lineRule="auto"/>
      </w:pPr>
      <w:r>
        <w:t xml:space="preserve">– </w:t>
      </w:r>
      <w:r>
        <w:t>v točki 1.3 število »499,34« nadomesti s številom »474,57«;</w:t>
      </w:r>
    </w:p>
    <w:p>
      <w:pPr>
        <w:spacing w:after="0" w:line="260" w:lineRule="auto"/>
      </w:pPr>
      <w:r>
        <w:t xml:space="preserve">– </w:t>
      </w:r>
      <w:r>
        <w:t>v točki 1.4 število »499,34« nadomesti s številom »474,57«; </w:t>
      </w:r>
    </w:p>
    <w:p>
      <w:pPr>
        <w:spacing w:after="0" w:line="260" w:lineRule="auto"/>
      </w:pPr>
      <w:r>
        <w:t xml:space="preserve">– </w:t>
      </w:r>
      <w:r>
        <w:t>v točki 2.1 število »438,69« nadomesti s številom »362,77« in</w:t>
      </w:r>
    </w:p>
    <w:p>
      <w:pPr>
        <w:spacing w:after="0" w:line="260" w:lineRule="auto"/>
      </w:pPr>
      <w:r>
        <w:t xml:space="preserve">– </w:t>
      </w:r>
      <w:r>
        <w:t>v točki 2.2 število »177« nadomesti s številom »111,8«.</w:t>
      </w:r>
    </w:p>
    <w:p>
      <w:pPr>
        <w:pStyle w:val="Poglavje"/>
        <w:spacing w:after="0" w:line="260" w:lineRule="auto"/>
      </w:pPr>
      <w:r>
        <w:t>KONČNA DOLOČBA</w:t>
      </w:r>
    </w:p>
    <w:p>
      <w:pPr>
        <w:pStyle w:val="len"/>
        <w:spacing w:after="0" w:line="260" w:lineRule="auto"/>
      </w:pPr>
      <w:r>
        <w:t>2.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 Ta uredba začne veljati 10. marca 2026. </w:t>
      </w:r>
    </w:p>
    <w:p>
      <w:pPr>
        <w:spacing w:after="0" w:line="260" w:lineRule="auto"/>
        <w:rPr>
          <w:rFonts w:ascii="Arial" w:hAnsi="Arial" w:cs="Arial"/>
        </w:rPr>
      </w:pPr>
    </w:p>
    <w:p>
      <w:pPr>
        <w:spacing w:after="0" w:line="260" w:lineRule="auto"/>
      </w:pPr>
      <w:r>
        <w:t>Št. 007-840/2025</w:t>
      </w:r>
    </w:p>
    <w:p>
      <w:pPr>
        <w:spacing w:after="0" w:line="260" w:lineRule="auto"/>
        <w:rPr>
          <w:rFonts w:ascii="Arial" w:hAnsi="Arial" w:cs="Arial"/>
        </w:rPr>
      </w:pPr>
    </w:p>
    <w:p>
      <w:pPr>
        <w:spacing w:after="0" w:line="260" w:lineRule="auto"/>
      </w:pPr>
      <w:r>
        <w:t>Ljubljana, dne 9. marca 2026</w:t>
      </w:r>
    </w:p>
    <w:p>
      <w:pPr>
        <w:spacing w:after="0" w:line="260" w:lineRule="auto"/>
        <w:rPr>
          <w:rFonts w:ascii="Arial" w:hAnsi="Arial" w:cs="Arial"/>
        </w:rPr>
      </w:pPr>
    </w:p>
    <w:p>
      <w:pPr>
        <w:spacing w:after="0" w:line="260" w:lineRule="auto"/>
      </w:pPr>
      <w:r>
        <w:t>EVA 2025-1611-0110</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V skladu z Zakonom o trošarinah se trošarina od energentov plačuje v absolutnem znesku, ki je določen za posamezno vrsto izdelka, in različno glede na namen (za ogrevanje ali pogon). Trošarinska obveznost nastane v trenutku proizvodnje ali vnosa ali uvoza, obveznost za obračun in plačilo pa nastane s sprostitvijo v porabo in je določena v 6. členu Zakona o trošarinah. Trošarinski zavezanec mora pri obračunu trošarine upoštevati zneske trošarine, ki veljajo na dan nastanka obveznosti za plačilo trošarine. Zakon daje pooblastilo vladi za zmanjšanje ali povečanje trošarine, v skladu z ekonomsko politiko Republike Slovenije. S predloženo uredbo se trošarina:- zniža za neosvinčeni bencin z 0,49934 evra/liter na 0,47457 evra/liter;- zniža za plinsko olje za pogon z 0,43869 evra/liter na 0,36277 evra/liter;- zniža za plinsko olje za gorivo za ogrevanje z 0,177  evra/liter na 0,1118 evra/liter.</w:t>
      </w:r>
    </w:p>
    <w:p>
      <w:pPr>
        <w:spacing w:after="0" w:line="260" w:lineRule="auto"/>
        <w:rPr>
          <w:rFonts w:ascii="Arial" w:hAnsi="Arial" w:cs="Arial"/>
        </w:rPr>
      </w:pPr>
    </w:p>
    <w:p>
      <w:pPr>
        <w:pStyle w:val="Odebeljeno"/>
        <w:spacing w:after="0" w:line="260" w:lineRule="auto"/>
      </w:pPr>
      <w:r>
        <w:t>K 2. členu:</w:t>
      </w:r>
    </w:p>
    <w:p>
      <w:pPr>
        <w:spacing w:after="0" w:line="240" w:lineRule="auto"/>
      </w:pPr>
      <w:r>
        <w:t>Ta uredba začne veljati 10. marca 2026.</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4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09. 03. 2026 15:12:59</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