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DEEAF" w14:textId="77777777" w:rsidR="0055434F" w:rsidRDefault="0055434F">
      <w:pPr>
        <w:spacing w:after="0" w:line="260" w:lineRule="auto"/>
        <w:rPr>
          <w:rFonts w:cs="Arial"/>
        </w:rPr>
      </w:pPr>
    </w:p>
    <w:p w14:paraId="11EA6B5F" w14:textId="77777777" w:rsidR="0055434F" w:rsidRDefault="0055434F">
      <w:pPr>
        <w:spacing w:after="0" w:line="260" w:lineRule="auto"/>
        <w:rPr>
          <w:rFonts w:cs="Arial"/>
        </w:rPr>
      </w:pPr>
    </w:p>
    <w:p w14:paraId="6925CD0A" w14:textId="77777777" w:rsidR="0055434F" w:rsidRDefault="0055434F">
      <w:pPr>
        <w:spacing w:after="0" w:line="260" w:lineRule="auto"/>
        <w:rPr>
          <w:rFonts w:cs="Arial"/>
        </w:rPr>
      </w:pPr>
    </w:p>
    <w:p w14:paraId="6A37D4F1" w14:textId="77777777" w:rsidR="0055434F" w:rsidRDefault="0055434F">
      <w:pPr>
        <w:spacing w:after="0" w:line="260" w:lineRule="auto"/>
        <w:rPr>
          <w:rFonts w:cs="Arial"/>
        </w:rPr>
      </w:pPr>
    </w:p>
    <w:p w14:paraId="7AF1195C" w14:textId="77777777" w:rsidR="0055434F" w:rsidRDefault="0055434F">
      <w:pPr>
        <w:spacing w:after="0" w:line="260" w:lineRule="auto"/>
        <w:rPr>
          <w:rFonts w:cs="Arial"/>
        </w:rPr>
      </w:pPr>
    </w:p>
    <w:p w14:paraId="0E66C946" w14:textId="77777777" w:rsidR="0055434F" w:rsidRDefault="0055434F">
      <w:pPr>
        <w:spacing w:after="0" w:line="260" w:lineRule="auto"/>
        <w:rPr>
          <w:rFonts w:cs="Arial"/>
        </w:rPr>
      </w:pPr>
    </w:p>
    <w:p w14:paraId="184436CF" w14:textId="77777777" w:rsidR="0055434F" w:rsidRDefault="0055434F">
      <w:pPr>
        <w:spacing w:after="0" w:line="260" w:lineRule="auto"/>
        <w:rPr>
          <w:rFonts w:cs="Arial"/>
        </w:rPr>
      </w:pPr>
    </w:p>
    <w:p w14:paraId="0BF75568" w14:textId="77777777" w:rsidR="0055434F" w:rsidRDefault="0055434F">
      <w:pPr>
        <w:spacing w:after="0" w:line="260" w:lineRule="auto"/>
        <w:rPr>
          <w:rFonts w:cs="Arial"/>
        </w:rPr>
      </w:pPr>
    </w:p>
    <w:p w14:paraId="2A941EB8" w14:textId="77777777" w:rsidR="0055434F" w:rsidRDefault="0055434F">
      <w:pPr>
        <w:spacing w:after="0" w:line="260" w:lineRule="auto"/>
        <w:rPr>
          <w:rFonts w:cs="Arial"/>
        </w:rPr>
      </w:pPr>
    </w:p>
    <w:p w14:paraId="0F6B4B91" w14:textId="77777777" w:rsidR="0055434F" w:rsidRDefault="0055434F">
      <w:pPr>
        <w:spacing w:after="0" w:line="260" w:lineRule="auto"/>
        <w:rPr>
          <w:rFonts w:cs="Arial"/>
        </w:rPr>
      </w:pPr>
    </w:p>
    <w:p w14:paraId="223EC189" w14:textId="77777777" w:rsidR="0055434F" w:rsidRDefault="0055434F">
      <w:pPr>
        <w:spacing w:after="0" w:line="260" w:lineRule="auto"/>
        <w:rPr>
          <w:rFonts w:cs="Arial"/>
        </w:rPr>
      </w:pPr>
    </w:p>
    <w:p w14:paraId="5C935FA9" w14:textId="77777777" w:rsidR="0055434F" w:rsidRDefault="0055434F">
      <w:pPr>
        <w:spacing w:after="0" w:line="260" w:lineRule="auto"/>
        <w:rPr>
          <w:rFonts w:cs="Arial"/>
        </w:rPr>
      </w:pPr>
    </w:p>
    <w:p w14:paraId="1CC9CDC2" w14:textId="77777777" w:rsidR="0055434F" w:rsidRDefault="0055434F">
      <w:pPr>
        <w:spacing w:after="0" w:line="260" w:lineRule="auto"/>
        <w:rPr>
          <w:rFonts w:cs="Arial"/>
        </w:rPr>
      </w:pPr>
    </w:p>
    <w:p w14:paraId="04E74C85" w14:textId="77777777" w:rsidR="0055434F" w:rsidRDefault="0055434F">
      <w:pPr>
        <w:spacing w:after="0" w:line="260" w:lineRule="auto"/>
        <w:rPr>
          <w:rFonts w:cs="Arial"/>
        </w:rPr>
      </w:pPr>
    </w:p>
    <w:p w14:paraId="386F30E8" w14:textId="77777777" w:rsidR="0055434F" w:rsidRDefault="00E67214">
      <w:pPr>
        <w:pStyle w:val="SredinskoOdebeljeno"/>
        <w:spacing w:line="260" w:lineRule="auto"/>
      </w:pPr>
      <w:r>
        <w:t>ZAKON O DOPOLNITVI ZAKONA O KUPCIH IN SERVISERJIH NEDONOSNIH KREDITOV BANK</w:t>
      </w:r>
    </w:p>
    <w:p w14:paraId="1CB3FCAA" w14:textId="77777777" w:rsidR="0055434F" w:rsidRDefault="0055434F">
      <w:pPr>
        <w:spacing w:after="0" w:line="260" w:lineRule="auto"/>
        <w:rPr>
          <w:rFonts w:cs="Arial"/>
        </w:rPr>
      </w:pPr>
    </w:p>
    <w:p w14:paraId="3FF0CB11" w14:textId="77777777" w:rsidR="0055434F" w:rsidRDefault="00E67214">
      <w:pPr>
        <w:pStyle w:val="Sredinsko"/>
        <w:spacing w:line="260" w:lineRule="auto"/>
      </w:pPr>
      <w:r>
        <w:t>PREDLOG</w:t>
      </w:r>
    </w:p>
    <w:p w14:paraId="13AB25B1" w14:textId="77777777" w:rsidR="0055434F" w:rsidRDefault="0055434F">
      <w:pPr>
        <w:spacing w:after="0" w:line="260" w:lineRule="auto"/>
        <w:rPr>
          <w:rFonts w:cs="Arial"/>
        </w:rPr>
      </w:pPr>
    </w:p>
    <w:p w14:paraId="27D1BAF6" w14:textId="77777777" w:rsidR="0055434F" w:rsidRDefault="0055434F">
      <w:pPr>
        <w:spacing w:after="0" w:line="260" w:lineRule="auto"/>
        <w:rPr>
          <w:rFonts w:cs="Arial"/>
        </w:rPr>
      </w:pPr>
    </w:p>
    <w:p w14:paraId="33FE4A08" w14:textId="77777777" w:rsidR="0055434F" w:rsidRDefault="00E67214">
      <w:pPr>
        <w:pStyle w:val="Sredinsko"/>
        <w:spacing w:line="260" w:lineRule="auto"/>
      </w:pPr>
      <w:r>
        <w:t>EVA: 2026-1611-0077</w:t>
      </w:r>
    </w:p>
    <w:p w14:paraId="3D6AE681" w14:textId="77777777" w:rsidR="0055434F" w:rsidRDefault="0055434F">
      <w:pPr>
        <w:spacing w:after="0" w:line="260" w:lineRule="auto"/>
        <w:rPr>
          <w:rFonts w:cs="Arial"/>
        </w:rPr>
      </w:pPr>
    </w:p>
    <w:p w14:paraId="4919B549" w14:textId="77777777" w:rsidR="0055434F" w:rsidRDefault="00E67214">
      <w:r>
        <w:br w:type="page"/>
      </w:r>
    </w:p>
    <w:p w14:paraId="7A4C83DD" w14:textId="77777777" w:rsidR="0055434F" w:rsidRDefault="00E67214">
      <w:pPr>
        <w:pStyle w:val="Odebeljeno"/>
        <w:spacing w:line="260" w:lineRule="auto"/>
      </w:pPr>
      <w:r>
        <w:lastRenderedPageBreak/>
        <w:t>I.</w:t>
      </w:r>
      <w:r>
        <w:tab/>
        <w:t>UVOD</w:t>
      </w:r>
    </w:p>
    <w:p w14:paraId="646BA706" w14:textId="77777777" w:rsidR="0055434F" w:rsidRDefault="00E67214">
      <w:pPr>
        <w:pStyle w:val="Odebeljeno"/>
        <w:spacing w:line="260" w:lineRule="auto"/>
      </w:pPr>
      <w:r>
        <w:t>1.</w:t>
      </w:r>
      <w:r>
        <w:tab/>
        <w:t>Ocena stanja in razlogi za sprejetje predloga zakona</w:t>
      </w:r>
    </w:p>
    <w:p w14:paraId="10F38732" w14:textId="77777777" w:rsidR="0055434F" w:rsidRDefault="0055434F">
      <w:pPr>
        <w:spacing w:after="0" w:line="260" w:lineRule="auto"/>
        <w:rPr>
          <w:rFonts w:cs="Arial"/>
        </w:rPr>
      </w:pPr>
    </w:p>
    <w:p w14:paraId="69963FDC" w14:textId="77777777" w:rsidR="0055434F" w:rsidRDefault="00E67214">
      <w:pPr>
        <w:spacing w:after="0" w:line="240" w:lineRule="auto"/>
      </w:pPr>
      <w:r>
        <w:t xml:space="preserve">Po svetovni finančni krizi leta 2008 se je zakonodajni okvir za banke pomembno spremenil. Evropska unija (v nadaljnjem besedilu: EU) je z bančno reformo, katere cilji so bili zmanjšanje tveganj, krepitev finančne stabilnosti in preprečevanje bremen za davkoplačevalce ob propadu bank, vzpostavila bančno unijo. Ta danes temelji na enotnem mehanizmu nadzora in enotnem mehanizmu reševanja bank. </w:t>
      </w:r>
    </w:p>
    <w:p w14:paraId="441CCBB0" w14:textId="77777777" w:rsidR="0055434F" w:rsidRDefault="00E67214">
      <w:pPr>
        <w:spacing w:after="0" w:line="240" w:lineRule="auto"/>
      </w:pPr>
      <w:r>
        <w:t xml:space="preserve"> </w:t>
      </w:r>
    </w:p>
    <w:p w14:paraId="1FBF06F1" w14:textId="77777777" w:rsidR="0055434F" w:rsidRDefault="00E67214">
      <w:pPr>
        <w:spacing w:after="0" w:line="240" w:lineRule="auto"/>
      </w:pPr>
      <w:r>
        <w:t>Obdobje svetovne finančne krize se je med drugim odražalo tudi na deležu nedonosnih izpostavljenosti (v nadaljnjem besedilu: NPE), ki je na začetku leta 2015 v povprečju v bančnem sektorju EU znašal 7 %. Zaradi pomembnega vpliva takratnega naraščajočega deleža NPE na dobičkonosnost in kapital bank in posledično njihovo sposobnost zagotavljanja novih posojil ter s tem vpliva na  gospodarsko rast in zaposlovanje je bila sprejeta Direktiva (EU) 2021/2167 Evropskega parlamenta in Sveta z dne 24. novembra 2021 o</w:t>
      </w:r>
      <w:r>
        <w:t xml:space="preserve"> serviserjih kreditov in kupcih kreditov ter spremembi direktiv 2008/48/ES in 2014/17/EU (UL L št. 438 z dne 24. 11. 2021, str. 1; v nadaljnjem besedilu: Direktiva 2021/2167/EU). Kljub ponovnemu upadu deleža NPE tako na evropski (1,9 % april 2026) kot nacionalni ravni (1,6 % april 2026) je učinkovito upravljanje NPE pomembno za finančno stabilnost in konkurenčnost bančnega sektorja EU.</w:t>
      </w:r>
    </w:p>
    <w:p w14:paraId="7E7A0385" w14:textId="77777777" w:rsidR="0055434F" w:rsidRDefault="00E67214">
      <w:pPr>
        <w:spacing w:after="0" w:line="240" w:lineRule="auto"/>
      </w:pPr>
      <w:r>
        <w:t xml:space="preserve"> </w:t>
      </w:r>
    </w:p>
    <w:p w14:paraId="29E5F975" w14:textId="77777777" w:rsidR="0055434F" w:rsidRDefault="00E67214">
      <w:pPr>
        <w:spacing w:after="0" w:line="240" w:lineRule="auto"/>
      </w:pPr>
      <w:r>
        <w:t>Evropska komisija je v okviru neformalnega mehanizma EU za preverjanje ustreznosti prenosa Direktive 2021/2167/EU, ki je potekal od novembra 2025, ugotovila, da Zakon o kupcih in serviserjih nedonosnih kreditov bank (Uradni list RS, št. 12/24; v nadaljnjem besedilu: ZKSNKB) pomanjkljivo prenaša zahtevo, da mora biti sporočilo kreditojemalcu z zahtevanimi informacijami napisano v jeziku, ki je jasen in razumljiv širši javnosti. Evropska komisija je avgusta 2026 Republiko Slovenijo pozvala k dopolnitvi ZKSNKB</w:t>
      </w:r>
      <w:r>
        <w:t>, ki bo zagotavljala ustrezen prenos te zahteve.</w:t>
      </w:r>
    </w:p>
    <w:p w14:paraId="769FC5F5" w14:textId="77777777" w:rsidR="0055434F" w:rsidRDefault="00E67214">
      <w:pPr>
        <w:spacing w:after="0" w:line="240" w:lineRule="auto"/>
      </w:pPr>
      <w:r>
        <w:t xml:space="preserve"> </w:t>
      </w:r>
    </w:p>
    <w:p w14:paraId="6A7A3AA4" w14:textId="77777777" w:rsidR="0055434F" w:rsidRDefault="0055434F">
      <w:pPr>
        <w:spacing w:after="0" w:line="260" w:lineRule="auto"/>
        <w:rPr>
          <w:rFonts w:cs="Arial"/>
        </w:rPr>
      </w:pPr>
    </w:p>
    <w:p w14:paraId="6E28A27B" w14:textId="77777777" w:rsidR="0055434F" w:rsidRDefault="00E67214">
      <w:pPr>
        <w:pStyle w:val="Odebeljeno"/>
        <w:spacing w:line="260" w:lineRule="auto"/>
      </w:pPr>
      <w:r>
        <w:t>2.</w:t>
      </w:r>
      <w:r>
        <w:tab/>
        <w:t>CILJI, NAČELA IN POGLAVITNE REŠITVE PREDLOGA ZAKONA</w:t>
      </w:r>
    </w:p>
    <w:p w14:paraId="27EE4105" w14:textId="77777777" w:rsidR="0055434F" w:rsidRDefault="00E67214">
      <w:pPr>
        <w:pStyle w:val="Odebeljeno"/>
        <w:spacing w:line="260" w:lineRule="auto"/>
      </w:pPr>
      <w:r>
        <w:t>2.1</w:t>
      </w:r>
      <w:r>
        <w:tab/>
        <w:t>Cilji</w:t>
      </w:r>
    </w:p>
    <w:p w14:paraId="7A412BDD" w14:textId="77777777" w:rsidR="0055434F" w:rsidRDefault="0055434F">
      <w:pPr>
        <w:spacing w:after="0" w:line="260" w:lineRule="auto"/>
        <w:rPr>
          <w:rFonts w:cs="Arial"/>
        </w:rPr>
      </w:pPr>
    </w:p>
    <w:p w14:paraId="313CAF54" w14:textId="77777777" w:rsidR="0055434F" w:rsidRDefault="00E67214">
      <w:pPr>
        <w:spacing w:after="0" w:line="240" w:lineRule="auto"/>
      </w:pPr>
      <w:r>
        <w:t>Glavni cilj predloga zakona je dopolnitev ZKSNKB tako, da bo ta celovito prenašal Direktivo 2021/2167/EU v ZKSNKB, in sicer tudi drugi pododstavek drugega odstavka 10. člena navedene direktive, ki se nanaša na uporabo jezika pri sporočanju informacij kreditojemalcu.</w:t>
      </w:r>
    </w:p>
    <w:p w14:paraId="001EEEAE" w14:textId="77777777" w:rsidR="0055434F" w:rsidRDefault="00E67214">
      <w:pPr>
        <w:spacing w:after="0" w:line="240" w:lineRule="auto"/>
      </w:pPr>
      <w:r>
        <w:t xml:space="preserve"> </w:t>
      </w:r>
    </w:p>
    <w:p w14:paraId="3DB72F6D" w14:textId="77777777" w:rsidR="0055434F" w:rsidRDefault="00E67214">
      <w:pPr>
        <w:spacing w:after="0" w:line="240" w:lineRule="auto"/>
      </w:pPr>
      <w:r>
        <w:t>Predlog zakona je predmet usklajevanja s pravom EU.</w:t>
      </w:r>
    </w:p>
    <w:p w14:paraId="37A33481" w14:textId="77777777" w:rsidR="0055434F" w:rsidRDefault="0055434F">
      <w:pPr>
        <w:spacing w:after="0" w:line="260" w:lineRule="auto"/>
        <w:rPr>
          <w:rFonts w:cs="Arial"/>
        </w:rPr>
      </w:pPr>
    </w:p>
    <w:p w14:paraId="0B21FACE" w14:textId="77777777" w:rsidR="0055434F" w:rsidRDefault="00E67214">
      <w:pPr>
        <w:spacing w:after="0" w:line="240" w:lineRule="auto"/>
      </w:pPr>
      <w:r>
        <w:t>Kazalniki za spremljanje doseganja cilja oziroma merila, po katerih se bo izvajalo vrednotenje učinkov, je preverjanje Evropske komisije glede ustreznosti in popolnosti prenosa Direktive 2021/2167/EU v nacionalno zakonodajo.</w:t>
      </w:r>
    </w:p>
    <w:p w14:paraId="319F5E52" w14:textId="77777777" w:rsidR="0055434F" w:rsidRDefault="0055434F">
      <w:pPr>
        <w:spacing w:after="0" w:line="260" w:lineRule="auto"/>
        <w:rPr>
          <w:rFonts w:cs="Arial"/>
        </w:rPr>
      </w:pPr>
    </w:p>
    <w:p w14:paraId="49F22D15" w14:textId="77777777" w:rsidR="0055434F" w:rsidRDefault="00E67214">
      <w:pPr>
        <w:pStyle w:val="Odebeljeno"/>
        <w:spacing w:line="260" w:lineRule="auto"/>
      </w:pPr>
      <w:r>
        <w:t>2.2</w:t>
      </w:r>
      <w:r>
        <w:tab/>
        <w:t>Načela</w:t>
      </w:r>
    </w:p>
    <w:p w14:paraId="6AB8486E" w14:textId="77777777" w:rsidR="0055434F" w:rsidRDefault="0055434F">
      <w:pPr>
        <w:spacing w:after="0" w:line="260" w:lineRule="auto"/>
        <w:rPr>
          <w:rFonts w:cs="Arial"/>
        </w:rPr>
      </w:pPr>
    </w:p>
    <w:p w14:paraId="3ABFA0F1" w14:textId="77777777" w:rsidR="0055434F" w:rsidRDefault="00E67214">
      <w:pPr>
        <w:spacing w:after="0" w:line="240" w:lineRule="auto"/>
      </w:pPr>
      <w:r>
        <w:t>Najpomembnejše načelo predloga zakona je načelo zagotavljanja enakih pogojev za poslovanje na bančnem trgu.</w:t>
      </w:r>
    </w:p>
    <w:p w14:paraId="648E167D" w14:textId="77777777" w:rsidR="0055434F" w:rsidRDefault="00E67214">
      <w:pPr>
        <w:spacing w:after="0" w:line="240" w:lineRule="auto"/>
      </w:pPr>
      <w:r>
        <w:t>Predlagana dopolnitev ZKSNKB, ki določa,  da morajo biti informacije kreditojemalcu sporočene v jasnem in za širšo javnost razumljivem jeziku, bo zagotavljala enake pogoje za poslovanje na bančnem trgu nedonosnih kreditov.</w:t>
      </w:r>
    </w:p>
    <w:p w14:paraId="3A01AA8D" w14:textId="77777777" w:rsidR="0055434F" w:rsidRDefault="0055434F">
      <w:pPr>
        <w:spacing w:after="0" w:line="260" w:lineRule="auto"/>
        <w:rPr>
          <w:rFonts w:cs="Arial"/>
        </w:rPr>
      </w:pPr>
    </w:p>
    <w:p w14:paraId="6CF8C7B3" w14:textId="77777777" w:rsidR="0055434F" w:rsidRDefault="00E67214">
      <w:pPr>
        <w:pStyle w:val="Odebeljeno"/>
        <w:spacing w:line="260" w:lineRule="auto"/>
      </w:pPr>
      <w:r>
        <w:t>2.3</w:t>
      </w:r>
      <w:r>
        <w:tab/>
        <w:t>Poglavitne rešitve</w:t>
      </w:r>
    </w:p>
    <w:p w14:paraId="1F120E1F" w14:textId="77777777" w:rsidR="0055434F" w:rsidRDefault="0055434F">
      <w:pPr>
        <w:spacing w:after="0" w:line="260" w:lineRule="auto"/>
        <w:rPr>
          <w:rFonts w:cs="Arial"/>
        </w:rPr>
      </w:pPr>
    </w:p>
    <w:p w14:paraId="12B48AEA" w14:textId="77777777" w:rsidR="0055434F" w:rsidRDefault="00E67214">
      <w:pPr>
        <w:spacing w:after="0" w:line="240" w:lineRule="auto"/>
      </w:pPr>
      <w:r>
        <w:t>Predlagana rešitev dopolnjuje ZKSNKB z vidika načina sporočanja informacij kreditojemalcu, to je na jasen način, razumljiv širši javnosti.</w:t>
      </w:r>
    </w:p>
    <w:p w14:paraId="3341E9B5" w14:textId="77777777" w:rsidR="0055434F" w:rsidRDefault="0055434F">
      <w:pPr>
        <w:spacing w:after="0" w:line="260" w:lineRule="auto"/>
        <w:rPr>
          <w:rFonts w:cs="Arial"/>
        </w:rPr>
      </w:pPr>
    </w:p>
    <w:p w14:paraId="02AF8F29" w14:textId="77777777" w:rsidR="0055434F" w:rsidRDefault="00E67214">
      <w:pPr>
        <w:pStyle w:val="Odebeljeno"/>
        <w:spacing w:line="260" w:lineRule="auto"/>
      </w:pPr>
      <w:r>
        <w:t>3.</w:t>
      </w:r>
      <w:r>
        <w:tab/>
        <w:t>Ocena finančnih posledic predloga zakona za državni proračun in druga javna finančna sredstva</w:t>
      </w:r>
    </w:p>
    <w:p w14:paraId="2413D989" w14:textId="77777777" w:rsidR="0055434F" w:rsidRDefault="0055434F">
      <w:pPr>
        <w:spacing w:after="0" w:line="260" w:lineRule="auto"/>
        <w:rPr>
          <w:rFonts w:cs="Arial"/>
        </w:rPr>
      </w:pPr>
    </w:p>
    <w:p w14:paraId="288D14BF" w14:textId="77777777" w:rsidR="0055434F" w:rsidRDefault="00E67214">
      <w:pPr>
        <w:spacing w:after="0" w:line="260" w:lineRule="auto"/>
      </w:pPr>
      <w:r>
        <w:lastRenderedPageBreak/>
        <w:t>Predlog nima posledic za državni proračun in druga javna finančna sredstva.</w:t>
      </w:r>
    </w:p>
    <w:p w14:paraId="4761A1CD" w14:textId="77777777" w:rsidR="0055434F" w:rsidRDefault="0055434F">
      <w:pPr>
        <w:spacing w:after="0" w:line="260" w:lineRule="auto"/>
        <w:rPr>
          <w:rFonts w:cs="Arial"/>
        </w:rPr>
      </w:pPr>
    </w:p>
    <w:p w14:paraId="07891B14" w14:textId="77777777" w:rsidR="0055434F" w:rsidRDefault="00E67214">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31E08D6E" w14:textId="77777777" w:rsidR="0055434F" w:rsidRDefault="0055434F">
      <w:pPr>
        <w:spacing w:after="0" w:line="260" w:lineRule="auto"/>
        <w:rPr>
          <w:rFonts w:cs="Arial"/>
        </w:rPr>
      </w:pPr>
    </w:p>
    <w:p w14:paraId="0E9E9386" w14:textId="77777777" w:rsidR="0055434F" w:rsidRDefault="00E67214">
      <w:pPr>
        <w:spacing w:after="0" w:line="260" w:lineRule="auto"/>
      </w:pPr>
      <w:r>
        <w:t>Zagotovitev finančnih sredstev v sprejetem državnem proračunu ni potrebna.</w:t>
      </w:r>
    </w:p>
    <w:p w14:paraId="748E37FE" w14:textId="77777777" w:rsidR="0055434F" w:rsidRDefault="0055434F">
      <w:pPr>
        <w:spacing w:after="0" w:line="260" w:lineRule="auto"/>
        <w:rPr>
          <w:rFonts w:cs="Arial"/>
        </w:rPr>
      </w:pPr>
    </w:p>
    <w:p w14:paraId="0F0713F2" w14:textId="77777777" w:rsidR="0055434F" w:rsidRDefault="00E67214">
      <w:pPr>
        <w:pStyle w:val="Odebeljeno"/>
        <w:spacing w:line="260" w:lineRule="auto"/>
      </w:pPr>
      <w:r>
        <w:t>5.</w:t>
      </w:r>
      <w:r>
        <w:tab/>
        <w:t>Prikaz ureditve v drugih pravnih sistemih in prilagojenosti predlagane ureditve pravu Evropske unije</w:t>
      </w:r>
    </w:p>
    <w:p w14:paraId="1D94EA61" w14:textId="77777777" w:rsidR="0055434F" w:rsidRDefault="0055434F">
      <w:pPr>
        <w:spacing w:after="0" w:line="260" w:lineRule="auto"/>
        <w:rPr>
          <w:rFonts w:cs="Arial"/>
        </w:rPr>
      </w:pPr>
    </w:p>
    <w:p w14:paraId="74F05F4E" w14:textId="77777777" w:rsidR="0055434F" w:rsidRDefault="00E67214">
      <w:pPr>
        <w:pStyle w:val="Odebeljeno"/>
        <w:spacing w:line="260" w:lineRule="auto"/>
      </w:pPr>
      <w:r>
        <w:t>5.1</w:t>
      </w:r>
      <w:r>
        <w:tab/>
        <w:t>Prikaz ureditve v drugih pravnih sistemih</w:t>
      </w:r>
    </w:p>
    <w:p w14:paraId="44852BE5" w14:textId="77777777" w:rsidR="0055434F" w:rsidRDefault="0055434F">
      <w:pPr>
        <w:spacing w:after="0" w:line="260" w:lineRule="auto"/>
        <w:rPr>
          <w:rFonts w:cs="Arial"/>
        </w:rPr>
      </w:pPr>
    </w:p>
    <w:p w14:paraId="43F1D412" w14:textId="77777777" w:rsidR="0055434F" w:rsidRDefault="00E67214">
      <w:pPr>
        <w:spacing w:after="0" w:line="260" w:lineRule="auto"/>
      </w:pPr>
      <w:r>
        <w:t>Drugi pravni sistemi niso bili predmet proučevanja.</w:t>
      </w:r>
    </w:p>
    <w:p w14:paraId="2F619540" w14:textId="77777777" w:rsidR="0055434F" w:rsidRDefault="0055434F">
      <w:pPr>
        <w:spacing w:after="0" w:line="260" w:lineRule="auto"/>
        <w:rPr>
          <w:rFonts w:cs="Arial"/>
        </w:rPr>
      </w:pPr>
    </w:p>
    <w:p w14:paraId="4DA78281" w14:textId="77777777" w:rsidR="0055434F" w:rsidRDefault="00E67214">
      <w:pPr>
        <w:pStyle w:val="Odebeljeno"/>
        <w:spacing w:line="260" w:lineRule="auto"/>
      </w:pPr>
      <w:r>
        <w:t>5.2</w:t>
      </w:r>
      <w:r>
        <w:tab/>
        <w:t>Prikaz ureditve v pravnem redu Evropske unije</w:t>
      </w:r>
    </w:p>
    <w:p w14:paraId="2E4668EE" w14:textId="77777777" w:rsidR="0055434F" w:rsidRDefault="0055434F">
      <w:pPr>
        <w:spacing w:after="0" w:line="260" w:lineRule="auto"/>
        <w:rPr>
          <w:rFonts w:cs="Arial"/>
        </w:rPr>
      </w:pPr>
    </w:p>
    <w:p w14:paraId="5E3432AC" w14:textId="77777777" w:rsidR="0055434F" w:rsidRDefault="00E67214">
      <w:pPr>
        <w:spacing w:after="0" w:line="260" w:lineRule="auto"/>
      </w:pPr>
      <w:r>
        <w:t>Predlog je predmet usklajevanja s pravnim redom EU.</w:t>
      </w:r>
    </w:p>
    <w:p w14:paraId="1388E3E1" w14:textId="77777777" w:rsidR="0055434F" w:rsidRDefault="0055434F">
      <w:pPr>
        <w:spacing w:after="0" w:line="260" w:lineRule="auto"/>
        <w:rPr>
          <w:rFonts w:cs="Arial"/>
        </w:rPr>
      </w:pPr>
    </w:p>
    <w:tbl>
      <w:tblPr>
        <w:tblStyle w:val="Tabelamrea"/>
        <w:tblW w:w="0" w:type="auto"/>
        <w:tblLook w:val="04A0" w:firstRow="1" w:lastRow="0" w:firstColumn="1" w:lastColumn="0" w:noHBand="0" w:noVBand="1"/>
      </w:tblPr>
      <w:tblGrid>
        <w:gridCol w:w="9062"/>
      </w:tblGrid>
      <w:tr w:rsidR="0055434F" w14:paraId="2052BBC3" w14:textId="77777777" w:rsidTr="00E91806">
        <w:trPr>
          <w:trHeight w:val="416"/>
        </w:trPr>
        <w:tc>
          <w:tcPr>
            <w:tcW w:w="9062" w:type="dxa"/>
            <w:tcBorders>
              <w:bottom w:val="triple" w:sz="4" w:space="0" w:color="auto"/>
            </w:tcBorders>
            <w:vAlign w:val="center"/>
          </w:tcPr>
          <w:p w14:paraId="059AD7BA" w14:textId="77777777" w:rsidR="0055434F" w:rsidRDefault="00E67214">
            <w:pPr>
              <w:jc w:val="center"/>
              <w:rPr>
                <w:b/>
              </w:rPr>
            </w:pPr>
            <w:r>
              <w:rPr>
                <w:b/>
              </w:rPr>
              <w:t>IZJAVA O SKLADNOSTI S PRAVNIM REDOM EU</w:t>
            </w:r>
          </w:p>
        </w:tc>
      </w:tr>
    </w:tbl>
    <w:p w14:paraId="20F9DC5E" w14:textId="77777777" w:rsidR="0055434F" w:rsidRDefault="00E67214">
      <w:pPr>
        <w:spacing w:after="0"/>
        <w:rPr>
          <w:b/>
          <w:u w:val="single"/>
        </w:rPr>
      </w:pPr>
      <w:r>
        <w:rPr>
          <w:b/>
          <w:u w:val="single"/>
        </w:rPr>
        <w:t>NASLOV PREDPISA RS</w:t>
      </w:r>
    </w:p>
    <w:p w14:paraId="2C87C24A" w14:textId="77777777" w:rsidR="0055434F" w:rsidRDefault="0055434F">
      <w:pPr>
        <w:spacing w:after="0"/>
      </w:pPr>
    </w:p>
    <w:p w14:paraId="6F3556F0" w14:textId="77777777" w:rsidR="0055434F" w:rsidRDefault="00E67214">
      <w:pPr>
        <w:spacing w:after="0" w:line="360" w:lineRule="auto"/>
      </w:pPr>
      <w:r>
        <w:t>Zakon o dopolnitvi Zakona o kupcih in serviserjih nedonosnih kreditov bank</w:t>
      </w:r>
    </w:p>
    <w:p w14:paraId="6C552F05" w14:textId="77777777" w:rsidR="0055434F" w:rsidRDefault="0055434F">
      <w:pPr>
        <w:spacing w:after="0"/>
      </w:pPr>
    </w:p>
    <w:p w14:paraId="1AF9BA25" w14:textId="77777777" w:rsidR="0055434F" w:rsidRDefault="00E67214">
      <w:pPr>
        <w:spacing w:after="0"/>
        <w:rPr>
          <w:b/>
        </w:rPr>
      </w:pPr>
      <w:r>
        <w:rPr>
          <w:b/>
          <w:u w:val="single"/>
        </w:rPr>
        <w:t>EVA</w:t>
      </w:r>
    </w:p>
    <w:p w14:paraId="7966E37F" w14:textId="77777777" w:rsidR="0055434F" w:rsidRDefault="00E67214">
      <w:pPr>
        <w:spacing w:after="0"/>
      </w:pPr>
      <w:r>
        <w:t>2026-1611-0077</w:t>
      </w:r>
    </w:p>
    <w:p w14:paraId="7B3278F8" w14:textId="77777777" w:rsidR="0055434F" w:rsidRDefault="0055434F">
      <w:pPr>
        <w:spacing w:after="0"/>
      </w:pPr>
    </w:p>
    <w:p w14:paraId="5A57A96B" w14:textId="77777777" w:rsidR="0055434F" w:rsidRDefault="00E67214">
      <w:pPr>
        <w:spacing w:after="0"/>
        <w:rPr>
          <w:b/>
          <w:u w:val="single"/>
        </w:rPr>
      </w:pPr>
      <w:r>
        <w:rPr>
          <w:b/>
          <w:u w:val="single"/>
        </w:rPr>
        <w:t>AKTI EU, KATERIH PRENOS ALI IZVAJANJE SE ZAGOTAVLJA S PREDPISOM RS</w:t>
      </w:r>
    </w:p>
    <w:p w14:paraId="700B5A4A" w14:textId="77777777" w:rsidR="0055434F" w:rsidRDefault="0055434F">
      <w:pPr>
        <w:spacing w:after="0"/>
      </w:pPr>
    </w:p>
    <w:tbl>
      <w:tblPr>
        <w:tblStyle w:val="Navadnatabela11"/>
        <w:tblW w:w="8628" w:type="dxa"/>
        <w:tblInd w:w="127" w:type="dxa"/>
        <w:tblLook w:val="04A0" w:firstRow="1" w:lastRow="0" w:firstColumn="1" w:lastColumn="0" w:noHBand="0" w:noVBand="1"/>
      </w:tblPr>
      <w:tblGrid>
        <w:gridCol w:w="673"/>
        <w:gridCol w:w="1538"/>
        <w:gridCol w:w="4749"/>
        <w:gridCol w:w="1668"/>
      </w:tblGrid>
      <w:tr w:rsidR="0055434F" w14:paraId="6C1ADB97" w14:textId="77777777" w:rsidTr="0055434F">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7E93C2B6" w14:textId="77777777" w:rsidR="0055434F" w:rsidRDefault="00E67214">
            <w:pPr>
              <w:jc w:val="center"/>
            </w:pPr>
            <w:r>
              <w:t>Št.</w:t>
            </w:r>
          </w:p>
        </w:tc>
        <w:tc>
          <w:tcPr>
            <w:tcW w:w="1559" w:type="dxa"/>
            <w:shd w:val="clear" w:color="auto" w:fill="808080"/>
          </w:tcPr>
          <w:p w14:paraId="05A1CDCF" w14:textId="77777777" w:rsidR="0055434F" w:rsidRDefault="00E67214">
            <w:pPr>
              <w:jc w:val="center"/>
            </w:pPr>
            <w:r>
              <w:t>CELEX</w:t>
            </w:r>
          </w:p>
        </w:tc>
        <w:tc>
          <w:tcPr>
            <w:tcW w:w="4816" w:type="dxa"/>
            <w:shd w:val="clear" w:color="auto" w:fill="808080"/>
          </w:tcPr>
          <w:p w14:paraId="2B614442" w14:textId="77777777" w:rsidR="0055434F" w:rsidRDefault="00E67214">
            <w:pPr>
              <w:jc w:val="center"/>
            </w:pPr>
            <w:r>
              <w:t>Naslov</w:t>
            </w:r>
          </w:p>
        </w:tc>
        <w:tc>
          <w:tcPr>
            <w:tcW w:w="1559" w:type="dxa"/>
            <w:shd w:val="clear" w:color="auto" w:fill="808080"/>
          </w:tcPr>
          <w:p w14:paraId="4D846B72" w14:textId="77777777" w:rsidR="0055434F" w:rsidRDefault="00E67214">
            <w:pPr>
              <w:jc w:val="center"/>
            </w:pPr>
            <w:r>
              <w:t>Zadnjič spremenjen z (CELEX)</w:t>
            </w:r>
          </w:p>
        </w:tc>
      </w:tr>
      <w:tr w:rsidR="0055434F" w14:paraId="29ED2887" w14:textId="77777777" w:rsidTr="0055434F">
        <w:trPr>
          <w:cnfStyle w:val="000000100000" w:firstRow="0" w:lastRow="0" w:firstColumn="0" w:lastColumn="0" w:oddVBand="0" w:evenVBand="0" w:oddHBand="1" w:evenHBand="0" w:firstRowFirstColumn="0" w:firstRowLastColumn="0" w:lastRowFirstColumn="0" w:lastRowLastColumn="0"/>
        </w:trPr>
        <w:tc>
          <w:tcPr>
            <w:tcW w:w="694" w:type="dxa"/>
          </w:tcPr>
          <w:p w14:paraId="5D670E43" w14:textId="77777777" w:rsidR="0055434F" w:rsidRDefault="00E67214">
            <w:r>
              <w:t>1</w:t>
            </w:r>
          </w:p>
        </w:tc>
        <w:tc>
          <w:tcPr>
            <w:tcW w:w="1559" w:type="dxa"/>
          </w:tcPr>
          <w:p w14:paraId="559B1B72" w14:textId="77777777" w:rsidR="0055434F" w:rsidRDefault="00E67214">
            <w:r>
              <w:t>32021L2167</w:t>
            </w:r>
          </w:p>
        </w:tc>
        <w:tc>
          <w:tcPr>
            <w:tcW w:w="5099" w:type="dxa"/>
          </w:tcPr>
          <w:p w14:paraId="3A78CEF6" w14:textId="77777777" w:rsidR="0055434F" w:rsidRDefault="00E67214">
            <w:r>
              <w:t>Direktiva (EU) 2021/2167 Evropskega parlamenta in Sveta z dne 24. novembra 2021 o serviserjih kreditov in kupcih kreditov ter spremembi direktiv 2008/48/ES in 2014/17/EU</w:t>
            </w:r>
          </w:p>
        </w:tc>
        <w:tc>
          <w:tcPr>
            <w:tcW w:w="1701" w:type="dxa"/>
          </w:tcPr>
          <w:p w14:paraId="47A89872" w14:textId="77777777" w:rsidR="0055434F" w:rsidRDefault="0055434F"/>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55434F" w14:paraId="570ACF09" w14:textId="77777777">
        <w:trPr>
          <w:trHeight w:val="452"/>
          <w:tblHeader/>
        </w:trPr>
        <w:tc>
          <w:tcPr>
            <w:tcW w:w="3529" w:type="dxa"/>
            <w:gridSpan w:val="4"/>
            <w:shd w:val="clear" w:color="auto" w:fill="808080"/>
          </w:tcPr>
          <w:p w14:paraId="0A389817" w14:textId="77777777" w:rsidR="0055434F" w:rsidRDefault="00E67214">
            <w:pPr>
              <w:jc w:val="center"/>
              <w:rPr>
                <w:b/>
              </w:rPr>
            </w:pPr>
            <w:r>
              <w:rPr>
                <w:b/>
              </w:rPr>
              <w:t>Predpis RS</w:t>
            </w:r>
          </w:p>
        </w:tc>
        <w:tc>
          <w:tcPr>
            <w:tcW w:w="1559" w:type="dxa"/>
            <w:vMerge w:val="restart"/>
            <w:shd w:val="clear" w:color="auto" w:fill="808080"/>
          </w:tcPr>
          <w:p w14:paraId="382F640D" w14:textId="77777777" w:rsidR="0055434F" w:rsidRDefault="00E67214">
            <w:pPr>
              <w:jc w:val="center"/>
              <w:rPr>
                <w:b/>
              </w:rPr>
            </w:pPr>
            <w:r>
              <w:rPr>
                <w:b/>
              </w:rPr>
              <w:t>Opomba ali CELEX akta EU predpisa</w:t>
            </w:r>
          </w:p>
        </w:tc>
        <w:tc>
          <w:tcPr>
            <w:tcW w:w="3528" w:type="dxa"/>
            <w:gridSpan w:val="4"/>
            <w:shd w:val="clear" w:color="auto" w:fill="808080"/>
          </w:tcPr>
          <w:p w14:paraId="0D1E1B52" w14:textId="77777777" w:rsidR="0055434F" w:rsidRDefault="00E67214">
            <w:pPr>
              <w:jc w:val="center"/>
              <w:rPr>
                <w:b/>
              </w:rPr>
            </w:pPr>
            <w:r>
              <w:rPr>
                <w:b/>
              </w:rPr>
              <w:t>Akt EU</w:t>
            </w:r>
          </w:p>
        </w:tc>
      </w:tr>
      <w:tr w:rsidR="0055434F" w14:paraId="655A1C5C" w14:textId="77777777">
        <w:trPr>
          <w:trHeight w:val="250"/>
          <w:tblHeader/>
        </w:trPr>
        <w:tc>
          <w:tcPr>
            <w:tcW w:w="709" w:type="dxa"/>
            <w:tcBorders>
              <w:bottom w:val="double" w:sz="4" w:space="0" w:color="auto"/>
            </w:tcBorders>
            <w:shd w:val="clear" w:color="auto" w:fill="808080"/>
          </w:tcPr>
          <w:p w14:paraId="54B57997" w14:textId="77777777" w:rsidR="0055434F" w:rsidRDefault="00E67214">
            <w:r>
              <w:t>Člen</w:t>
            </w:r>
          </w:p>
        </w:tc>
        <w:tc>
          <w:tcPr>
            <w:tcW w:w="1134" w:type="dxa"/>
            <w:tcBorders>
              <w:bottom w:val="double" w:sz="4" w:space="0" w:color="auto"/>
            </w:tcBorders>
            <w:shd w:val="clear" w:color="auto" w:fill="808080"/>
          </w:tcPr>
          <w:p w14:paraId="51067038" w14:textId="77777777" w:rsidR="0055434F" w:rsidRDefault="00E67214">
            <w:r>
              <w:t>Odstavek</w:t>
            </w:r>
          </w:p>
        </w:tc>
        <w:tc>
          <w:tcPr>
            <w:tcW w:w="851" w:type="dxa"/>
            <w:tcBorders>
              <w:bottom w:val="double" w:sz="4" w:space="0" w:color="auto"/>
            </w:tcBorders>
            <w:shd w:val="clear" w:color="auto" w:fill="808080"/>
          </w:tcPr>
          <w:p w14:paraId="7F0BF06D" w14:textId="77777777" w:rsidR="0055434F" w:rsidRDefault="00E67214">
            <w:r>
              <w:t>Točka</w:t>
            </w:r>
          </w:p>
        </w:tc>
        <w:tc>
          <w:tcPr>
            <w:tcW w:w="850" w:type="dxa"/>
            <w:tcBorders>
              <w:bottom w:val="double" w:sz="4" w:space="0" w:color="auto"/>
            </w:tcBorders>
            <w:shd w:val="clear" w:color="auto" w:fill="808080"/>
          </w:tcPr>
          <w:p w14:paraId="08138EDF" w14:textId="77777777" w:rsidR="0055434F" w:rsidRDefault="00E67214">
            <w:r>
              <w:t>Alinea</w:t>
            </w:r>
          </w:p>
        </w:tc>
        <w:tc>
          <w:tcPr>
            <w:tcW w:w="1985" w:type="dxa"/>
            <w:vMerge/>
            <w:tcBorders>
              <w:bottom w:val="double" w:sz="4" w:space="0" w:color="auto"/>
            </w:tcBorders>
            <w:shd w:val="clear" w:color="auto" w:fill="808080"/>
          </w:tcPr>
          <w:p w14:paraId="715CAB7E" w14:textId="77777777" w:rsidR="0055434F" w:rsidRDefault="0055434F">
            <w:pPr>
              <w:rPr>
                <w:b/>
              </w:rPr>
            </w:pPr>
          </w:p>
        </w:tc>
        <w:tc>
          <w:tcPr>
            <w:tcW w:w="709" w:type="dxa"/>
            <w:tcBorders>
              <w:bottom w:val="double" w:sz="4" w:space="0" w:color="auto"/>
            </w:tcBorders>
            <w:shd w:val="clear" w:color="auto" w:fill="808080"/>
          </w:tcPr>
          <w:p w14:paraId="0B2C009B" w14:textId="77777777" w:rsidR="0055434F" w:rsidRDefault="00E67214">
            <w:r>
              <w:t>Člen</w:t>
            </w:r>
          </w:p>
        </w:tc>
        <w:tc>
          <w:tcPr>
            <w:tcW w:w="1134" w:type="dxa"/>
            <w:tcBorders>
              <w:bottom w:val="double" w:sz="4" w:space="0" w:color="auto"/>
            </w:tcBorders>
            <w:shd w:val="clear" w:color="auto" w:fill="808080"/>
          </w:tcPr>
          <w:p w14:paraId="321FE94A" w14:textId="77777777" w:rsidR="0055434F" w:rsidRDefault="00E67214">
            <w:r>
              <w:t>Odstavek</w:t>
            </w:r>
          </w:p>
        </w:tc>
        <w:tc>
          <w:tcPr>
            <w:tcW w:w="851" w:type="dxa"/>
            <w:tcBorders>
              <w:bottom w:val="double" w:sz="4" w:space="0" w:color="auto"/>
            </w:tcBorders>
            <w:shd w:val="clear" w:color="auto" w:fill="808080"/>
          </w:tcPr>
          <w:p w14:paraId="0D459174" w14:textId="77777777" w:rsidR="0055434F" w:rsidRDefault="00E67214">
            <w:r>
              <w:t>Točka</w:t>
            </w:r>
          </w:p>
        </w:tc>
        <w:tc>
          <w:tcPr>
            <w:tcW w:w="850" w:type="dxa"/>
            <w:tcBorders>
              <w:bottom w:val="double" w:sz="4" w:space="0" w:color="auto"/>
            </w:tcBorders>
            <w:shd w:val="clear" w:color="auto" w:fill="808080"/>
          </w:tcPr>
          <w:p w14:paraId="40E9D340" w14:textId="77777777" w:rsidR="0055434F" w:rsidRDefault="00E67214">
            <w:r>
              <w:t>Alinea</w:t>
            </w:r>
          </w:p>
        </w:tc>
      </w:tr>
      <w:tr w:rsidR="0055434F" w14:paraId="6C8BD29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ED4A8" w14:textId="77777777" w:rsidR="0055434F" w:rsidRDefault="00E67214">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105B3" w14:textId="77777777" w:rsidR="0055434F" w:rsidRDefault="0055434F">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4879B" w14:textId="77777777" w:rsidR="0055434F" w:rsidRDefault="0055434F">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32E82" w14:textId="77777777" w:rsidR="0055434F" w:rsidRDefault="0055434F">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C0BF7" w14:textId="77777777" w:rsidR="0055434F" w:rsidRDefault="00E67214">
            <w:pPr>
              <w:jc w:val="center"/>
            </w:pPr>
            <w:r>
              <w:t>32021L2167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3DB4D" w14:textId="77777777" w:rsidR="0055434F" w:rsidRDefault="00E67214">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0C0E8" w14:textId="77777777" w:rsidR="0055434F" w:rsidRDefault="00E6721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7D5E" w14:textId="77777777" w:rsidR="0055434F" w:rsidRDefault="0055434F">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74701" w14:textId="77777777" w:rsidR="0055434F" w:rsidRDefault="0055434F">
            <w:pPr>
              <w:jc w:val="center"/>
            </w:pPr>
          </w:p>
        </w:tc>
      </w:tr>
      <w:tr w:rsidR="0055434F" w14:paraId="27F450B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BEEC2" w14:textId="77777777" w:rsidR="0055434F" w:rsidRDefault="00E67214">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36FF5" w14:textId="77777777" w:rsidR="0055434F" w:rsidRDefault="0055434F">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B78F" w14:textId="77777777" w:rsidR="0055434F" w:rsidRDefault="0055434F">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0D392" w14:textId="77777777" w:rsidR="0055434F" w:rsidRDefault="0055434F">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17416" w14:textId="77777777" w:rsidR="0055434F" w:rsidRDefault="00E6721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F46FB" w14:textId="77777777" w:rsidR="0055434F" w:rsidRDefault="0055434F">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306F8" w14:textId="77777777" w:rsidR="0055434F" w:rsidRDefault="0055434F">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F0E43" w14:textId="77777777" w:rsidR="0055434F" w:rsidRDefault="0055434F">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32D0F" w14:textId="77777777" w:rsidR="0055434F" w:rsidRDefault="0055434F">
            <w:pPr>
              <w:jc w:val="center"/>
            </w:pPr>
          </w:p>
        </w:tc>
      </w:tr>
    </w:tbl>
    <w:p w14:paraId="62C98C7E" w14:textId="77777777" w:rsidR="0055434F" w:rsidRDefault="0055434F">
      <w:pPr>
        <w:spacing w:after="0"/>
        <w:rPr>
          <w:b/>
        </w:rPr>
      </w:pPr>
    </w:p>
    <w:p w14:paraId="691F9BF5" w14:textId="77777777" w:rsidR="0055434F" w:rsidRDefault="0055434F">
      <w:pPr>
        <w:spacing w:after="0" w:line="260" w:lineRule="auto"/>
        <w:rPr>
          <w:rFonts w:cs="Arial"/>
        </w:rPr>
      </w:pPr>
    </w:p>
    <w:p w14:paraId="7CAEEC34" w14:textId="77777777" w:rsidR="0055434F" w:rsidRDefault="00E67214">
      <w:pPr>
        <w:pStyle w:val="SrajckaNaslovZamik"/>
        <w:spacing w:line="260" w:lineRule="auto"/>
      </w:pPr>
      <w:r>
        <w:t>5.3</w:t>
      </w:r>
      <w:r>
        <w:tab/>
        <w:t>Prikaz ureditve v posameznih državah članicah Evropske unije</w:t>
      </w:r>
    </w:p>
    <w:p w14:paraId="5DA87DCD" w14:textId="77777777" w:rsidR="0055434F" w:rsidRDefault="0055434F">
      <w:pPr>
        <w:spacing w:after="0" w:line="260" w:lineRule="auto"/>
        <w:rPr>
          <w:rFonts w:cs="Arial"/>
        </w:rPr>
      </w:pPr>
    </w:p>
    <w:p w14:paraId="23EF0581" w14:textId="77777777" w:rsidR="0055434F" w:rsidRDefault="00E67214">
      <w:pPr>
        <w:spacing w:after="0" w:line="260" w:lineRule="auto"/>
      </w:pPr>
      <w:r>
        <w:t>Nemčija</w:t>
      </w:r>
    </w:p>
    <w:p w14:paraId="23B2EC26" w14:textId="77777777" w:rsidR="0055434F" w:rsidRDefault="0055434F">
      <w:pPr>
        <w:spacing w:after="0" w:line="260" w:lineRule="auto"/>
        <w:rPr>
          <w:rFonts w:cs="Arial"/>
        </w:rPr>
      </w:pPr>
    </w:p>
    <w:p w14:paraId="221A2FD2" w14:textId="77777777" w:rsidR="0055434F" w:rsidRDefault="00E67214">
      <w:pPr>
        <w:spacing w:after="0" w:line="240" w:lineRule="auto"/>
      </w:pPr>
      <w:r>
        <w:lastRenderedPageBreak/>
        <w:t xml:space="preserve">Nemčija je Direktivo 2021/2167/EU prenesla v </w:t>
      </w:r>
      <w:proofErr w:type="spellStart"/>
      <w:r>
        <w:t>Kreditzweitmarktgesetz</w:t>
      </w:r>
      <w:proofErr w:type="spellEnd"/>
      <w:r>
        <w:t xml:space="preserve"> (</w:t>
      </w:r>
      <w:proofErr w:type="spellStart"/>
      <w:r>
        <w:t>KrZwMG</w:t>
      </w:r>
      <w:proofErr w:type="spellEnd"/>
      <w:r>
        <w:t>), to je nemški zakon o sekundarnem trgu kreditov, kjer je drugi odstavek 10. člena Direktive 2021/2167/EU prenesla z določbo v 30. členu, in sicer, da mora biti sporočilo kreditojemalcu napisano na jasen in razumljiv način.</w:t>
      </w:r>
    </w:p>
    <w:p w14:paraId="61A93FBD" w14:textId="77777777" w:rsidR="0055434F" w:rsidRDefault="0055434F">
      <w:pPr>
        <w:spacing w:after="0" w:line="260" w:lineRule="auto"/>
        <w:rPr>
          <w:rFonts w:cs="Arial"/>
        </w:rPr>
      </w:pPr>
    </w:p>
    <w:p w14:paraId="34FF1532" w14:textId="77777777" w:rsidR="0055434F" w:rsidRDefault="00E67214">
      <w:pPr>
        <w:spacing w:after="0" w:line="260" w:lineRule="auto"/>
      </w:pPr>
      <w:r>
        <w:t>Hrvaška</w:t>
      </w:r>
    </w:p>
    <w:p w14:paraId="38DCE958" w14:textId="77777777" w:rsidR="0055434F" w:rsidRDefault="0055434F">
      <w:pPr>
        <w:spacing w:after="0" w:line="260" w:lineRule="auto"/>
        <w:rPr>
          <w:rFonts w:cs="Arial"/>
        </w:rPr>
      </w:pPr>
    </w:p>
    <w:p w14:paraId="0DF0A811" w14:textId="77777777" w:rsidR="0055434F" w:rsidRDefault="00E67214">
      <w:pPr>
        <w:spacing w:after="0" w:line="240" w:lineRule="auto"/>
      </w:pPr>
      <w:r>
        <w:t xml:space="preserve">Hrvaška je Direktivo 2021/2167/EU prenesla v Zakon o načinu, </w:t>
      </w:r>
      <w:proofErr w:type="spellStart"/>
      <w:r>
        <w:t>uvjetima</w:t>
      </w:r>
      <w:proofErr w:type="spellEnd"/>
      <w:r>
        <w:t xml:space="preserve"> i </w:t>
      </w:r>
      <w:proofErr w:type="spellStart"/>
      <w:r>
        <w:t>postupku</w:t>
      </w:r>
      <w:proofErr w:type="spellEnd"/>
      <w:r>
        <w:t xml:space="preserve"> servisiranja i kupoprodaje </w:t>
      </w:r>
      <w:proofErr w:type="spellStart"/>
      <w:r>
        <w:t>potraživanja</w:t>
      </w:r>
      <w:proofErr w:type="spellEnd"/>
      <w:r>
        <w:t xml:space="preserve"> (NN 155/2023), to je hrvaški zakon o načinu, pogojih in postopku servisiranja ter kupoprodaje terjatev, kjer je drugi odstavek 10. člena Direktive 2021/2167/EU prenesla s 14. členom, ki določa, da mora biti sporočilo sestavljeno z razumljivimi besedami in v preprosti obliki v hrvaškem jeziku in latinici.</w:t>
      </w:r>
    </w:p>
    <w:p w14:paraId="646C5882" w14:textId="77777777" w:rsidR="0055434F" w:rsidRDefault="00E67214">
      <w:pPr>
        <w:spacing w:after="0" w:line="240" w:lineRule="auto"/>
      </w:pPr>
      <w:r>
        <w:t xml:space="preserve"> </w:t>
      </w:r>
    </w:p>
    <w:p w14:paraId="2B8C663E" w14:textId="77777777" w:rsidR="0055434F" w:rsidRDefault="0055434F">
      <w:pPr>
        <w:spacing w:after="0" w:line="260" w:lineRule="auto"/>
        <w:rPr>
          <w:rFonts w:cs="Arial"/>
        </w:rPr>
      </w:pPr>
    </w:p>
    <w:p w14:paraId="443B2B65" w14:textId="77777777" w:rsidR="0055434F" w:rsidRDefault="00E67214">
      <w:pPr>
        <w:spacing w:after="0" w:line="260" w:lineRule="auto"/>
      </w:pPr>
      <w:r>
        <w:t>Portugalska</w:t>
      </w:r>
    </w:p>
    <w:p w14:paraId="2CFC977C" w14:textId="77777777" w:rsidR="0055434F" w:rsidRDefault="0055434F">
      <w:pPr>
        <w:spacing w:after="0" w:line="260" w:lineRule="auto"/>
        <w:rPr>
          <w:rFonts w:cs="Arial"/>
        </w:rPr>
      </w:pPr>
    </w:p>
    <w:p w14:paraId="714C490F" w14:textId="77777777" w:rsidR="0055434F" w:rsidRDefault="00E67214">
      <w:pPr>
        <w:spacing w:after="0" w:line="240" w:lineRule="auto"/>
      </w:pPr>
      <w:r>
        <w:t xml:space="preserve">Portugalska je Direktivo 2021/2167/EU prenesla v </w:t>
      </w:r>
      <w:proofErr w:type="spellStart"/>
      <w:r>
        <w:t>Regime</w:t>
      </w:r>
      <w:proofErr w:type="spellEnd"/>
      <w:r>
        <w:t xml:space="preserve"> da </w:t>
      </w:r>
      <w:proofErr w:type="spellStart"/>
      <w:r>
        <w:t>Cessão</w:t>
      </w:r>
      <w:proofErr w:type="spellEnd"/>
      <w:r>
        <w:t xml:space="preserve"> e </w:t>
      </w:r>
      <w:proofErr w:type="spellStart"/>
      <w:r>
        <w:t>Gestão</w:t>
      </w:r>
      <w:proofErr w:type="spellEnd"/>
      <w:r>
        <w:t xml:space="preserve"> de </w:t>
      </w:r>
      <w:proofErr w:type="spellStart"/>
      <w:r>
        <w:t>Créditos</w:t>
      </w:r>
      <w:proofErr w:type="spellEnd"/>
      <w:r>
        <w:t xml:space="preserve"> </w:t>
      </w:r>
      <w:proofErr w:type="spellStart"/>
      <w:r>
        <w:t>Bancários</w:t>
      </w:r>
      <w:proofErr w:type="spellEnd"/>
      <w:r>
        <w:t>, to je portugalski zakon, ki ureja prenos in upravljanje bančnih terjatev, kjer je drugi odstavek 10. člena Direktive 2021/2167/EU prenesla z 28. členom Priloge I k zakonu. Ta določa, da mora biti sporočilo napisano v jasnem in razumljivem jeziku za širšo javnost.</w:t>
      </w:r>
    </w:p>
    <w:p w14:paraId="169BBC90" w14:textId="77777777" w:rsidR="0055434F" w:rsidRDefault="0055434F">
      <w:pPr>
        <w:spacing w:after="0" w:line="260" w:lineRule="auto"/>
        <w:rPr>
          <w:rFonts w:cs="Arial"/>
        </w:rPr>
      </w:pPr>
    </w:p>
    <w:p w14:paraId="6F9D9A61" w14:textId="77777777" w:rsidR="0055434F" w:rsidRDefault="00E67214">
      <w:pPr>
        <w:pStyle w:val="Odebeljeno"/>
        <w:spacing w:line="260" w:lineRule="auto"/>
      </w:pPr>
      <w:r>
        <w:t>6.</w:t>
      </w:r>
      <w:r>
        <w:tab/>
        <w:t>Presoja posledic</w:t>
      </w:r>
    </w:p>
    <w:p w14:paraId="0C3872AD" w14:textId="77777777" w:rsidR="0055434F" w:rsidRDefault="00E67214">
      <w:pPr>
        <w:pStyle w:val="Odebeljeno"/>
        <w:spacing w:line="260" w:lineRule="auto"/>
      </w:pPr>
      <w:r>
        <w:t>6.1</w:t>
      </w:r>
      <w:r>
        <w:tab/>
        <w:t>Presoja administrativnih posledic</w:t>
      </w:r>
    </w:p>
    <w:p w14:paraId="6C941F00" w14:textId="77777777" w:rsidR="0055434F" w:rsidRDefault="0055434F">
      <w:pPr>
        <w:spacing w:after="0" w:line="260" w:lineRule="auto"/>
        <w:rPr>
          <w:rFonts w:cs="Arial"/>
        </w:rPr>
      </w:pPr>
    </w:p>
    <w:p w14:paraId="09764022" w14:textId="77777777" w:rsidR="0055434F" w:rsidRDefault="00E67214">
      <w:pPr>
        <w:spacing w:after="0" w:line="260" w:lineRule="auto"/>
      </w:pPr>
      <w:r>
        <w:t>Predlog nima administrativnih posledic.</w:t>
      </w:r>
    </w:p>
    <w:p w14:paraId="18871904" w14:textId="77777777" w:rsidR="0055434F" w:rsidRDefault="0055434F">
      <w:pPr>
        <w:spacing w:after="0" w:line="260" w:lineRule="auto"/>
        <w:rPr>
          <w:rFonts w:cs="Arial"/>
        </w:rPr>
      </w:pPr>
    </w:p>
    <w:p w14:paraId="11D77EEE" w14:textId="77777777" w:rsidR="0055434F" w:rsidRDefault="00E67214">
      <w:pPr>
        <w:pStyle w:val="Odebeljeno"/>
        <w:spacing w:line="260" w:lineRule="auto"/>
      </w:pPr>
      <w:r>
        <w:t>6.2</w:t>
      </w:r>
      <w:r>
        <w:tab/>
      </w:r>
      <w:r>
        <w:t>Presoja posledic za okolje, vključno s prostorskimi in varstvenimi vidiki</w:t>
      </w:r>
    </w:p>
    <w:p w14:paraId="132D2716" w14:textId="77777777" w:rsidR="0055434F" w:rsidRDefault="0055434F">
      <w:pPr>
        <w:spacing w:after="0" w:line="260" w:lineRule="auto"/>
        <w:rPr>
          <w:rFonts w:cs="Arial"/>
        </w:rPr>
      </w:pPr>
    </w:p>
    <w:p w14:paraId="46413A6D" w14:textId="77777777" w:rsidR="0055434F" w:rsidRDefault="00E67214">
      <w:pPr>
        <w:spacing w:after="0" w:line="260" w:lineRule="auto"/>
      </w:pPr>
      <w:r>
        <w:t>Predlog nima posledic za okolje.</w:t>
      </w:r>
    </w:p>
    <w:p w14:paraId="4F6B53B8" w14:textId="77777777" w:rsidR="0055434F" w:rsidRDefault="0055434F">
      <w:pPr>
        <w:spacing w:after="0" w:line="260" w:lineRule="auto"/>
        <w:rPr>
          <w:rFonts w:cs="Arial"/>
        </w:rPr>
      </w:pPr>
    </w:p>
    <w:p w14:paraId="637797CD" w14:textId="77777777" w:rsidR="0055434F" w:rsidRDefault="00E67214">
      <w:pPr>
        <w:pStyle w:val="Odebeljeno"/>
        <w:spacing w:line="260" w:lineRule="auto"/>
      </w:pPr>
      <w:r>
        <w:t>6.3</w:t>
      </w:r>
      <w:r>
        <w:tab/>
        <w:t>Presoja posledic za gospodarstvo</w:t>
      </w:r>
    </w:p>
    <w:p w14:paraId="7E078B21" w14:textId="77777777" w:rsidR="0055434F" w:rsidRDefault="0055434F">
      <w:pPr>
        <w:spacing w:after="0" w:line="260" w:lineRule="auto"/>
        <w:rPr>
          <w:rFonts w:cs="Arial"/>
        </w:rPr>
      </w:pPr>
    </w:p>
    <w:p w14:paraId="02717444" w14:textId="77777777" w:rsidR="0055434F" w:rsidRDefault="00E67214">
      <w:pPr>
        <w:pStyle w:val="Odebeljeno"/>
        <w:spacing w:line="260" w:lineRule="auto"/>
        <w:ind w:left="360" w:hanging="360"/>
      </w:pPr>
      <w:r>
        <w:t>a)</w:t>
      </w:r>
      <w:r>
        <w:tab/>
        <w:t>Predpis ima učinek na fizične in pravne osebe, ki opravljajo dejavnost.</w:t>
      </w:r>
    </w:p>
    <w:p w14:paraId="5586112B" w14:textId="77777777" w:rsidR="0055434F" w:rsidRDefault="0055434F">
      <w:pPr>
        <w:spacing w:after="0" w:line="260" w:lineRule="auto"/>
        <w:rPr>
          <w:rFonts w:cs="Arial"/>
        </w:rPr>
      </w:pPr>
    </w:p>
    <w:p w14:paraId="134D8EDE" w14:textId="77777777" w:rsidR="0055434F" w:rsidRDefault="00E67214">
      <w:pPr>
        <w:pStyle w:val="Odebeljeno"/>
        <w:spacing w:line="260" w:lineRule="auto"/>
        <w:ind w:left="720" w:hanging="360"/>
      </w:pPr>
      <w:r>
        <w:t>–</w:t>
      </w:r>
      <w:r>
        <w:tab/>
        <w:t>Predpis ima pozitiven učinek na pravno varnost.</w:t>
      </w:r>
    </w:p>
    <w:p w14:paraId="216EA8E0" w14:textId="77777777" w:rsidR="0055434F" w:rsidRDefault="0055434F">
      <w:pPr>
        <w:spacing w:after="0" w:line="260" w:lineRule="auto"/>
        <w:rPr>
          <w:rFonts w:cs="Arial"/>
        </w:rPr>
      </w:pPr>
    </w:p>
    <w:p w14:paraId="2D516521" w14:textId="77777777" w:rsidR="0055434F" w:rsidRDefault="00E67214">
      <w:pPr>
        <w:spacing w:after="0" w:line="240" w:lineRule="auto"/>
        <w:ind w:left="720"/>
      </w:pPr>
      <w:r>
        <w:t>Predlog zakona pozitivno vpliva na pravno varnost kreditojemalcev, saj se z dopolnitvijo ZKSNKB zagotavlja, da kupci kreditov in serviserji kreditov sporočilo o prenosu nedonosne kreditne pogodbe, sporočilo pred prvo izterjavo dolga oziroma kadarkoli sporočilo zahteva kreditojemalec, le to napišejo tako, da je jasno in razumljivo širši javnosti.</w:t>
      </w:r>
    </w:p>
    <w:p w14:paraId="26A16EF8" w14:textId="77777777" w:rsidR="0055434F" w:rsidRDefault="0055434F">
      <w:pPr>
        <w:spacing w:after="0" w:line="240" w:lineRule="auto"/>
        <w:ind w:left="720"/>
      </w:pPr>
    </w:p>
    <w:p w14:paraId="1A2ADA9E" w14:textId="77777777" w:rsidR="0055434F" w:rsidRDefault="0055434F">
      <w:pPr>
        <w:spacing w:after="0" w:line="260" w:lineRule="auto"/>
        <w:rPr>
          <w:rFonts w:cs="Arial"/>
        </w:rPr>
      </w:pPr>
    </w:p>
    <w:p w14:paraId="79118D8D" w14:textId="77777777" w:rsidR="0055434F" w:rsidRDefault="00E67214">
      <w:pPr>
        <w:pStyle w:val="Odebeljeno"/>
        <w:spacing w:line="260" w:lineRule="auto"/>
      </w:pPr>
      <w:r>
        <w:t>6.4</w:t>
      </w:r>
      <w:r>
        <w:tab/>
        <w:t>Presoja posledic za socialno področje</w:t>
      </w:r>
    </w:p>
    <w:p w14:paraId="3170563B" w14:textId="77777777" w:rsidR="0055434F" w:rsidRDefault="0055434F">
      <w:pPr>
        <w:spacing w:after="0" w:line="260" w:lineRule="auto"/>
        <w:rPr>
          <w:rFonts w:cs="Arial"/>
        </w:rPr>
      </w:pPr>
    </w:p>
    <w:p w14:paraId="3DA8E096" w14:textId="77777777" w:rsidR="0055434F" w:rsidRDefault="00E67214">
      <w:pPr>
        <w:spacing w:after="0" w:line="260" w:lineRule="auto"/>
      </w:pPr>
      <w:r>
        <w:t>Predlog nima posledic za socialno področje.</w:t>
      </w:r>
    </w:p>
    <w:p w14:paraId="12BCBB74" w14:textId="77777777" w:rsidR="0055434F" w:rsidRDefault="0055434F">
      <w:pPr>
        <w:spacing w:after="0" w:line="260" w:lineRule="auto"/>
        <w:rPr>
          <w:rFonts w:cs="Arial"/>
        </w:rPr>
      </w:pPr>
    </w:p>
    <w:p w14:paraId="6D700643" w14:textId="77777777" w:rsidR="0055434F" w:rsidRDefault="00E67214">
      <w:pPr>
        <w:pStyle w:val="Odebeljeno"/>
        <w:spacing w:line="260" w:lineRule="auto"/>
      </w:pPr>
      <w:r>
        <w:t>6.5</w:t>
      </w:r>
      <w:r>
        <w:tab/>
        <w:t>Presoja posledic za dokumente razvojnega načrtovanja</w:t>
      </w:r>
    </w:p>
    <w:p w14:paraId="7DAD3039" w14:textId="77777777" w:rsidR="0055434F" w:rsidRDefault="0055434F">
      <w:pPr>
        <w:spacing w:after="0" w:line="260" w:lineRule="auto"/>
        <w:rPr>
          <w:rFonts w:cs="Arial"/>
        </w:rPr>
      </w:pPr>
    </w:p>
    <w:p w14:paraId="781FEC85" w14:textId="77777777" w:rsidR="0055434F" w:rsidRDefault="00E67214">
      <w:pPr>
        <w:spacing w:after="0" w:line="260" w:lineRule="auto"/>
      </w:pPr>
      <w:r>
        <w:t>Predlog nima posledic za dokumente razvojnega načrtovanja.</w:t>
      </w:r>
    </w:p>
    <w:p w14:paraId="7BC1A738" w14:textId="77777777" w:rsidR="0055434F" w:rsidRDefault="0055434F">
      <w:pPr>
        <w:spacing w:after="0" w:line="260" w:lineRule="auto"/>
        <w:rPr>
          <w:rFonts w:cs="Arial"/>
        </w:rPr>
      </w:pPr>
    </w:p>
    <w:p w14:paraId="4F3907C1" w14:textId="77777777" w:rsidR="0055434F" w:rsidRDefault="00E67214">
      <w:pPr>
        <w:pStyle w:val="Odebeljeno"/>
        <w:spacing w:line="260" w:lineRule="auto"/>
      </w:pPr>
      <w:r>
        <w:t>6.6</w:t>
      </w:r>
      <w:r>
        <w:tab/>
        <w:t>Presoja posledic za druga področja</w:t>
      </w:r>
    </w:p>
    <w:p w14:paraId="59EB4D0E" w14:textId="77777777" w:rsidR="0055434F" w:rsidRDefault="0055434F">
      <w:pPr>
        <w:spacing w:after="0" w:line="260" w:lineRule="auto"/>
        <w:rPr>
          <w:rFonts w:cs="Arial"/>
        </w:rPr>
      </w:pPr>
    </w:p>
    <w:p w14:paraId="32F7F90A" w14:textId="77777777" w:rsidR="0055434F" w:rsidRDefault="00E67214">
      <w:pPr>
        <w:spacing w:after="0" w:line="260" w:lineRule="auto"/>
      </w:pPr>
      <w:r>
        <w:t>Predlog nima posledic za druga področja.</w:t>
      </w:r>
    </w:p>
    <w:p w14:paraId="6E19BE23" w14:textId="77777777" w:rsidR="0055434F" w:rsidRDefault="0055434F">
      <w:pPr>
        <w:spacing w:after="0" w:line="260" w:lineRule="auto"/>
        <w:rPr>
          <w:rFonts w:cs="Arial"/>
        </w:rPr>
      </w:pPr>
    </w:p>
    <w:p w14:paraId="6CA025D2" w14:textId="77777777" w:rsidR="0055434F" w:rsidRDefault="00E67214">
      <w:pPr>
        <w:pStyle w:val="Odebeljeno"/>
        <w:spacing w:line="260" w:lineRule="auto"/>
      </w:pPr>
      <w:r>
        <w:lastRenderedPageBreak/>
        <w:t>6.7</w:t>
      </w:r>
      <w:r>
        <w:tab/>
        <w:t>Izvajanje sprejetega predpisa</w:t>
      </w:r>
    </w:p>
    <w:p w14:paraId="56D7D2B6" w14:textId="77777777" w:rsidR="0055434F" w:rsidRDefault="0055434F">
      <w:pPr>
        <w:spacing w:after="0" w:line="260" w:lineRule="auto"/>
        <w:rPr>
          <w:rFonts w:cs="Arial"/>
        </w:rPr>
      </w:pPr>
    </w:p>
    <w:p w14:paraId="30BB7FD6" w14:textId="77777777" w:rsidR="0055434F" w:rsidRDefault="00E67214">
      <w:pPr>
        <w:spacing w:after="0" w:line="240" w:lineRule="auto"/>
      </w:pPr>
      <w:r>
        <w:t>Nadzorni organ za spremljanje izvajanja predpisa je Banka Slovenije, ki izvaja nadzor v skladu z ZKSNKB in Zakonom o bančništvu.</w:t>
      </w:r>
    </w:p>
    <w:p w14:paraId="242407EA" w14:textId="77777777" w:rsidR="0055434F" w:rsidRDefault="0055434F">
      <w:pPr>
        <w:spacing w:after="0" w:line="260" w:lineRule="auto"/>
        <w:rPr>
          <w:rFonts w:cs="Arial"/>
        </w:rPr>
      </w:pPr>
    </w:p>
    <w:p w14:paraId="15506750" w14:textId="77777777" w:rsidR="0055434F" w:rsidRDefault="00E67214">
      <w:pPr>
        <w:pStyle w:val="Odebeljeno"/>
        <w:spacing w:line="260" w:lineRule="auto"/>
      </w:pPr>
      <w:r>
        <w:t>7.</w:t>
      </w:r>
      <w:r>
        <w:tab/>
        <w:t>Prikaz sodelovanja javnosti</w:t>
      </w:r>
    </w:p>
    <w:p w14:paraId="48983098" w14:textId="77777777" w:rsidR="0055434F" w:rsidRDefault="0055434F">
      <w:pPr>
        <w:spacing w:after="0" w:line="260" w:lineRule="auto"/>
        <w:rPr>
          <w:rFonts w:cs="Arial"/>
        </w:rPr>
      </w:pPr>
    </w:p>
    <w:p w14:paraId="118D0A78" w14:textId="77777777" w:rsidR="0055434F" w:rsidRDefault="00E67214">
      <w:pPr>
        <w:spacing w:after="0" w:line="260" w:lineRule="auto"/>
      </w:pPr>
      <w:r>
        <w:t>Gradivo ni bilo predmet sodelovanja z javnostjo.</w:t>
      </w:r>
    </w:p>
    <w:p w14:paraId="6AD74980" w14:textId="77777777" w:rsidR="0055434F" w:rsidRDefault="0055434F">
      <w:pPr>
        <w:spacing w:after="0" w:line="260" w:lineRule="auto"/>
        <w:rPr>
          <w:rFonts w:cs="Arial"/>
        </w:rPr>
      </w:pPr>
    </w:p>
    <w:p w14:paraId="602B9E45" w14:textId="77777777" w:rsidR="0055434F" w:rsidRDefault="00E67214">
      <w:pPr>
        <w:spacing w:after="0" w:line="260" w:lineRule="auto"/>
      </w:pPr>
      <w:r>
        <w:t>Obrazložitev:</w:t>
      </w:r>
    </w:p>
    <w:p w14:paraId="0463B721" w14:textId="77777777" w:rsidR="0055434F" w:rsidRDefault="00E67214">
      <w:pPr>
        <w:spacing w:after="0" w:line="240" w:lineRule="auto"/>
      </w:pPr>
      <w:r>
        <w:t>Evropska Komisija je 20. 8. 2026 Republiki Sloveniji poslala sporočilo s čimprejšnjo zahtevo po dopolnitvi 33. člena ZKSNKB. Zaradi manjše dopolnitve napovednega dela tega člena, pripravljene izključno za odpravo neskladnosti prenosa ustreznega člena EU direktive, predlog Zakona o dopolnitvi Zakona o kupcih in serviserjih nedonosnih kreditov bank ni bil javno objavljen.</w:t>
      </w:r>
    </w:p>
    <w:p w14:paraId="00751C59" w14:textId="77777777" w:rsidR="0055434F" w:rsidRDefault="0055434F">
      <w:pPr>
        <w:spacing w:after="0" w:line="260" w:lineRule="auto"/>
      </w:pPr>
    </w:p>
    <w:p w14:paraId="27CD2E04" w14:textId="77777777" w:rsidR="0055434F" w:rsidRDefault="0055434F">
      <w:pPr>
        <w:spacing w:after="0" w:line="260" w:lineRule="auto"/>
        <w:rPr>
          <w:rFonts w:cs="Arial"/>
        </w:rPr>
      </w:pPr>
    </w:p>
    <w:p w14:paraId="056B2553" w14:textId="77777777" w:rsidR="0055434F" w:rsidRDefault="00E67214">
      <w:pPr>
        <w:pStyle w:val="Odebeljeno"/>
        <w:spacing w:line="260" w:lineRule="auto"/>
      </w:pPr>
      <w:r>
        <w:t>8.</w:t>
      </w:r>
      <w:r>
        <w:tab/>
        <w:t>Zunanji strokovnjak oziroma pravna oseba, ki je sodelovala pri pripravi predloga zakona</w:t>
      </w:r>
    </w:p>
    <w:p w14:paraId="7A83A645" w14:textId="77777777" w:rsidR="0055434F" w:rsidRDefault="0055434F">
      <w:pPr>
        <w:spacing w:after="0" w:line="260" w:lineRule="auto"/>
        <w:rPr>
          <w:rFonts w:cs="Arial"/>
        </w:rPr>
      </w:pPr>
    </w:p>
    <w:p w14:paraId="278EA7B5" w14:textId="77777777" w:rsidR="0055434F" w:rsidRDefault="00E67214">
      <w:pPr>
        <w:spacing w:after="0" w:line="240" w:lineRule="auto"/>
      </w:pPr>
      <w:r>
        <w:t>Pri pripravi predpisa ni sodeloval zunanji strokovnjak oziroma pravna oseba.</w:t>
      </w:r>
    </w:p>
    <w:p w14:paraId="26C48593" w14:textId="77777777" w:rsidR="0055434F" w:rsidRDefault="0055434F">
      <w:pPr>
        <w:spacing w:after="0" w:line="260" w:lineRule="auto"/>
        <w:rPr>
          <w:rFonts w:cs="Arial"/>
        </w:rPr>
      </w:pPr>
    </w:p>
    <w:p w14:paraId="5C45226E" w14:textId="77777777" w:rsidR="0055434F" w:rsidRDefault="00E67214">
      <w:pPr>
        <w:pStyle w:val="Odebeljeno"/>
        <w:spacing w:line="260" w:lineRule="auto"/>
      </w:pPr>
      <w:r>
        <w:t>9.</w:t>
      </w:r>
      <w:r>
        <w:tab/>
        <w:t>Navedba, kateri predstavniki predlagatelja bodo sodelovali pri delu državnega zbora in delovnih teles</w:t>
      </w:r>
    </w:p>
    <w:p w14:paraId="6346C17B" w14:textId="77777777" w:rsidR="0055434F" w:rsidRDefault="0055434F">
      <w:pPr>
        <w:spacing w:after="0" w:line="260" w:lineRule="auto"/>
        <w:rPr>
          <w:rFonts w:cs="Arial"/>
        </w:rPr>
      </w:pPr>
    </w:p>
    <w:p w14:paraId="2C797EA0" w14:textId="77777777" w:rsidR="0055434F" w:rsidRDefault="00E67214">
      <w:pPr>
        <w:spacing w:after="0" w:line="240" w:lineRule="auto"/>
        <w:ind w:left="454"/>
      </w:pPr>
      <w:r>
        <w:t>- mag. Andrej Šircelj, minister za finance</w:t>
      </w:r>
    </w:p>
    <w:p w14:paraId="4BFB8C07" w14:textId="77777777" w:rsidR="0055434F" w:rsidRDefault="00E67214">
      <w:pPr>
        <w:spacing w:after="0" w:line="240" w:lineRule="auto"/>
        <w:ind w:left="454"/>
      </w:pPr>
      <w:r>
        <w:t>- Miran Vičič, državni sekretar na Ministrstvu za finance</w:t>
      </w:r>
    </w:p>
    <w:p w14:paraId="0C37C276" w14:textId="77777777" w:rsidR="0055434F" w:rsidRDefault="00E67214">
      <w:pPr>
        <w:spacing w:after="0" w:line="240" w:lineRule="auto"/>
        <w:ind w:left="454"/>
      </w:pPr>
      <w:r>
        <w:t>- Peter Papež, državni sekretar na Ministrstvu za finance</w:t>
      </w:r>
    </w:p>
    <w:p w14:paraId="522BDB25" w14:textId="77777777" w:rsidR="0055434F" w:rsidRDefault="00E67214">
      <w:pPr>
        <w:spacing w:after="0" w:line="240" w:lineRule="auto"/>
        <w:ind w:left="454"/>
      </w:pPr>
      <w:r>
        <w:t>- mag. Kristina Šteblaj, državna sekretarka na Ministrstvu za finance</w:t>
      </w:r>
    </w:p>
    <w:p w14:paraId="7782EFB5" w14:textId="77777777" w:rsidR="0055434F" w:rsidRDefault="00E67214">
      <w:pPr>
        <w:spacing w:after="0" w:line="240" w:lineRule="auto"/>
        <w:ind w:left="454"/>
      </w:pPr>
      <w:r>
        <w:t>- mag. Maja Hostnik Kališek, državna sekretarka na Ministrstvu za finance</w:t>
      </w:r>
    </w:p>
    <w:p w14:paraId="7532E7B7" w14:textId="77777777" w:rsidR="0055434F" w:rsidRDefault="00E67214">
      <w:pPr>
        <w:spacing w:after="0" w:line="240" w:lineRule="auto"/>
        <w:ind w:left="454"/>
      </w:pPr>
      <w:r>
        <w:t>- Urška Cvelbar, generalna direktorica Direktorata za finančni sistem</w:t>
      </w:r>
    </w:p>
    <w:p w14:paraId="3CF04626" w14:textId="77777777" w:rsidR="0055434F" w:rsidRDefault="00E67214">
      <w:pPr>
        <w:spacing w:after="0" w:line="240" w:lineRule="auto"/>
        <w:ind w:left="454"/>
      </w:pPr>
      <w:r>
        <w:t>- mag. Robert Petek, vodja Sektorja za bančništvo, Direktorat za finančni sistem</w:t>
      </w:r>
    </w:p>
    <w:p w14:paraId="68C00495" w14:textId="77777777" w:rsidR="0055434F" w:rsidRDefault="00E67214">
      <w:pPr>
        <w:spacing w:after="0" w:line="240" w:lineRule="auto"/>
        <w:ind w:left="454"/>
      </w:pPr>
      <w:r>
        <w:t>- mag. Teja Šmigoc, podsekretarka v Sektorju za bančništvo, Direktorat za finančni sistem</w:t>
      </w:r>
    </w:p>
    <w:p w14:paraId="297CADBC" w14:textId="77777777" w:rsidR="0055434F" w:rsidRDefault="00E67214">
      <w:r>
        <w:br w:type="page"/>
      </w:r>
    </w:p>
    <w:p w14:paraId="2F21C476" w14:textId="77777777" w:rsidR="0055434F" w:rsidRDefault="00E67214">
      <w:pPr>
        <w:pStyle w:val="Odebeljeno"/>
        <w:spacing w:line="260" w:lineRule="auto"/>
      </w:pPr>
      <w:r>
        <w:lastRenderedPageBreak/>
        <w:t>II.</w:t>
      </w:r>
      <w:r>
        <w:tab/>
        <w:t>BESEDILO ČLENOV</w:t>
      </w:r>
    </w:p>
    <w:p w14:paraId="3D7AC16D" w14:textId="77777777" w:rsidR="0055434F" w:rsidRDefault="0055434F">
      <w:pPr>
        <w:spacing w:after="0" w:line="260" w:lineRule="auto"/>
        <w:rPr>
          <w:rFonts w:cs="Arial"/>
        </w:rPr>
      </w:pPr>
    </w:p>
    <w:p w14:paraId="295B5548" w14:textId="77777777" w:rsidR="0055434F" w:rsidRDefault="00E67214">
      <w:pPr>
        <w:pStyle w:val="Naslov1"/>
        <w:spacing w:line="260" w:lineRule="auto"/>
      </w:pPr>
      <w:r>
        <w:t>Zakon o dopolnitvi Zakona o kupcih in serviserjih nedonosnih kreditov bank</w:t>
      </w:r>
    </w:p>
    <w:p w14:paraId="2FE3671A" w14:textId="77777777" w:rsidR="0055434F" w:rsidRDefault="00E67214">
      <w:pPr>
        <w:pStyle w:val="len"/>
        <w:spacing w:line="260" w:lineRule="auto"/>
      </w:pPr>
      <w:r>
        <w:t>1. člen</w:t>
      </w:r>
    </w:p>
    <w:p w14:paraId="41F70FE9" w14:textId="77777777" w:rsidR="0055434F" w:rsidRDefault="0055434F">
      <w:pPr>
        <w:spacing w:after="0" w:line="260" w:lineRule="auto"/>
        <w:rPr>
          <w:rFonts w:cs="Arial"/>
        </w:rPr>
      </w:pPr>
    </w:p>
    <w:p w14:paraId="3E2A31B7" w14:textId="77777777" w:rsidR="0055434F" w:rsidRDefault="00E67214">
      <w:pPr>
        <w:spacing w:after="0" w:line="260" w:lineRule="auto"/>
      </w:pPr>
      <w:r>
        <w:tab/>
      </w:r>
      <w:r>
        <w:t>V Zakonu o kupcih in serviserjih nedonosnih kreditov bank (Uradni list RS, št. 12/24) se v 33. členu v napovednem stavku za besedo »kreditojemalec« dodata vejica in besedilo »pri čemer mora biti sporočilo napisano jasno in razumljivo širši javnosti«.</w:t>
      </w:r>
    </w:p>
    <w:p w14:paraId="73C20BAD" w14:textId="77777777" w:rsidR="0055434F" w:rsidRDefault="0055434F">
      <w:pPr>
        <w:spacing w:after="0" w:line="260" w:lineRule="auto"/>
        <w:rPr>
          <w:rFonts w:cs="Arial"/>
        </w:rPr>
      </w:pPr>
    </w:p>
    <w:p w14:paraId="7646CFA6" w14:textId="77777777" w:rsidR="0055434F" w:rsidRDefault="00E67214">
      <w:pPr>
        <w:pStyle w:val="Poglavje"/>
        <w:spacing w:line="260" w:lineRule="auto"/>
      </w:pPr>
      <w:r>
        <w:t>KONČNA DOLOČBA</w:t>
      </w:r>
    </w:p>
    <w:p w14:paraId="15991169" w14:textId="77777777" w:rsidR="0055434F" w:rsidRDefault="00E67214">
      <w:pPr>
        <w:pStyle w:val="len"/>
        <w:spacing w:line="260" w:lineRule="auto"/>
      </w:pPr>
      <w:r>
        <w:t>2. člen</w:t>
      </w:r>
    </w:p>
    <w:p w14:paraId="2C3DB799" w14:textId="77777777" w:rsidR="0055434F" w:rsidRDefault="00E67214">
      <w:pPr>
        <w:pStyle w:val="lennaslov"/>
        <w:spacing w:line="260" w:lineRule="auto"/>
      </w:pPr>
      <w:r>
        <w:t>(začetek veljavnosti)</w:t>
      </w:r>
    </w:p>
    <w:p w14:paraId="56B922E0" w14:textId="77777777" w:rsidR="0055434F" w:rsidRDefault="0055434F">
      <w:pPr>
        <w:spacing w:after="0" w:line="260" w:lineRule="auto"/>
        <w:rPr>
          <w:rFonts w:cs="Arial"/>
        </w:rPr>
      </w:pPr>
    </w:p>
    <w:p w14:paraId="177BD15B" w14:textId="77777777" w:rsidR="0055434F" w:rsidRDefault="00E67214">
      <w:pPr>
        <w:spacing w:after="0" w:line="260" w:lineRule="auto"/>
      </w:pPr>
      <w:r>
        <w:tab/>
        <w:t>Ta zakon začne veljati petnajsti dan po objavi v Uradnem listu Republike Slovenije.</w:t>
      </w:r>
    </w:p>
    <w:p w14:paraId="041B4BB5" w14:textId="77777777" w:rsidR="0055434F" w:rsidRDefault="00E67214">
      <w:r>
        <w:br w:type="page"/>
      </w:r>
    </w:p>
    <w:p w14:paraId="26340259" w14:textId="77777777" w:rsidR="0055434F" w:rsidRDefault="00E67214">
      <w:pPr>
        <w:pStyle w:val="Odebeljeno"/>
        <w:spacing w:line="260" w:lineRule="auto"/>
      </w:pPr>
      <w:r>
        <w:lastRenderedPageBreak/>
        <w:t>III.</w:t>
      </w:r>
      <w:r>
        <w:tab/>
        <w:t>OBRAZLOŽITEV</w:t>
      </w:r>
    </w:p>
    <w:p w14:paraId="344ACE86" w14:textId="77777777" w:rsidR="0055434F" w:rsidRDefault="0055434F">
      <w:pPr>
        <w:spacing w:after="0" w:line="260" w:lineRule="auto"/>
        <w:rPr>
          <w:rFonts w:cs="Arial"/>
        </w:rPr>
      </w:pPr>
    </w:p>
    <w:p w14:paraId="34E1BB61" w14:textId="77777777" w:rsidR="0055434F" w:rsidRDefault="00E67214">
      <w:pPr>
        <w:pStyle w:val="Odebeljeno"/>
        <w:spacing w:line="260" w:lineRule="auto"/>
      </w:pPr>
      <w:r>
        <w:t>K 1. členu:</w:t>
      </w:r>
    </w:p>
    <w:p w14:paraId="52DE43C4" w14:textId="77777777" w:rsidR="0055434F" w:rsidRDefault="00E67214">
      <w:pPr>
        <w:spacing w:after="0" w:line="240" w:lineRule="auto"/>
      </w:pPr>
      <w:r>
        <w:t>33. člen Zakona o kupcih in serviserjih nedonosnih kreditov bank (Uradni list RS, št. 12/24) določa obveznost kupca nedonosnega kredita oziroma serviserja kreditov, da kreditojemalcu pred prvo izterjavo dolga oziroma na njegovo zahtevo pošlje pisno sporočilo na papirju ali drugem trajnem nosilcu podatkov. Sporočilo mora biti v slovenskem jeziku ali jeziku, ki ga kreditojemalec razume, ter mora vsebovati predpisane informacije o prenosu kredita, kupcu in serviserju, dolgu, pravicah kreditojemalca, obdelavi o</w:t>
      </w:r>
      <w:r>
        <w:t>sebnih podatkov ter možnosti vložitve pritožbe.</w:t>
      </w:r>
    </w:p>
    <w:p w14:paraId="33DA93A4" w14:textId="77777777" w:rsidR="0055434F" w:rsidRDefault="00E67214">
      <w:pPr>
        <w:spacing w:after="0" w:line="240" w:lineRule="auto"/>
      </w:pPr>
      <w:r>
        <w:t xml:space="preserve"> </w:t>
      </w:r>
    </w:p>
    <w:p w14:paraId="635EC175" w14:textId="77777777" w:rsidR="0055434F" w:rsidRDefault="00E67214">
      <w:pPr>
        <w:spacing w:after="0" w:line="240" w:lineRule="auto"/>
      </w:pPr>
      <w:r>
        <w:t>Dopolnitev določbe v zvezi z uporabo jezika v sporočilu kreditojemalca, ki mora biti jasen in razumljiv širši javnosti, je potrebna zaradi celovitega prenosa drugega odstavka 10. člena Direktive 2021/2167/EU. Sklicevanje na jasen in razumljiv jezik se v skladu z omenjeno direktivo namreč razume tudi tako, da pomeni dostopen jezik (in ne tehnični žargon).</w:t>
      </w:r>
    </w:p>
    <w:p w14:paraId="45309F43" w14:textId="77777777" w:rsidR="0055434F" w:rsidRDefault="0055434F">
      <w:pPr>
        <w:spacing w:after="0" w:line="260" w:lineRule="auto"/>
        <w:rPr>
          <w:rFonts w:cs="Arial"/>
        </w:rPr>
      </w:pPr>
    </w:p>
    <w:p w14:paraId="755AAD8B" w14:textId="77777777" w:rsidR="0055434F" w:rsidRDefault="00E67214">
      <w:pPr>
        <w:pStyle w:val="Odebeljeno"/>
        <w:spacing w:line="260" w:lineRule="auto"/>
      </w:pPr>
      <w:r>
        <w:t>K 2. členu:</w:t>
      </w:r>
    </w:p>
    <w:p w14:paraId="32C0B664" w14:textId="77777777" w:rsidR="0055434F" w:rsidRDefault="00E67214">
      <w:pPr>
        <w:spacing w:after="0" w:line="240" w:lineRule="auto"/>
      </w:pPr>
      <w:r>
        <w:t>Določba ureja začetek veljavnosti zakona.</w:t>
      </w:r>
    </w:p>
    <w:p w14:paraId="2621EEC6" w14:textId="77777777" w:rsidR="0055434F" w:rsidRDefault="0055434F">
      <w:pPr>
        <w:spacing w:after="0" w:line="260" w:lineRule="auto"/>
        <w:rPr>
          <w:rFonts w:cs="Arial"/>
        </w:rPr>
      </w:pPr>
    </w:p>
    <w:p w14:paraId="7ED1F09A" w14:textId="77777777" w:rsidR="0055434F" w:rsidRDefault="00E67214">
      <w:r>
        <w:br w:type="page"/>
      </w:r>
    </w:p>
    <w:p w14:paraId="57083982" w14:textId="77777777" w:rsidR="0055434F" w:rsidRDefault="00E67214">
      <w:pPr>
        <w:pStyle w:val="Odebeljeno"/>
        <w:spacing w:line="260" w:lineRule="auto"/>
      </w:pPr>
      <w:r>
        <w:lastRenderedPageBreak/>
        <w:t>IV.</w:t>
      </w:r>
      <w:r>
        <w:tab/>
        <w:t>BESEDILO ČLENOV, KI SE SPREMINJAJO</w:t>
      </w:r>
    </w:p>
    <w:p w14:paraId="719309EA" w14:textId="77777777" w:rsidR="0055434F" w:rsidRDefault="0055434F">
      <w:pPr>
        <w:spacing w:after="0" w:line="260" w:lineRule="auto"/>
        <w:rPr>
          <w:rFonts w:cs="Arial"/>
        </w:rPr>
      </w:pPr>
    </w:p>
    <w:p w14:paraId="30F0401C" w14:textId="77777777" w:rsidR="0055434F" w:rsidRDefault="00E67214">
      <w:pPr>
        <w:pStyle w:val="Odebeljeno"/>
        <w:spacing w:line="260" w:lineRule="auto"/>
      </w:pPr>
      <w:r>
        <w:t>Zakon o kupcih in serviserjih nedonosnih kreditov bank</w:t>
      </w:r>
    </w:p>
    <w:p w14:paraId="0BD82D72" w14:textId="77777777" w:rsidR="0055434F" w:rsidRDefault="00E67214">
      <w:pPr>
        <w:spacing w:after="0" w:line="260" w:lineRule="auto"/>
      </w:pPr>
      <w:r>
        <w:t>(Uradni list RS, št. 12/24)</w:t>
      </w:r>
    </w:p>
    <w:p w14:paraId="7F541586" w14:textId="77777777" w:rsidR="0055434F" w:rsidRDefault="0055434F">
      <w:pPr>
        <w:spacing w:after="0" w:line="260" w:lineRule="auto"/>
        <w:rPr>
          <w:rFonts w:cs="Arial"/>
        </w:rPr>
      </w:pPr>
    </w:p>
    <w:p w14:paraId="57CAAED6" w14:textId="77777777" w:rsidR="0055434F" w:rsidRDefault="00E67214">
      <w:pPr>
        <w:pStyle w:val="center"/>
        <w:spacing w:after="210"/>
        <w:rPr>
          <w:rFonts w:cs="Arial"/>
          <w:b/>
          <w:sz w:val="21"/>
        </w:rPr>
      </w:pPr>
      <w:r>
        <w:rPr>
          <w:rFonts w:cs="Arial"/>
          <w:b/>
          <w:sz w:val="21"/>
        </w:rPr>
        <w:t>33. člen</w:t>
      </w:r>
    </w:p>
    <w:p w14:paraId="15A23D02" w14:textId="77777777" w:rsidR="0055434F" w:rsidRDefault="00E67214">
      <w:pPr>
        <w:pStyle w:val="center"/>
        <w:spacing w:before="210" w:after="210"/>
        <w:rPr>
          <w:rFonts w:cs="Arial"/>
          <w:b/>
          <w:sz w:val="21"/>
        </w:rPr>
      </w:pPr>
      <w:r>
        <w:rPr>
          <w:rFonts w:cs="Arial"/>
          <w:b/>
          <w:sz w:val="21"/>
        </w:rPr>
        <w:t>(sporočanje informacij kreditojemalcu v zvezi z nedonosnim kreditom)</w:t>
      </w:r>
    </w:p>
    <w:p w14:paraId="0C0B3379" w14:textId="77777777" w:rsidR="0055434F" w:rsidRDefault="00E67214">
      <w:pPr>
        <w:spacing w:before="210" w:after="210"/>
        <w:rPr>
          <w:rFonts w:cs="Arial"/>
          <w:sz w:val="21"/>
        </w:rPr>
      </w:pPr>
      <w:r>
        <w:rPr>
          <w:rFonts w:cs="Arial"/>
        </w:rPr>
        <w:t>Po prenosu nedonosnega kredita na kupca kreditov kupec kreditov oziroma subjekt iz prvega odstavka 7. člena tega zakona, kadar je imenovan za opravljanje dejavnosti servisiranja kreditov na območju Republike Slovenije, pred prvo izterjavo dolga ali na zahtevo kreditojemalca pošlje kreditojemalcu sporočilo pisno na papirju ali drugem trajnem nosilcu podatkov, ki vključuje tudi elektronsko obliko, v slovenskem jeziku ali jeziku, ki ga razume kreditojemalec, in sicer vsaj:</w:t>
      </w:r>
    </w:p>
    <w:p w14:paraId="24C24FD9" w14:textId="77777777" w:rsidR="0055434F" w:rsidRDefault="00E67214">
      <w:pPr>
        <w:spacing w:before="210" w:after="210"/>
        <w:rPr>
          <w:rFonts w:cs="Arial"/>
          <w:sz w:val="21"/>
        </w:rPr>
      </w:pPr>
      <w:r>
        <w:rPr>
          <w:rFonts w:cs="Arial"/>
        </w:rPr>
        <w:t>1.      informacijo o prenosu nedonosnega kredita, ki je bil izveden, vključno z dnevom prenosa;</w:t>
      </w:r>
    </w:p>
    <w:p w14:paraId="4D7DF5B9" w14:textId="77777777" w:rsidR="0055434F" w:rsidRDefault="00E67214">
      <w:pPr>
        <w:spacing w:before="210" w:after="210"/>
        <w:rPr>
          <w:rFonts w:cs="Arial"/>
          <w:sz w:val="21"/>
        </w:rPr>
      </w:pPr>
      <w:r>
        <w:rPr>
          <w:rFonts w:cs="Arial"/>
        </w:rPr>
        <w:t>2.      identifikacijske in kontaktne podatke o kupcu kreditov;</w:t>
      </w:r>
    </w:p>
    <w:p w14:paraId="74489564" w14:textId="77777777" w:rsidR="0055434F" w:rsidRDefault="00E67214">
      <w:pPr>
        <w:spacing w:before="210" w:after="210"/>
        <w:rPr>
          <w:rFonts w:cs="Arial"/>
          <w:sz w:val="21"/>
        </w:rPr>
      </w:pPr>
      <w:r>
        <w:rPr>
          <w:rFonts w:cs="Arial"/>
        </w:rPr>
        <w:t>3.      identifikacijske in kontaktne podatke o serviserju kreditov ali drugem subjektu, kadar je bil imenovan v skladu s 7. členom tega zakona;</w:t>
      </w:r>
    </w:p>
    <w:p w14:paraId="1F981FB5" w14:textId="77777777" w:rsidR="0055434F" w:rsidRDefault="00E67214">
      <w:pPr>
        <w:spacing w:before="210" w:after="210"/>
        <w:rPr>
          <w:rFonts w:cs="Arial"/>
          <w:sz w:val="21"/>
        </w:rPr>
      </w:pPr>
      <w:r>
        <w:rPr>
          <w:rFonts w:cs="Arial"/>
        </w:rPr>
        <w:t>4.      kopijo dovoljenja za serviserja kreditov, izdanega na podlagi 14. člena tega zakona, kadar je bil imenovan v skladu s 7. členom tega zakona;</w:t>
      </w:r>
    </w:p>
    <w:p w14:paraId="2A051854" w14:textId="77777777" w:rsidR="0055434F" w:rsidRDefault="00E67214">
      <w:pPr>
        <w:spacing w:before="210" w:after="210"/>
        <w:rPr>
          <w:rFonts w:cs="Arial"/>
          <w:sz w:val="21"/>
        </w:rPr>
      </w:pPr>
      <w:r>
        <w:rPr>
          <w:rFonts w:cs="Arial"/>
        </w:rPr>
        <w:t>5.      identifikacijske in kontaktne podatke o ponudniku storitev servisiranja kreditov, kadar je dejavnost servisiranja kreditov oddana v zunanje izvajanje;</w:t>
      </w:r>
    </w:p>
    <w:p w14:paraId="2083237D" w14:textId="77777777" w:rsidR="0055434F" w:rsidRDefault="00E67214">
      <w:pPr>
        <w:spacing w:before="210" w:after="210"/>
        <w:rPr>
          <w:rFonts w:cs="Arial"/>
          <w:sz w:val="21"/>
        </w:rPr>
      </w:pPr>
      <w:r>
        <w:rPr>
          <w:rFonts w:cs="Arial"/>
        </w:rPr>
        <w:t>6.      kontaktne podatke o osebi pri kupcu kreditov ali serviserju kreditov ali drugem subjektu, kadar je bil imenovan v skladu s 7. členom tega zakona, ali kadar je dejavnost servisiranja kreditov oddana v zunanje izvajanje pri ponudniku storitev servisiranja kreditov, pri kateri kreditojemalec lahko pridobi informacije, pri čemer morajo biti kontaktni podatki o tej osebi prikazani na vidnem mestu;</w:t>
      </w:r>
    </w:p>
    <w:p w14:paraId="61F52523" w14:textId="77777777" w:rsidR="0055434F" w:rsidRDefault="00E67214">
      <w:pPr>
        <w:spacing w:before="210" w:after="210"/>
        <w:rPr>
          <w:rFonts w:cs="Arial"/>
          <w:sz w:val="21"/>
        </w:rPr>
      </w:pPr>
      <w:r>
        <w:rPr>
          <w:rFonts w:cs="Arial"/>
        </w:rPr>
        <w:t>7.      informacijo o zapadlih zneskih v času sporočila, ki jih mora kreditojemalec plačati, z navedbo zapadlih zneskov glavnice, obresti, provizij in drugih stroškov;</w:t>
      </w:r>
    </w:p>
    <w:p w14:paraId="149E886F" w14:textId="77777777" w:rsidR="0055434F" w:rsidRDefault="00E67214">
      <w:pPr>
        <w:spacing w:before="210" w:after="210"/>
        <w:rPr>
          <w:rFonts w:cs="Arial"/>
          <w:sz w:val="21"/>
        </w:rPr>
      </w:pPr>
      <w:r>
        <w:rPr>
          <w:rFonts w:cs="Arial"/>
        </w:rPr>
        <w:t>8.      izjavo, da se v zvezi s prenosom nedonosnega kredita še naprej uporabljajo predpisi, ki urejajo izvrševanje pogodb, varstvo potrošnikov, pravice kreditojemalcev, zaupne poslovne informacije in kazensko odgovornost;</w:t>
      </w:r>
    </w:p>
    <w:p w14:paraId="20E4C033" w14:textId="77777777" w:rsidR="0055434F" w:rsidRDefault="00E67214">
      <w:pPr>
        <w:spacing w:before="210" w:after="210"/>
        <w:rPr>
          <w:rFonts w:cs="Arial"/>
          <w:sz w:val="21"/>
        </w:rPr>
      </w:pPr>
      <w:r>
        <w:rPr>
          <w:rFonts w:cs="Arial"/>
        </w:rPr>
        <w:t>9.      kontaktne podatke pooblaščene osebe za varstvo podatkov, kadar ta obstaja;</w:t>
      </w:r>
    </w:p>
    <w:p w14:paraId="02AE2F03" w14:textId="77777777" w:rsidR="0055434F" w:rsidRDefault="00E67214">
      <w:pPr>
        <w:spacing w:before="210" w:after="210"/>
        <w:rPr>
          <w:rFonts w:cs="Arial"/>
          <w:sz w:val="21"/>
        </w:rPr>
      </w:pPr>
      <w:r>
        <w:rPr>
          <w:rFonts w:cs="Arial"/>
        </w:rPr>
        <w:t>10.   namene, za katere se osebni podatki obdelujejo, in pravno podlago za njihovo obdelavo;</w:t>
      </w:r>
    </w:p>
    <w:p w14:paraId="6F4E2854" w14:textId="77777777" w:rsidR="0055434F" w:rsidRDefault="00E67214">
      <w:pPr>
        <w:spacing w:before="210" w:after="210"/>
        <w:rPr>
          <w:rFonts w:cs="Arial"/>
          <w:sz w:val="21"/>
        </w:rPr>
      </w:pPr>
      <w:r>
        <w:rPr>
          <w:rFonts w:cs="Arial"/>
        </w:rPr>
        <w:t>11.   vrsto osebnih podatkov;</w:t>
      </w:r>
    </w:p>
    <w:p w14:paraId="246E1F19" w14:textId="77777777" w:rsidR="0055434F" w:rsidRDefault="00E67214">
      <w:pPr>
        <w:spacing w:before="210" w:after="210"/>
        <w:rPr>
          <w:rFonts w:cs="Arial"/>
          <w:sz w:val="21"/>
        </w:rPr>
      </w:pPr>
      <w:r>
        <w:rPr>
          <w:rFonts w:cs="Arial"/>
        </w:rPr>
        <w:t>12.   uporabnike ali skupine uporabnikov osebnih podatkov, kadar ti obstajajo;</w:t>
      </w:r>
    </w:p>
    <w:p w14:paraId="2FABC0F3" w14:textId="77777777" w:rsidR="0055434F" w:rsidRDefault="00E67214">
      <w:pPr>
        <w:spacing w:before="210" w:after="210"/>
        <w:rPr>
          <w:rFonts w:cs="Arial"/>
          <w:sz w:val="21"/>
        </w:rPr>
      </w:pPr>
      <w:r>
        <w:rPr>
          <w:rFonts w:cs="Arial"/>
        </w:rPr>
        <w:t>13.   obdobje hrambe osebnih podatkov ali merila, ki se uporabijo za določitev tega obdobja;</w:t>
      </w:r>
    </w:p>
    <w:p w14:paraId="6B15ECF6" w14:textId="77777777" w:rsidR="0055434F" w:rsidRDefault="00E67214">
      <w:pPr>
        <w:spacing w:before="210" w:after="210"/>
        <w:rPr>
          <w:rFonts w:cs="Arial"/>
          <w:sz w:val="21"/>
        </w:rPr>
      </w:pPr>
      <w:r>
        <w:rPr>
          <w:rFonts w:cs="Arial"/>
        </w:rPr>
        <w:t>14.   obstoj pravice do dostopa, popravka in izbrisa osebnih podatkov;</w:t>
      </w:r>
    </w:p>
    <w:p w14:paraId="43308C88" w14:textId="77777777" w:rsidR="0055434F" w:rsidRDefault="00E67214">
      <w:pPr>
        <w:spacing w:before="210" w:after="210"/>
        <w:rPr>
          <w:rFonts w:cs="Arial"/>
          <w:sz w:val="21"/>
        </w:rPr>
      </w:pPr>
      <w:r>
        <w:rPr>
          <w:rFonts w:cs="Arial"/>
        </w:rPr>
        <w:lastRenderedPageBreak/>
        <w:t>15.   obstoj pravice do omejitve obdelave, ugovora obdelavi ali pravice do prenosa osebnih podatkov;</w:t>
      </w:r>
    </w:p>
    <w:p w14:paraId="388C1E4A" w14:textId="77777777" w:rsidR="0055434F" w:rsidRDefault="00E67214">
      <w:pPr>
        <w:spacing w:before="210" w:after="210"/>
        <w:rPr>
          <w:rFonts w:cs="Arial"/>
          <w:sz w:val="21"/>
        </w:rPr>
      </w:pPr>
      <w:r>
        <w:rPr>
          <w:rFonts w:cs="Arial"/>
        </w:rPr>
        <w:t>16.   obstoj pravice, da se privolitev lahko kadar koli prekliče;</w:t>
      </w:r>
    </w:p>
    <w:p w14:paraId="7272D166" w14:textId="77777777" w:rsidR="0055434F" w:rsidRDefault="00E67214">
      <w:pPr>
        <w:spacing w:before="210" w:after="210"/>
        <w:rPr>
          <w:rFonts w:cs="Arial"/>
          <w:sz w:val="21"/>
        </w:rPr>
      </w:pPr>
      <w:r>
        <w:rPr>
          <w:rFonts w:cs="Arial"/>
        </w:rPr>
        <w:t>17.   informacijo o viru osebnih podatkov in, ali izvirajo iz javno dostopnih virov;</w:t>
      </w:r>
    </w:p>
    <w:p w14:paraId="39D83210" w14:textId="77777777" w:rsidR="0055434F" w:rsidRDefault="00E67214">
      <w:pPr>
        <w:spacing w:before="210" w:after="210"/>
        <w:rPr>
          <w:rFonts w:cs="Arial"/>
          <w:sz w:val="21"/>
        </w:rPr>
      </w:pPr>
      <w:r>
        <w:rPr>
          <w:rFonts w:cs="Arial"/>
        </w:rPr>
        <w:t>18.   informacijo, ali obstaja avtomatizirano sprejemanje odločitev, vključno z oblikovanjem profilov, utemeljene razloge zanj ter, pomen in predvidene posledice za posameznika;</w:t>
      </w:r>
    </w:p>
    <w:p w14:paraId="36055AF7" w14:textId="77777777" w:rsidR="0055434F" w:rsidRDefault="00E67214">
      <w:pPr>
        <w:spacing w:before="210" w:after="210"/>
        <w:rPr>
          <w:rFonts w:cs="Arial"/>
          <w:sz w:val="21"/>
        </w:rPr>
      </w:pPr>
      <w:r>
        <w:rPr>
          <w:rFonts w:cs="Arial"/>
        </w:rPr>
        <w:t>19.   ime, naslov in kontaktne podatke o pristojnem organu države članice, v kateri ima kreditojemalec prebivališče ali sedež, in pri katerem lahko kreditojemalec vloži pritožbo zaradi kršitev.</w:t>
      </w:r>
    </w:p>
    <w:p w14:paraId="067F96B1" w14:textId="77777777" w:rsidR="0055434F" w:rsidRDefault="0055434F"/>
    <w:p w14:paraId="67C4B96C" w14:textId="77777777" w:rsidR="0055434F" w:rsidRDefault="00E67214">
      <w:r>
        <w:br w:type="page"/>
      </w:r>
    </w:p>
    <w:p w14:paraId="010A5C20" w14:textId="77777777" w:rsidR="0055434F" w:rsidRDefault="00E67214">
      <w:pPr>
        <w:pStyle w:val="Odebeljeno"/>
        <w:spacing w:line="260" w:lineRule="auto"/>
      </w:pPr>
      <w:r>
        <w:lastRenderedPageBreak/>
        <w:t>V.</w:t>
      </w:r>
      <w:r>
        <w:tab/>
        <w:t>PREDLOG ZA OBRAVNAVO PREDLOGA ZAKONA PO NUJNEM ALI SKRAJŠANEM POSTOPKU</w:t>
      </w:r>
    </w:p>
    <w:p w14:paraId="057CDCB8" w14:textId="77777777" w:rsidR="0055434F" w:rsidRDefault="0055434F">
      <w:pPr>
        <w:spacing w:after="0" w:line="260" w:lineRule="auto"/>
        <w:rPr>
          <w:rFonts w:cs="Arial"/>
        </w:rPr>
      </w:pPr>
    </w:p>
    <w:p w14:paraId="222C2EF3" w14:textId="77777777" w:rsidR="0055434F" w:rsidRDefault="00E67214">
      <w:pPr>
        <w:spacing w:after="0" w:line="240" w:lineRule="auto"/>
      </w:pPr>
      <w:r>
        <w:t xml:space="preserve">V skladu s prvim odstavkom 142. člena Poslovnika državnega zbora (Uradni list RS, št. 92/07 – uradno prečiščeno besedilo, 105/10, 80/13, 38/17, 46/20, 105/21-odl. US, 111/21, 58/23 in 35/24) se predlaga, da se predlog zakona obravnava in sprejme po skrajšanem zakonodajnem postopku, ki je dopusten, če gre za manj zahtevne uskladitve zakona s pravom Evropske unije. S predlogom zakona se namreč odpravlja pomanjkljivost pri prenosu Direktive (EU) 2021/2167 Evropskega parlamenta in Sveta z dne 24. novembra 2021 </w:t>
      </w:r>
      <w:r>
        <w:t>o serviserjih kreditov in kupcih kreditov ter spremembi direktiv 2008/48/ES in 2014/17/EU v zvezi z uporabo jezika pri sporočanju informacij kreditojemalcu.</w:t>
      </w:r>
    </w:p>
    <w:p w14:paraId="1411F6C8" w14:textId="77777777" w:rsidR="0055434F" w:rsidRDefault="00E67214">
      <w:r>
        <w:br w:type="page"/>
      </w:r>
    </w:p>
    <w:p w14:paraId="10350A53" w14:textId="77777777" w:rsidR="0055434F" w:rsidRDefault="00E67214">
      <w:pPr>
        <w:pStyle w:val="Odebeljeno"/>
        <w:spacing w:line="260" w:lineRule="auto"/>
      </w:pPr>
      <w:r>
        <w:lastRenderedPageBreak/>
        <w:t>VI.</w:t>
      </w:r>
      <w:r>
        <w:tab/>
        <w:t>PRILOGE</w:t>
      </w:r>
    </w:p>
    <w:p w14:paraId="5DD9BBB3" w14:textId="77777777" w:rsidR="0055434F" w:rsidRDefault="0055434F">
      <w:pPr>
        <w:spacing w:after="0" w:line="260" w:lineRule="auto"/>
        <w:rPr>
          <w:rFonts w:cs="Arial"/>
        </w:rPr>
      </w:pPr>
    </w:p>
    <w:p w14:paraId="0502A44D" w14:textId="77777777" w:rsidR="0055434F" w:rsidRDefault="00E67214">
      <w:pPr>
        <w:spacing w:after="0" w:line="260" w:lineRule="auto"/>
      </w:pPr>
      <w:r>
        <w:t>Priloge niso priložene.</w:t>
      </w:r>
    </w:p>
    <w:sectPr w:rsidR="0055434F">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33930" w14:textId="77777777" w:rsidR="00E67214" w:rsidRDefault="00E67214">
      <w:pPr>
        <w:spacing w:after="0" w:line="240" w:lineRule="auto"/>
      </w:pPr>
      <w:r>
        <w:separator/>
      </w:r>
    </w:p>
  </w:endnote>
  <w:endnote w:type="continuationSeparator" w:id="0">
    <w:p w14:paraId="012191B8" w14:textId="77777777" w:rsidR="00E67214" w:rsidRDefault="00E67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A9D9" w14:textId="77777777" w:rsidR="0055434F" w:rsidRDefault="00E67214">
    <w:r>
      <w:rPr>
        <w:i/>
        <w:sz w:val="16"/>
      </w:rPr>
      <w:t>Ustvarjeno v MOPED-DOCS, 01. 10. 2026 08:15:53,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B0FA" w14:textId="77777777" w:rsidR="00E67214" w:rsidRDefault="00E67214">
      <w:pPr>
        <w:spacing w:after="0" w:line="240" w:lineRule="auto"/>
      </w:pPr>
      <w:r>
        <w:separator/>
      </w:r>
    </w:p>
  </w:footnote>
  <w:footnote w:type="continuationSeparator" w:id="0">
    <w:p w14:paraId="7F9CEDDB" w14:textId="77777777" w:rsidR="00E67214" w:rsidRDefault="00E672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34F"/>
    <w:rsid w:val="00425E95"/>
    <w:rsid w:val="0055434F"/>
    <w:rsid w:val="009D5DF7"/>
    <w:rsid w:val="00E6721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4380"/>
  <w15:docId w15:val="{16C58DE7-1C41-4BC8-9823-56F62870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2041</Words>
  <Characters>11636</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 Šmigoc</dc:creator>
  <cp:lastModifiedBy>Teja Šmigoc</cp:lastModifiedBy>
  <cp:revision>2</cp:revision>
  <dcterms:created xsi:type="dcterms:W3CDTF">2026-10-01T06:19:00Z</dcterms:created>
  <dcterms:modified xsi:type="dcterms:W3CDTF">2026-10-01T06:19:00Z</dcterms:modified>
</cp:coreProperties>
</file>