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71580" w14:textId="77777777" w:rsidR="008A790C" w:rsidRDefault="00000000">
      <w:pPr>
        <w:pStyle w:val="Odebeljeno"/>
        <w:spacing w:line="260" w:lineRule="auto"/>
      </w:pPr>
      <w:r>
        <w:t>Podatki o izvedbi notranjih postopkov pred odločitvijo na seji vlade</w:t>
      </w:r>
    </w:p>
    <w:p w14:paraId="21F0835A" w14:textId="77777777" w:rsidR="008A790C" w:rsidRDefault="008A790C">
      <w:pPr>
        <w:spacing w:after="0" w:line="260" w:lineRule="auto"/>
        <w:rPr>
          <w:rFonts w:cs="Arial"/>
        </w:rPr>
      </w:pPr>
    </w:p>
    <w:p w14:paraId="22EBE1D9" w14:textId="77777777" w:rsidR="008A790C" w:rsidRDefault="008A790C">
      <w:pPr>
        <w:spacing w:after="0" w:line="260" w:lineRule="auto"/>
        <w:rPr>
          <w:rFonts w:cs="Arial"/>
        </w:rPr>
      </w:pPr>
    </w:p>
    <w:tbl>
      <w:tblPr>
        <w:tblW w:w="8505" w:type="dxa"/>
        <w:tblLook w:val="04A0" w:firstRow="1" w:lastRow="0" w:firstColumn="1" w:lastColumn="0" w:noHBand="0" w:noVBand="1"/>
      </w:tblPr>
      <w:tblGrid>
        <w:gridCol w:w="1500"/>
        <w:gridCol w:w="7005"/>
      </w:tblGrid>
      <w:tr w:rsidR="008A790C" w14:paraId="07C607A6" w14:textId="77777777">
        <w:tc>
          <w:tcPr>
            <w:tcW w:w="1500" w:type="dxa"/>
          </w:tcPr>
          <w:p w14:paraId="4E44069E" w14:textId="77777777" w:rsidR="008A790C" w:rsidRDefault="00000000">
            <w:pPr>
              <w:pStyle w:val="Odebeljeno"/>
              <w:spacing w:line="260" w:lineRule="auto"/>
            </w:pPr>
            <w:r>
              <w:t>ZADEVA:</w:t>
            </w:r>
          </w:p>
        </w:tc>
        <w:tc>
          <w:tcPr>
            <w:tcW w:w="7005" w:type="dxa"/>
          </w:tcPr>
          <w:p w14:paraId="22BEAB80" w14:textId="77777777" w:rsidR="008A790C" w:rsidRDefault="00000000">
            <w:pPr>
              <w:pStyle w:val="Odebeljeno"/>
              <w:spacing w:line="260" w:lineRule="auto"/>
            </w:pPr>
            <w:r>
              <w:t>Zakon o prenosu in izvajanju nekaterih pravnih aktov Evropske unije s področja migracij in mednarodne zaščite</w:t>
            </w:r>
          </w:p>
        </w:tc>
      </w:tr>
      <w:tr w:rsidR="008A790C" w14:paraId="59647287" w14:textId="77777777">
        <w:tc>
          <w:tcPr>
            <w:tcW w:w="1500" w:type="dxa"/>
          </w:tcPr>
          <w:p w14:paraId="53201CFB" w14:textId="77777777" w:rsidR="008A790C" w:rsidRDefault="00000000">
            <w:pPr>
              <w:spacing w:after="0" w:line="260" w:lineRule="auto"/>
            </w:pPr>
            <w:r>
              <w:t>EVA:</w:t>
            </w:r>
          </w:p>
        </w:tc>
        <w:tc>
          <w:tcPr>
            <w:tcW w:w="7005" w:type="dxa"/>
          </w:tcPr>
          <w:p w14:paraId="1204B36F" w14:textId="77777777" w:rsidR="008A790C" w:rsidRDefault="00000000">
            <w:pPr>
              <w:spacing w:after="0" w:line="260" w:lineRule="auto"/>
            </w:pPr>
            <w:r>
              <w:t>2026-1720-0004</w:t>
            </w:r>
          </w:p>
        </w:tc>
      </w:tr>
    </w:tbl>
    <w:p w14:paraId="7D8A90A3" w14:textId="77777777" w:rsidR="008A790C" w:rsidRDefault="008A790C">
      <w:pPr>
        <w:spacing w:after="0" w:line="260" w:lineRule="auto"/>
        <w:rPr>
          <w:rFonts w:cs="Arial"/>
        </w:rPr>
      </w:pPr>
    </w:p>
    <w:p w14:paraId="47DBB71F" w14:textId="77777777" w:rsidR="008A790C" w:rsidRDefault="008A790C">
      <w:pPr>
        <w:spacing w:after="0" w:line="260" w:lineRule="auto"/>
        <w:rPr>
          <w:rFonts w:cs="Arial"/>
        </w:rPr>
      </w:pPr>
    </w:p>
    <w:p w14:paraId="530D0E7B" w14:textId="77777777" w:rsidR="008A790C" w:rsidRDefault="00000000">
      <w:pPr>
        <w:pStyle w:val="Odebeljeno"/>
        <w:spacing w:line="260" w:lineRule="auto"/>
      </w:pPr>
      <w:r>
        <w:t>1.</w:t>
      </w:r>
      <w:r>
        <w:tab/>
        <w:t>Predlagatelj zahteva:</w:t>
      </w:r>
    </w:p>
    <w:p w14:paraId="36F165F1" w14:textId="77777777" w:rsidR="008A790C" w:rsidRDefault="008A790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8A790C" w14:paraId="4C5DADB4" w14:textId="77777777">
        <w:tc>
          <w:tcPr>
            <w:tcW w:w="1276" w:type="dxa"/>
          </w:tcPr>
          <w:p w14:paraId="65E09F8C" w14:textId="77777777" w:rsidR="008A790C" w:rsidRDefault="00000000">
            <w:pPr>
              <w:spacing w:after="0" w:line="260" w:lineRule="exact"/>
              <w:ind w:left="360"/>
            </w:pPr>
            <w:r>
              <w:rPr>
                <w:iCs/>
              </w:rPr>
              <w:t>a)</w:t>
            </w:r>
          </w:p>
        </w:tc>
        <w:tc>
          <w:tcPr>
            <w:tcW w:w="4961" w:type="dxa"/>
          </w:tcPr>
          <w:p w14:paraId="7555A542" w14:textId="77777777" w:rsidR="008A790C" w:rsidRDefault="00000000">
            <w:pPr>
              <w:spacing w:after="0" w:line="260" w:lineRule="exact"/>
            </w:pPr>
            <w:r>
              <w:t>obravnavo neusklajenega gradiva,</w:t>
            </w:r>
          </w:p>
        </w:tc>
        <w:tc>
          <w:tcPr>
            <w:tcW w:w="2268" w:type="dxa"/>
            <w:vAlign w:val="center"/>
          </w:tcPr>
          <w:p w14:paraId="71B1C84A" w14:textId="77777777" w:rsidR="008A790C" w:rsidRDefault="00000000">
            <w:pPr>
              <w:spacing w:after="0" w:line="260" w:lineRule="exact"/>
              <w:jc w:val="center"/>
              <w:rPr>
                <w:iCs/>
              </w:rPr>
            </w:pPr>
            <w:r>
              <w:t>DA</w:t>
            </w:r>
          </w:p>
        </w:tc>
      </w:tr>
      <w:tr w:rsidR="008A790C" w14:paraId="30084C41" w14:textId="77777777">
        <w:tc>
          <w:tcPr>
            <w:tcW w:w="1276" w:type="dxa"/>
          </w:tcPr>
          <w:p w14:paraId="40DD9EBE" w14:textId="77777777" w:rsidR="008A790C" w:rsidRDefault="00000000">
            <w:pPr>
              <w:spacing w:after="0" w:line="260" w:lineRule="exact"/>
              <w:ind w:left="360"/>
              <w:rPr>
                <w:iCs/>
              </w:rPr>
            </w:pPr>
            <w:r>
              <w:rPr>
                <w:iCs/>
              </w:rPr>
              <w:t>b)</w:t>
            </w:r>
          </w:p>
        </w:tc>
        <w:tc>
          <w:tcPr>
            <w:tcW w:w="4961" w:type="dxa"/>
          </w:tcPr>
          <w:p w14:paraId="111FBC63" w14:textId="77777777" w:rsidR="008A790C" w:rsidRDefault="00000000">
            <w:pPr>
              <w:spacing w:after="0" w:line="260" w:lineRule="exact"/>
              <w:rPr>
                <w:iCs/>
              </w:rPr>
            </w:pPr>
            <w:r>
              <w:rPr>
                <w:bCs/>
              </w:rPr>
              <w:t>nujnost obravnave,</w:t>
            </w:r>
          </w:p>
        </w:tc>
        <w:tc>
          <w:tcPr>
            <w:tcW w:w="2268" w:type="dxa"/>
            <w:vAlign w:val="center"/>
          </w:tcPr>
          <w:p w14:paraId="098AE1E2" w14:textId="77777777" w:rsidR="008A790C" w:rsidRDefault="00000000">
            <w:pPr>
              <w:spacing w:after="0" w:line="260" w:lineRule="exact"/>
              <w:jc w:val="center"/>
              <w:rPr>
                <w:iCs/>
              </w:rPr>
            </w:pPr>
            <w:r>
              <w:t>DA</w:t>
            </w:r>
          </w:p>
        </w:tc>
      </w:tr>
      <w:tr w:rsidR="008A790C" w14:paraId="5DBFED16" w14:textId="77777777">
        <w:tc>
          <w:tcPr>
            <w:tcW w:w="1276" w:type="dxa"/>
          </w:tcPr>
          <w:p w14:paraId="49623972" w14:textId="77777777" w:rsidR="008A790C" w:rsidRDefault="00000000">
            <w:pPr>
              <w:spacing w:after="0" w:line="260" w:lineRule="exact"/>
              <w:ind w:left="360"/>
              <w:rPr>
                <w:iCs/>
              </w:rPr>
            </w:pPr>
            <w:r>
              <w:rPr>
                <w:iCs/>
              </w:rPr>
              <w:t>c)</w:t>
            </w:r>
          </w:p>
        </w:tc>
        <w:tc>
          <w:tcPr>
            <w:tcW w:w="4961" w:type="dxa"/>
          </w:tcPr>
          <w:p w14:paraId="5842B077" w14:textId="77777777" w:rsidR="008A790C" w:rsidRDefault="00000000">
            <w:pPr>
              <w:spacing w:after="0" w:line="260" w:lineRule="exact"/>
              <w:rPr>
                <w:iCs/>
              </w:rPr>
            </w:pPr>
            <w:r>
              <w:t>obravnavo gradiva brez sodelovanja javnosti,</w:t>
            </w:r>
          </w:p>
        </w:tc>
        <w:tc>
          <w:tcPr>
            <w:tcW w:w="2268" w:type="dxa"/>
            <w:vAlign w:val="center"/>
          </w:tcPr>
          <w:p w14:paraId="1178AE35" w14:textId="77777777" w:rsidR="008A790C" w:rsidRDefault="00000000">
            <w:pPr>
              <w:spacing w:after="0" w:line="260" w:lineRule="exact"/>
              <w:jc w:val="center"/>
            </w:pPr>
            <w:r>
              <w:t>NE</w:t>
            </w:r>
          </w:p>
        </w:tc>
      </w:tr>
      <w:tr w:rsidR="008A790C" w14:paraId="6FC53BD8" w14:textId="77777777">
        <w:tc>
          <w:tcPr>
            <w:tcW w:w="1276" w:type="dxa"/>
          </w:tcPr>
          <w:p w14:paraId="26F749EC" w14:textId="77777777" w:rsidR="008A790C" w:rsidRDefault="00000000">
            <w:pPr>
              <w:spacing w:after="0" w:line="260" w:lineRule="exact"/>
              <w:ind w:left="360"/>
              <w:rPr>
                <w:iCs/>
              </w:rPr>
            </w:pPr>
            <w:r>
              <w:rPr>
                <w:iCs/>
              </w:rPr>
              <w:t>č)</w:t>
            </w:r>
          </w:p>
        </w:tc>
        <w:tc>
          <w:tcPr>
            <w:tcW w:w="4961" w:type="dxa"/>
          </w:tcPr>
          <w:p w14:paraId="77DBAFE8" w14:textId="77777777" w:rsidR="008A790C" w:rsidRDefault="00000000">
            <w:pPr>
              <w:spacing w:after="0" w:line="260" w:lineRule="exact"/>
              <w:rPr>
                <w:bCs/>
              </w:rPr>
            </w:pPr>
            <w:r>
              <w:rPr>
                <w:bCs/>
              </w:rPr>
              <w:t>skrajšanje poslovniških rokov.</w:t>
            </w:r>
          </w:p>
        </w:tc>
        <w:tc>
          <w:tcPr>
            <w:tcW w:w="2268" w:type="dxa"/>
            <w:vAlign w:val="center"/>
          </w:tcPr>
          <w:p w14:paraId="41F85AEE" w14:textId="77777777" w:rsidR="008A790C" w:rsidRDefault="00000000">
            <w:pPr>
              <w:spacing w:after="0" w:line="260" w:lineRule="exact"/>
              <w:jc w:val="center"/>
              <w:rPr>
                <w:iCs/>
              </w:rPr>
            </w:pPr>
            <w:r>
              <w:t>NE</w:t>
            </w:r>
          </w:p>
        </w:tc>
      </w:tr>
    </w:tbl>
    <w:p w14:paraId="7C95B012" w14:textId="77777777" w:rsidR="008A790C" w:rsidRDefault="008A790C">
      <w:pPr>
        <w:spacing w:after="0" w:line="260" w:lineRule="auto"/>
        <w:rPr>
          <w:rFonts w:cs="Arial"/>
        </w:rPr>
      </w:pPr>
    </w:p>
    <w:p w14:paraId="1590A43E" w14:textId="77777777" w:rsidR="008A790C" w:rsidRDefault="00000000">
      <w:pPr>
        <w:pStyle w:val="Odebeljeno"/>
        <w:spacing w:line="260" w:lineRule="auto"/>
      </w:pPr>
      <w:r>
        <w:t>2.</w:t>
      </w:r>
      <w:r>
        <w:tab/>
        <w:t>Objava na svetovnem spletu</w:t>
      </w:r>
    </w:p>
    <w:p w14:paraId="68F9A22E" w14:textId="77777777" w:rsidR="008A790C" w:rsidRDefault="008A790C">
      <w:pPr>
        <w:spacing w:after="0" w:line="260" w:lineRule="auto"/>
        <w:rPr>
          <w:rFonts w:cs="Arial"/>
        </w:rPr>
      </w:pPr>
    </w:p>
    <w:p w14:paraId="4BCFBFBD" w14:textId="77777777" w:rsidR="008A790C" w:rsidRDefault="00000000">
      <w:pPr>
        <w:spacing w:after="0" w:line="260" w:lineRule="auto"/>
      </w:pPr>
      <w:r>
        <w:t>Gradivo se sme objaviti na svetovnem spletu.</w:t>
      </w:r>
    </w:p>
    <w:p w14:paraId="7BFB8741" w14:textId="77777777" w:rsidR="008A790C" w:rsidRDefault="008A790C">
      <w:pPr>
        <w:spacing w:after="0" w:line="260" w:lineRule="auto"/>
        <w:rPr>
          <w:rFonts w:cs="Arial"/>
        </w:rPr>
      </w:pPr>
    </w:p>
    <w:p w14:paraId="7B80C165" w14:textId="77777777" w:rsidR="008A790C" w:rsidRDefault="00000000">
      <w:pPr>
        <w:pStyle w:val="Odebeljeno"/>
        <w:spacing w:line="260" w:lineRule="auto"/>
      </w:pPr>
      <w:r>
        <w:t>3.</w:t>
      </w:r>
      <w:r>
        <w:tab/>
        <w:t>Lektura gradiva</w:t>
      </w:r>
    </w:p>
    <w:p w14:paraId="15883867" w14:textId="77777777" w:rsidR="008A790C" w:rsidRDefault="008A790C">
      <w:pPr>
        <w:spacing w:after="0" w:line="260" w:lineRule="auto"/>
        <w:rPr>
          <w:rFonts w:cs="Arial"/>
        </w:rPr>
      </w:pPr>
    </w:p>
    <w:p w14:paraId="25E892DF" w14:textId="77777777" w:rsidR="008A790C" w:rsidRDefault="00000000">
      <w:pPr>
        <w:spacing w:after="0" w:line="260" w:lineRule="auto"/>
      </w:pPr>
      <w:r>
        <w:t>Gradivo je lektorirano.</w:t>
      </w:r>
    </w:p>
    <w:p w14:paraId="66574B7A" w14:textId="77777777" w:rsidR="008A790C" w:rsidRDefault="008A790C">
      <w:pPr>
        <w:spacing w:after="0" w:line="260" w:lineRule="auto"/>
        <w:rPr>
          <w:rFonts w:cs="Arial"/>
        </w:rPr>
      </w:pPr>
    </w:p>
    <w:p w14:paraId="3DF778B0" w14:textId="77777777" w:rsidR="008A790C" w:rsidRDefault="00000000">
      <w:pPr>
        <w:pStyle w:val="Odebeljeno"/>
        <w:spacing w:line="260" w:lineRule="auto"/>
      </w:pPr>
      <w:r>
        <w:t>4.</w:t>
      </w:r>
      <w:r>
        <w:tab/>
        <w:t>Predstavitev medresorskega usklajevanja</w:t>
      </w:r>
    </w:p>
    <w:p w14:paraId="59DDCAF5" w14:textId="77777777" w:rsidR="008A790C" w:rsidRDefault="008A790C">
      <w:pPr>
        <w:spacing w:after="0" w:line="260" w:lineRule="auto"/>
        <w:rPr>
          <w:rFonts w:cs="Arial"/>
        </w:rPr>
      </w:pPr>
    </w:p>
    <w:p w14:paraId="2CBFFCBC" w14:textId="77777777" w:rsidR="008A790C" w:rsidRDefault="00000000">
      <w:pPr>
        <w:spacing w:after="0" w:line="260" w:lineRule="auto"/>
      </w:pPr>
      <w:r>
        <w:t>Gradivo je bilo poslano v medresorsko usklajevanje.</w:t>
      </w:r>
    </w:p>
    <w:p w14:paraId="5C4F8911" w14:textId="77777777" w:rsidR="008A790C" w:rsidRDefault="008A790C">
      <w:pPr>
        <w:spacing w:after="0" w:line="260" w:lineRule="auto"/>
        <w:rPr>
          <w:rFonts w:cs="Arial"/>
        </w:rPr>
      </w:pPr>
    </w:p>
    <w:p w14:paraId="724A4A08" w14:textId="77777777" w:rsidR="008A790C" w:rsidRDefault="00000000">
      <w:pPr>
        <w:spacing w:after="0" w:line="260" w:lineRule="auto"/>
      </w:pPr>
      <w:r>
        <w:t>Datum pošiljanja v medresorsko usklajevanje:</w:t>
      </w:r>
    </w:p>
    <w:p w14:paraId="27071496" w14:textId="77777777" w:rsidR="008A790C" w:rsidRDefault="00000000">
      <w:pPr>
        <w:spacing w:after="0" w:line="260" w:lineRule="auto"/>
      </w:pPr>
      <w:r>
        <w:t>7. 5. 2026</w:t>
      </w:r>
    </w:p>
    <w:p w14:paraId="55AD85BF" w14:textId="77777777" w:rsidR="008A790C" w:rsidRDefault="008A790C">
      <w:pPr>
        <w:spacing w:after="0" w:line="260" w:lineRule="auto"/>
        <w:rPr>
          <w:rFonts w:cs="Arial"/>
        </w:rPr>
      </w:pPr>
    </w:p>
    <w:p w14:paraId="7CF0E69F" w14:textId="77777777" w:rsidR="008A790C" w:rsidRDefault="00000000">
      <w:pPr>
        <w:spacing w:after="0" w:line="260" w:lineRule="auto"/>
      </w:pPr>
      <w:r>
        <w:t>V medresorsko usklajevanje vključeni subjekti:</w:t>
      </w:r>
    </w:p>
    <w:p w14:paraId="40CC53BA" w14:textId="77777777" w:rsidR="008A790C" w:rsidRDefault="00000000">
      <w:pPr>
        <w:spacing w:after="0" w:line="260" w:lineRule="auto"/>
      </w:pPr>
      <w:r>
        <w:t>- Ministrstvo za demografijo, družino in socialne zadeve</w:t>
      </w:r>
    </w:p>
    <w:p w14:paraId="79B4EB0C" w14:textId="77777777" w:rsidR="008A790C" w:rsidRDefault="00000000">
      <w:pPr>
        <w:spacing w:after="0" w:line="260" w:lineRule="auto"/>
      </w:pPr>
      <w:r>
        <w:t>- Ministrstvo za pravosodje</w:t>
      </w:r>
    </w:p>
    <w:p w14:paraId="2CAA1B74" w14:textId="77777777" w:rsidR="008A790C" w:rsidRDefault="00000000">
      <w:pPr>
        <w:spacing w:after="0" w:line="260" w:lineRule="auto"/>
      </w:pPr>
      <w:r>
        <w:t>- Varuh človekovih pravic Republike Slovenije</w:t>
      </w:r>
    </w:p>
    <w:p w14:paraId="14EC00CB" w14:textId="77777777" w:rsidR="008A790C" w:rsidRDefault="00000000">
      <w:pPr>
        <w:spacing w:after="0" w:line="260" w:lineRule="auto"/>
      </w:pPr>
      <w:r>
        <w:t>- Upravno sodišče Republike Slovenije</w:t>
      </w:r>
    </w:p>
    <w:p w14:paraId="3CE72272" w14:textId="77777777" w:rsidR="008A790C" w:rsidRDefault="00000000">
      <w:pPr>
        <w:spacing w:after="0" w:line="260" w:lineRule="auto"/>
      </w:pPr>
      <w:r>
        <w:t>- Vrhovno sodišče Republike Slovenije</w:t>
      </w:r>
    </w:p>
    <w:p w14:paraId="0A2139D2" w14:textId="77777777" w:rsidR="008A790C" w:rsidRDefault="00000000">
      <w:pPr>
        <w:spacing w:after="0" w:line="260" w:lineRule="auto"/>
      </w:pPr>
      <w:r>
        <w:t>- Ministrstvo za finance</w:t>
      </w:r>
    </w:p>
    <w:p w14:paraId="37B3EEED" w14:textId="77777777" w:rsidR="008A790C" w:rsidRDefault="00000000">
      <w:pPr>
        <w:spacing w:after="0" w:line="260" w:lineRule="auto"/>
      </w:pPr>
      <w:r>
        <w:t>- Ministrstvo za gospodarstvo, delo in šport</w:t>
      </w:r>
    </w:p>
    <w:p w14:paraId="0CE1D870" w14:textId="77777777" w:rsidR="008A790C" w:rsidRDefault="00000000">
      <w:pPr>
        <w:spacing w:after="0" w:line="260" w:lineRule="auto"/>
      </w:pPr>
      <w:r>
        <w:t>- Ministrstvo za obrambo</w:t>
      </w:r>
    </w:p>
    <w:p w14:paraId="4F38E819" w14:textId="77777777" w:rsidR="008A790C" w:rsidRDefault="00000000">
      <w:pPr>
        <w:spacing w:after="0" w:line="260" w:lineRule="auto"/>
      </w:pPr>
      <w:r>
        <w:t>- Ministrstvo za izobraževanje, znanost in mladino</w:t>
      </w:r>
    </w:p>
    <w:p w14:paraId="552CF5C0" w14:textId="77777777" w:rsidR="008A790C" w:rsidRDefault="00000000">
      <w:pPr>
        <w:spacing w:after="0" w:line="260" w:lineRule="auto"/>
      </w:pPr>
      <w:r>
        <w:t>- Ministrstvo za zdravje</w:t>
      </w:r>
    </w:p>
    <w:p w14:paraId="38DCAB74" w14:textId="77777777" w:rsidR="008A790C" w:rsidRDefault="00000000">
      <w:pPr>
        <w:spacing w:after="0" w:line="260" w:lineRule="auto"/>
      </w:pPr>
      <w:r>
        <w:t>- Ministrstvo za zunanje in evropske zadeve</w:t>
      </w:r>
    </w:p>
    <w:p w14:paraId="04AA5FC7" w14:textId="77777777" w:rsidR="008A790C" w:rsidRDefault="00000000">
      <w:pPr>
        <w:spacing w:after="0" w:line="260" w:lineRule="auto"/>
      </w:pPr>
      <w:r>
        <w:t>- Urad Vlade Republike Slovenije za oskrbo in integracijo migrantov</w:t>
      </w:r>
    </w:p>
    <w:p w14:paraId="17291895" w14:textId="77777777" w:rsidR="008A790C" w:rsidRDefault="00000000">
      <w:pPr>
        <w:spacing w:after="0" w:line="260" w:lineRule="auto"/>
      </w:pPr>
      <w:r>
        <w:t>- Ministrstvo za okolje in prostor</w:t>
      </w:r>
    </w:p>
    <w:p w14:paraId="1EA0C3F4" w14:textId="77777777" w:rsidR="008A790C" w:rsidRDefault="00000000">
      <w:pPr>
        <w:spacing w:after="0" w:line="260" w:lineRule="auto"/>
      </w:pPr>
      <w:r>
        <w:t>- Združenje občin Slovenije</w:t>
      </w:r>
    </w:p>
    <w:p w14:paraId="188A277B" w14:textId="77777777" w:rsidR="008A790C" w:rsidRDefault="00000000">
      <w:pPr>
        <w:spacing w:after="0" w:line="260" w:lineRule="auto"/>
      </w:pPr>
      <w:r>
        <w:t>- Združenje mestnih občin Slovenije</w:t>
      </w:r>
    </w:p>
    <w:p w14:paraId="07196A3C" w14:textId="77777777" w:rsidR="008A790C" w:rsidRDefault="00000000">
      <w:pPr>
        <w:spacing w:after="0" w:line="260" w:lineRule="auto"/>
      </w:pPr>
      <w:r>
        <w:t>- Skupnost občin Slovenije</w:t>
      </w:r>
    </w:p>
    <w:p w14:paraId="750D3D63" w14:textId="77777777" w:rsidR="008A790C" w:rsidRDefault="00000000">
      <w:pPr>
        <w:spacing w:after="0" w:line="260" w:lineRule="auto"/>
      </w:pPr>
      <w:r>
        <w:t>- Informacijski pooblaščenec</w:t>
      </w:r>
    </w:p>
    <w:p w14:paraId="17F8E4A5" w14:textId="77777777" w:rsidR="008A790C" w:rsidRDefault="00000000">
      <w:pPr>
        <w:spacing w:after="0" w:line="260" w:lineRule="auto"/>
      </w:pPr>
      <w:r>
        <w:t>- Policija</w:t>
      </w:r>
    </w:p>
    <w:p w14:paraId="42685426" w14:textId="77777777" w:rsidR="008A790C" w:rsidRDefault="008A790C">
      <w:pPr>
        <w:spacing w:after="0" w:line="260" w:lineRule="auto"/>
        <w:rPr>
          <w:rFonts w:cs="Arial"/>
        </w:rPr>
      </w:pPr>
    </w:p>
    <w:p w14:paraId="37711736" w14:textId="77777777" w:rsidR="008A790C" w:rsidRDefault="00000000">
      <w:pPr>
        <w:spacing w:after="0" w:line="260" w:lineRule="auto"/>
      </w:pPr>
      <w:r>
        <w:t>Obrazložitev upoštevanja mnenj, predlogov in pripomb:</w:t>
      </w:r>
    </w:p>
    <w:p w14:paraId="0894518E" w14:textId="77777777" w:rsidR="008A790C" w:rsidRDefault="00000000">
      <w:pPr>
        <w:spacing w:after="0" w:line="260" w:lineRule="auto"/>
      </w:pPr>
      <w:r>
        <w:lastRenderedPageBreak/>
        <w:t>- delno upoštevani</w:t>
      </w:r>
    </w:p>
    <w:p w14:paraId="3D096D62" w14:textId="77777777" w:rsidR="008A790C" w:rsidRDefault="008A790C">
      <w:pPr>
        <w:spacing w:after="0" w:line="260" w:lineRule="auto"/>
        <w:rPr>
          <w:rFonts w:cs="Arial"/>
        </w:rPr>
      </w:pPr>
    </w:p>
    <w:p w14:paraId="2DB6164E" w14:textId="77777777" w:rsidR="008A790C" w:rsidRDefault="00000000">
      <w:pPr>
        <w:spacing w:after="0" w:line="240" w:lineRule="auto"/>
      </w:pPr>
      <w:r>
        <w:t xml:space="preserve">Predlog zakona z MDDSZ ni usklajen v delu, ki se nanaša nespornosti pri ugotavljanju identitete prosilcev za dostop na trg dela. MDDSZ nasprotuje predlogu spremembe določbe 8. člena ZZSDT, saj ocenjujemo, da je v primeru nepotrjene istovetnosti tveganje v zvezi z zagotavljanjem pravic iz delovnega razmerja lahko veliko. </w:t>
      </w:r>
    </w:p>
    <w:p w14:paraId="3D826FAD" w14:textId="77777777" w:rsidR="008A790C" w:rsidRDefault="00000000">
      <w:pPr>
        <w:spacing w:after="0" w:line="240" w:lineRule="auto"/>
      </w:pPr>
      <w:r>
        <w:t>Predlagatelj pojasnjuje, da pogoj nesporno ugotovljene identitete ni skladen z Direktivo 2024/1346/EU, saj bi lahko številnim prosilcem, ki osebnih dokumentov nimajo, onemogočil dostop do trga dela. Ker identiteta ni absolutni pogoj za uveljavljanje pravic prosilcev, njena neugotovljenost ne more biti razlog za avtomatično omejitev dostopa do trga dela, saj bi to pomenilo nesorazmeren poseg v pravico in neenako obravnavo prosilcev.</w:t>
      </w:r>
    </w:p>
    <w:p w14:paraId="5003024F" w14:textId="77777777" w:rsidR="008A790C" w:rsidRDefault="00000000">
      <w:pPr>
        <w:spacing w:after="0" w:line="240" w:lineRule="auto"/>
      </w:pPr>
      <w:r>
        <w:t xml:space="preserve"> </w:t>
      </w:r>
    </w:p>
    <w:p w14:paraId="1E7C6EF6" w14:textId="77777777" w:rsidR="008A790C" w:rsidRDefault="00000000">
      <w:pPr>
        <w:spacing w:after="0" w:line="240" w:lineRule="auto"/>
      </w:pPr>
      <w:r>
        <w:t xml:space="preserve">SVZ nasprotuje možnosti, da bi pravno svetovanje zagotavljale tudi uradne osebe ministrstva, saj zaradi potencialnega konflikta interesov ni mogoče vnaprej zagotoviti njihove popolne neodvisnosti in nepristranskosti. </w:t>
      </w:r>
    </w:p>
    <w:p w14:paraId="26B99A2D" w14:textId="7437C810" w:rsidR="008A790C" w:rsidRDefault="00000000">
      <w:pPr>
        <w:spacing w:after="0" w:line="240" w:lineRule="auto"/>
      </w:pPr>
      <w:r>
        <w:t>Predlagatelj pojasn</w:t>
      </w:r>
      <w:r w:rsidR="00824B12">
        <w:t>j</w:t>
      </w:r>
      <w:r>
        <w:t>uje, da Uredba 2024/1348/EU z razlogom državam članicam prepušča ureditev načina izvajanja pravnega svetovanja in ne določa, da ga morajo zagotavljati izključno zunanji izvajalci. Možnost vključitve notranjih kadrov omogoča večjo fleksibilnost in predvsem kontinuiteto izvajanja svetovanja</w:t>
      </w:r>
      <w:r w:rsidR="002F0654">
        <w:t>.</w:t>
      </w:r>
    </w:p>
    <w:p w14:paraId="395C7CC6" w14:textId="7D4FDDBE" w:rsidR="008A790C" w:rsidRDefault="00000000">
      <w:pPr>
        <w:spacing w:after="0" w:line="240" w:lineRule="auto"/>
      </w:pPr>
      <w:r>
        <w:t>Samo dejstvo, da je svetovalec uradna oseba pristojnega organa, po mnenju</w:t>
      </w:r>
      <w:r w:rsidR="002F0654">
        <w:t xml:space="preserve"> predlagatelja</w:t>
      </w:r>
      <w:r>
        <w:t xml:space="preserve"> še ne pomeni konflikta interesov. Uradne osebe so pri svojem delu zavezane načelu nepristranskosti in varovanju pravic prosilcev, pri čemer je njihov cilj zagotoviti, da so prosilci ustrezno seznanjeni s svojimi pravicami, obveznostmi in potekom postopka. Takšno informiranje uradne osebe v praksi že izvajajo, pri čemer v preteklosti niso bile zaznane kršitve, ki bi kazale na težave z nepristranskostjo. Poleg tega so informacije, ki se zagotavljajo v okviru pravnega svetovanja, pretežno splošne narave, zato ni jasno, na kakšen način bi lahko uradne osebe s takšnim svetovanjem škodovale prosilcem. Nasprotno, zaradi njihovega neposrednega poznavanja postopkov lahko prosilcem zagotovijo bolj konkretna, strokovna in relevantna pojasnila. Tudi v drugih upravnih postopkih je običajno, da potrebne informacije in pojasnila zagotavljajo uradne osebe pristojnega organa, pri čemer samo dejstvo, da so vključene v izvajanje postopka, ne predstavlja razloga za pomisleke glede konflikta interesov.</w:t>
      </w:r>
    </w:p>
    <w:p w14:paraId="2C2B9C43" w14:textId="77777777" w:rsidR="008A790C" w:rsidRDefault="00000000">
      <w:pPr>
        <w:spacing w:after="0" w:line="240" w:lineRule="auto"/>
      </w:pPr>
      <w:r>
        <w:t>Morebitno tveganje konflikta interesov je mogoče dodatno omejiti z jasno organizacijsko ločitvijo funkcij – pravno svetovanje bodo izvajale uradne osebe, ki ne sodelujejo pri vsebinskem odločanju o prošnjah, zlasti ne v postopkih v skladu z Uredbo 2024/1351/EU. Poleg tega bi se pravno svetovanje izvajalo na drugi lokaciji, ločeno od kraja izvajanja vsebinskega odločanja. Takšen model bi po našem mnenju zagotavljal tako nepristranskost kot tudi nemoteno in učinkovito izvajanje pravnega svetovanja.</w:t>
      </w:r>
    </w:p>
    <w:p w14:paraId="20167223" w14:textId="77777777" w:rsidR="008A790C" w:rsidRDefault="00000000">
      <w:pPr>
        <w:spacing w:after="0" w:line="240" w:lineRule="auto"/>
      </w:pPr>
      <w:r>
        <w:t xml:space="preserve">Glede pripombe SVZ, da je ureditev pravnega svetovanja v 18. členu manj normirana kot ureditev pravnega zastopanja v 19. členu, pojasnjujemo, da je različna stopnja </w:t>
      </w:r>
      <w:proofErr w:type="spellStart"/>
      <w:r>
        <w:t>normiranosti</w:t>
      </w:r>
      <w:proofErr w:type="spellEnd"/>
      <w:r>
        <w:t xml:space="preserve"> utemeljena z različno naravo obeh institutov. Pravno svetovanje predstavlja strokovno pomoč prosilcu v upravnem delu postopka, medtem ko pravno zastopanje pomeni formalno zastopanje prosilca v sodnih postopkih. Zato je glede na različni vsebini in vlogi obeh institutov ustrezna tudi različna stopnja njune normativne ureditve.</w:t>
      </w:r>
    </w:p>
    <w:p w14:paraId="18255A3F" w14:textId="77777777" w:rsidR="008A790C" w:rsidRDefault="00000000">
      <w:pPr>
        <w:spacing w:after="0" w:line="240" w:lineRule="auto"/>
      </w:pPr>
      <w:r>
        <w:t xml:space="preserve"> </w:t>
      </w:r>
    </w:p>
    <w:p w14:paraId="6C03D8D5" w14:textId="77777777" w:rsidR="008A790C" w:rsidRDefault="00000000">
      <w:pPr>
        <w:spacing w:after="0" w:line="240" w:lineRule="auto"/>
      </w:pPr>
      <w:r>
        <w:t xml:space="preserve">SVZ opozarja, da ureditev, po kateri višino mesečne žepnine in način njenega izplačevanja določi vlada, ne določa pa nobenih zakonskih meril za določitev njene višine, lahko pomeni neskladje z načelom zakonitosti. Opozarja tudi na dejstvo, da se merila za določitev žepnine za osebe z začasno zaščito določa že v zakonu (v ZZZRO-1). </w:t>
      </w:r>
    </w:p>
    <w:p w14:paraId="6AA25B30" w14:textId="77777777" w:rsidR="008A790C" w:rsidRDefault="00000000">
      <w:pPr>
        <w:spacing w:after="0" w:line="240" w:lineRule="auto"/>
      </w:pPr>
      <w:r>
        <w:t>Predlagatelj poudarja, da je višina žepnine za prosilce za mednarodno zaščito že vrsto let urejena s podzakonskim aktom, zato predlaga ohranitev obstoječe ureditve. Ob tem pojasnjuje, da žepnina prosilcev za mednarodno zaščito ni primerljiva z žepnino po ZZZRO-1, saj slednja predstavlja dodatna sredstva za preživljanje upravičenca, medtem ko je žepnina prosilcev namenjena predvsem kritju manjših osebnih izdatkov. Zato je njeno višino težje vezati na vnaprej določen socialni kriterij.</w:t>
      </w:r>
    </w:p>
    <w:p w14:paraId="71912B5C" w14:textId="77777777" w:rsidR="008A790C" w:rsidRDefault="00000000">
      <w:pPr>
        <w:spacing w:after="0" w:line="240" w:lineRule="auto"/>
      </w:pPr>
      <w:r>
        <w:t xml:space="preserve"> </w:t>
      </w:r>
    </w:p>
    <w:p w14:paraId="693949FA" w14:textId="77777777" w:rsidR="008A790C" w:rsidRDefault="00000000">
      <w:pPr>
        <w:spacing w:after="0" w:line="240" w:lineRule="auto"/>
      </w:pPr>
      <w:r>
        <w:t>SVZ opozarja, da ni jasno, zakaj se višina nadomestila za nastanitev na zasebnem naslovu veže na odstotek najnižje pokojnine. Izpostavlja, da je pri primerljivih položajih po ZZZRO-1 nadomestilo vezano na odstotek osnovnega zneska minimalnega dohodka, zato ni jasno utemeljeno razlikovanje med primerljivimi položaji, ki bi lahko pomenilo tudi neenako obravnavo.</w:t>
      </w:r>
    </w:p>
    <w:p w14:paraId="55D7E8D7" w14:textId="77777777" w:rsidR="008A790C" w:rsidRDefault="00000000">
      <w:pPr>
        <w:spacing w:after="0" w:line="240" w:lineRule="auto"/>
      </w:pPr>
      <w:r>
        <w:t xml:space="preserve">Predlagatelj pojasnjuje, da se bo z novelo ZZZRO-1 višina denarnega nadomestila za nastanitev na zasebnem naslovu v ZZZRO-1 uredila na enak način, in sicer z vezavo na najnižjo pokojnino. Takšna </w:t>
      </w:r>
      <w:r>
        <w:lastRenderedPageBreak/>
        <w:t>ureditev bo zagotavljala enoten in jasno določen način določanja višine denarnega nadomestila pri primerljivih statusih.</w:t>
      </w:r>
    </w:p>
    <w:p w14:paraId="570C64F5" w14:textId="77777777" w:rsidR="008A790C" w:rsidRDefault="00000000">
      <w:pPr>
        <w:spacing w:after="0" w:line="240" w:lineRule="auto"/>
      </w:pPr>
      <w:r>
        <w:t xml:space="preserve"> </w:t>
      </w:r>
    </w:p>
    <w:p w14:paraId="1189F794" w14:textId="77777777" w:rsidR="008A790C" w:rsidRDefault="00000000">
      <w:pPr>
        <w:spacing w:after="0" w:line="240" w:lineRule="auto"/>
      </w:pPr>
      <w:r>
        <w:t>SVZ opozarja, da 128. člen predloga zakona ureja vprašanje zgolj »do ureditve v ZTuj-2«. Ker je novela ZTuj-2 trenutno v medresorskem usklajevanju, predlaga, da se predmetna vsebina uredi že v okviru navedene novele.</w:t>
      </w:r>
    </w:p>
    <w:p w14:paraId="74EBA3CE" w14:textId="77777777" w:rsidR="008A790C" w:rsidRDefault="00000000">
      <w:pPr>
        <w:spacing w:after="0" w:line="240" w:lineRule="auto"/>
      </w:pPr>
      <w:r>
        <w:t>Predlagatelj pojasnjuje, da je odločitev, da se bo navedena vsebina uredila z naslednjo novelo ZTuj-2. Vsebina trenutno pripravljene novele ZTuj-2 je namreč že določena in se v tej fazi ne bo več širila z dodatnimi vsebinami. Zato se predlagana ureditev ohranja v predlogu tega zakonu kot začasna ureditev do sistemske ureditve v ZTuj-2.</w:t>
      </w:r>
    </w:p>
    <w:p w14:paraId="0EF81B23" w14:textId="77777777" w:rsidR="008A790C" w:rsidRDefault="00000000">
      <w:pPr>
        <w:spacing w:after="0" w:line="240" w:lineRule="auto"/>
      </w:pPr>
      <w:r>
        <w:t xml:space="preserve"> </w:t>
      </w:r>
    </w:p>
    <w:p w14:paraId="5F35C695" w14:textId="77777777" w:rsidR="008A790C" w:rsidRDefault="00000000">
      <w:pPr>
        <w:spacing w:after="0" w:line="240" w:lineRule="auto"/>
      </w:pPr>
      <w:r>
        <w:t>Predlog zakona ne upošteva predloga MIZM, da se med pravice prosilcev za mednarodno zaščito doda možnost vključitve otrok v predšolsko vzgojo.</w:t>
      </w:r>
    </w:p>
    <w:p w14:paraId="2D103D2A" w14:textId="77777777" w:rsidR="008A790C" w:rsidRDefault="00000000">
      <w:pPr>
        <w:spacing w:after="0" w:line="240" w:lineRule="auto"/>
      </w:pPr>
      <w:r>
        <w:t>Predlagatelj pojasnjuje, da je predlagana ureditev skladna z zakonodajo Evropske unije ter se v praksi že izvaja.</w:t>
      </w:r>
    </w:p>
    <w:p w14:paraId="63073179" w14:textId="77777777" w:rsidR="008A790C" w:rsidRDefault="00000000">
      <w:pPr>
        <w:spacing w:after="0" w:line="240" w:lineRule="auto"/>
      </w:pPr>
      <w:r>
        <w:t xml:space="preserve"> </w:t>
      </w:r>
    </w:p>
    <w:p w14:paraId="2601D829" w14:textId="77777777" w:rsidR="008A790C" w:rsidRDefault="00000000">
      <w:pPr>
        <w:spacing w:after="0" w:line="240" w:lineRule="auto"/>
      </w:pPr>
      <w:r>
        <w:t>MP nasprotuje prenosu pristojnosti za odločanje o stroških pravnih zastopnikov (bivših svetovalcev za begunce) z MNZJU na Upravno sodišče. Pri tem se sklicuje predvsem na koalicijsko pogodbo in priporočilo Varuha človekovih pravic glede omejevanja širjenja pristojnosti sodišč, na posebnosti ureditve stroškov pravnih zastopnikov ter na dejstvo, da MNZJU razpolaga s podatki in strokovnim poznavanjem konkretnih postopkov. MP opozarja tudi na dodatno obremenitev sodstva ter pomanjkanje zagotovljenih kadrovskih in finančnih virov za prevzem naloge.</w:t>
      </w:r>
      <w:r>
        <w:br/>
        <w:t>Predlagatelj pojasnjuje, da predlagana ureditev sledi sistemski ureditvi, uveljavljeni na področju brezplačne pravne pomoči, po kateri o odmeri nagrade in stroškov odloča sodišče, pred katerim je postopek tekel. Takšna rešitev je primernejša tudi za področje mednarodne zaščite, saj upravno sodišče razpolaga z vso dokumentacijo, potrebno za odločitev o stroškovniku (upravni in sodni spis, vložene vloge ter podatki o procesnih dejanjih in pravnomočnosti). S tem se odpravi potreba po dodatni izmenjavi podatkov med organoma, poenostavi postopek ter omogoči hitrejše in učinkovitejše odločanje.</w:t>
      </w:r>
    </w:p>
    <w:p w14:paraId="2FCE5145" w14:textId="75991D2F" w:rsidR="008A790C" w:rsidRDefault="00000000">
      <w:pPr>
        <w:spacing w:after="0" w:line="240" w:lineRule="auto"/>
      </w:pPr>
      <w:r>
        <w:t xml:space="preserve">Predlagana ureditev je primernejša tudi z vidika videza nepristranskosti. Ni namreč </w:t>
      </w:r>
      <w:r w:rsidR="002F0654">
        <w:t>primerno</w:t>
      </w:r>
      <w:r>
        <w:t>, da o plačilu za delo svetovalcev za begunce odloča organ, ki je v upravnem sporu hkrati nasprotna stranka. Čeprav odločanje o stroških ne posega v vsebinsko odločitev v upravnem sporu, je zaradi zagotavljanja zaupanja v neodvisnost in objektivnost postopka ustrezneje, da o stroškovniku odloča sodišče, ki je postopek vodilo. Sredstva za plačilo se bodo tudi po predlagani ureditvi zagotavljala iz namenskih sredstev, zato prenos pristojnosti odločanja ne vpliva na način financiranja, temveč zgolj na organ, ki odloča o upravičenosti in višini plačila.</w:t>
      </w:r>
    </w:p>
    <w:p w14:paraId="19109CA2" w14:textId="77777777" w:rsidR="008A790C" w:rsidRDefault="00000000">
      <w:pPr>
        <w:spacing w:after="0" w:line="240" w:lineRule="auto"/>
      </w:pPr>
      <w:r>
        <w:t>Navedbam, da bi predlagana ureditev pomenila nesorazmerno breme in povzročila povečanje sodnih zaostankov, ministrstvo ne more pritrditi. Iz statističnih podatkov izhaja, da je bilo v letu 2025 obravnavanih 310 stroškovnikov, v obdobju od 1. januarja do 30. junija 2026 pa 144. Na ministrstvu navedene naloge trenutno opravlja ena javna uslužbenka v obsegu približno polovice delovnega časa, saj poleg tega vodi tudi mesečne statistike s področja mednarodne zaščite ter obračunava stroškovnike zakonitih zastopnikov mladoletnikov brez spremstva. Na podlagi dosedanjih izkušenj in dejanskega obsega dela ministrstvo ocenjuje, da odločanje o stroškovnikih ne predstavlja takšnega obsega dela, da bi za upravno sodišče pomenilo nesorazmerno breme ali povzročilo povečanje sodnih zaostankov.</w:t>
      </w:r>
    </w:p>
    <w:p w14:paraId="2D55C127" w14:textId="77777777" w:rsidR="008A790C" w:rsidRDefault="008A790C">
      <w:pPr>
        <w:spacing w:after="0" w:line="260" w:lineRule="auto"/>
        <w:rPr>
          <w:rFonts w:cs="Arial"/>
        </w:rPr>
      </w:pPr>
    </w:p>
    <w:sectPr w:rsidR="008A790C">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7646C" w14:textId="77777777" w:rsidR="001A0020" w:rsidRDefault="001A0020">
      <w:pPr>
        <w:spacing w:after="0" w:line="240" w:lineRule="auto"/>
      </w:pPr>
      <w:r>
        <w:separator/>
      </w:r>
    </w:p>
  </w:endnote>
  <w:endnote w:type="continuationSeparator" w:id="0">
    <w:p w14:paraId="0951D961" w14:textId="77777777" w:rsidR="001A0020" w:rsidRDefault="001A0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B77D" w14:textId="77777777" w:rsidR="008A790C" w:rsidRDefault="00000000">
    <w:r>
      <w:rPr>
        <w:i/>
        <w:sz w:val="16"/>
      </w:rPr>
      <w:t>Ustvarjeno v MOPED-DOCS, 02. 10. 2026 08:19:37, verzija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41CAB" w14:textId="77777777" w:rsidR="001A0020" w:rsidRDefault="001A0020">
      <w:pPr>
        <w:spacing w:after="0" w:line="240" w:lineRule="auto"/>
      </w:pPr>
      <w:r>
        <w:separator/>
      </w:r>
    </w:p>
  </w:footnote>
  <w:footnote w:type="continuationSeparator" w:id="0">
    <w:p w14:paraId="6234162F" w14:textId="77777777" w:rsidR="001A0020" w:rsidRDefault="001A00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90C"/>
    <w:rsid w:val="001A0020"/>
    <w:rsid w:val="001E63A8"/>
    <w:rsid w:val="00295432"/>
    <w:rsid w:val="002F0654"/>
    <w:rsid w:val="00397111"/>
    <w:rsid w:val="00824B12"/>
    <w:rsid w:val="008A790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FF15"/>
  <w15:docId w15:val="{643F9604-2892-456D-B22C-FDDA36ACF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1453</Words>
  <Characters>8287</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Maja Lenard (EXT)</cp:lastModifiedBy>
  <cp:revision>5</cp:revision>
  <dcterms:created xsi:type="dcterms:W3CDTF">2019-02-01T07:54:00Z</dcterms:created>
  <dcterms:modified xsi:type="dcterms:W3CDTF">2026-10-08T07:55:00Z</dcterms:modified>
</cp:coreProperties>
</file>