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C867" w14:textId="77777777" w:rsidR="00BC6257" w:rsidRDefault="00BC6257">
      <w:pPr>
        <w:spacing w:after="0" w:line="260" w:lineRule="auto"/>
        <w:rPr>
          <w:rFonts w:cs="Arial"/>
        </w:rPr>
      </w:pPr>
    </w:p>
    <w:p w14:paraId="61C8C868" w14:textId="77777777" w:rsidR="00BC6257" w:rsidRDefault="00BC6257">
      <w:pPr>
        <w:spacing w:after="0" w:line="260" w:lineRule="auto"/>
        <w:rPr>
          <w:rFonts w:cs="Arial"/>
        </w:rPr>
      </w:pPr>
    </w:p>
    <w:p w14:paraId="61C8C869" w14:textId="77777777" w:rsidR="00BC6257" w:rsidRDefault="00BC6257">
      <w:pPr>
        <w:spacing w:after="0" w:line="260" w:lineRule="auto"/>
        <w:rPr>
          <w:rFonts w:cs="Arial"/>
        </w:rPr>
      </w:pPr>
    </w:p>
    <w:p w14:paraId="61C8C86A" w14:textId="77777777" w:rsidR="00BC6257" w:rsidRDefault="00BC6257">
      <w:pPr>
        <w:spacing w:after="0" w:line="260" w:lineRule="auto"/>
        <w:rPr>
          <w:rFonts w:cs="Arial"/>
        </w:rPr>
      </w:pPr>
    </w:p>
    <w:p w14:paraId="61C8C86B" w14:textId="77777777" w:rsidR="00BC6257" w:rsidRDefault="00BC6257">
      <w:pPr>
        <w:spacing w:after="0" w:line="260" w:lineRule="auto"/>
        <w:rPr>
          <w:rFonts w:cs="Arial"/>
        </w:rPr>
      </w:pPr>
    </w:p>
    <w:p w14:paraId="61C8C86C" w14:textId="77777777" w:rsidR="00BC6257" w:rsidRDefault="00BC6257">
      <w:pPr>
        <w:spacing w:after="0" w:line="260" w:lineRule="auto"/>
        <w:rPr>
          <w:rFonts w:cs="Arial"/>
        </w:rPr>
      </w:pPr>
    </w:p>
    <w:p w14:paraId="61C8C86D" w14:textId="77777777" w:rsidR="00BC6257" w:rsidRDefault="00BC6257">
      <w:pPr>
        <w:spacing w:after="0" w:line="260" w:lineRule="auto"/>
        <w:rPr>
          <w:rFonts w:cs="Arial"/>
        </w:rPr>
      </w:pPr>
    </w:p>
    <w:p w14:paraId="61C8C86E" w14:textId="77777777" w:rsidR="00BC6257" w:rsidRDefault="00BC6257">
      <w:pPr>
        <w:spacing w:after="0" w:line="260" w:lineRule="auto"/>
        <w:rPr>
          <w:rFonts w:cs="Arial"/>
        </w:rPr>
      </w:pPr>
    </w:p>
    <w:p w14:paraId="61C8C86F" w14:textId="77777777" w:rsidR="00BC6257" w:rsidRDefault="00BC6257">
      <w:pPr>
        <w:spacing w:after="0" w:line="260" w:lineRule="auto"/>
        <w:rPr>
          <w:rFonts w:cs="Arial"/>
        </w:rPr>
      </w:pPr>
    </w:p>
    <w:p w14:paraId="61C8C870" w14:textId="77777777" w:rsidR="00BC6257" w:rsidRDefault="00BC6257">
      <w:pPr>
        <w:spacing w:after="0" w:line="260" w:lineRule="auto"/>
        <w:rPr>
          <w:rFonts w:cs="Arial"/>
        </w:rPr>
      </w:pPr>
    </w:p>
    <w:p w14:paraId="61C8C871" w14:textId="77777777" w:rsidR="00BC6257" w:rsidRDefault="00BC6257">
      <w:pPr>
        <w:spacing w:after="0" w:line="260" w:lineRule="auto"/>
        <w:rPr>
          <w:rFonts w:cs="Arial"/>
        </w:rPr>
      </w:pPr>
    </w:p>
    <w:p w14:paraId="61C8C872" w14:textId="77777777" w:rsidR="00BC6257" w:rsidRDefault="00BC6257">
      <w:pPr>
        <w:spacing w:after="0" w:line="260" w:lineRule="auto"/>
        <w:rPr>
          <w:rFonts w:cs="Arial"/>
        </w:rPr>
      </w:pPr>
    </w:p>
    <w:p w14:paraId="61C8C873" w14:textId="77777777" w:rsidR="00BC6257" w:rsidRDefault="00BC6257">
      <w:pPr>
        <w:spacing w:after="0" w:line="260" w:lineRule="auto"/>
        <w:rPr>
          <w:rFonts w:cs="Arial"/>
        </w:rPr>
      </w:pPr>
    </w:p>
    <w:p w14:paraId="61C8C874" w14:textId="77777777" w:rsidR="00BC6257" w:rsidRDefault="00BC6257">
      <w:pPr>
        <w:spacing w:after="0" w:line="260" w:lineRule="auto"/>
        <w:rPr>
          <w:rFonts w:cs="Arial"/>
        </w:rPr>
      </w:pPr>
    </w:p>
    <w:p w14:paraId="61C8C875" w14:textId="77777777" w:rsidR="00BC6257" w:rsidRDefault="006567CF">
      <w:pPr>
        <w:pStyle w:val="SredinskoOdebeljeno"/>
        <w:spacing w:line="260" w:lineRule="auto"/>
      </w:pPr>
      <w:r>
        <w:t>ZAKON O SPREMEMBAH IN DOPOLNITVAH ZAKONA O BONITETNEM NADZORU INVESTICIJSKIH PODJETIJ</w:t>
      </w:r>
    </w:p>
    <w:p w14:paraId="61C8C876" w14:textId="77777777" w:rsidR="00BC6257" w:rsidRDefault="00BC6257">
      <w:pPr>
        <w:spacing w:after="0" w:line="260" w:lineRule="auto"/>
        <w:rPr>
          <w:rFonts w:cs="Arial"/>
        </w:rPr>
      </w:pPr>
    </w:p>
    <w:p w14:paraId="61C8C877" w14:textId="77777777" w:rsidR="00BC6257" w:rsidRDefault="006567CF">
      <w:pPr>
        <w:pStyle w:val="Sredinsko"/>
        <w:spacing w:line="260" w:lineRule="auto"/>
      </w:pPr>
      <w:r>
        <w:t>PREDLOG</w:t>
      </w:r>
    </w:p>
    <w:p w14:paraId="61C8C878" w14:textId="77777777" w:rsidR="00BC6257" w:rsidRDefault="00BC6257">
      <w:pPr>
        <w:spacing w:after="0" w:line="260" w:lineRule="auto"/>
        <w:rPr>
          <w:rFonts w:cs="Arial"/>
        </w:rPr>
      </w:pPr>
    </w:p>
    <w:p w14:paraId="61C8C879" w14:textId="77777777" w:rsidR="00BC6257" w:rsidRDefault="00BC6257">
      <w:pPr>
        <w:spacing w:after="0" w:line="260" w:lineRule="auto"/>
        <w:rPr>
          <w:rFonts w:cs="Arial"/>
        </w:rPr>
      </w:pPr>
    </w:p>
    <w:p w14:paraId="61C8C87A" w14:textId="77777777" w:rsidR="00BC6257" w:rsidRDefault="006567CF">
      <w:pPr>
        <w:pStyle w:val="Sredinsko"/>
        <w:spacing w:line="260" w:lineRule="auto"/>
      </w:pPr>
      <w:r>
        <w:t>EVA: 2026-1611-0027</w:t>
      </w:r>
    </w:p>
    <w:p w14:paraId="61C8C87B" w14:textId="77777777" w:rsidR="00BC6257" w:rsidRDefault="00BC6257">
      <w:pPr>
        <w:spacing w:after="0" w:line="260" w:lineRule="auto"/>
        <w:rPr>
          <w:rFonts w:cs="Arial"/>
        </w:rPr>
      </w:pPr>
    </w:p>
    <w:p w14:paraId="61C8C87C" w14:textId="77777777" w:rsidR="00BC6257" w:rsidRDefault="006567CF">
      <w:r>
        <w:br w:type="page"/>
      </w:r>
    </w:p>
    <w:p w14:paraId="61C8C87D" w14:textId="77777777" w:rsidR="00BC6257" w:rsidRDefault="006567CF">
      <w:pPr>
        <w:pStyle w:val="Odebeljeno"/>
        <w:spacing w:line="260" w:lineRule="auto"/>
      </w:pPr>
      <w:r>
        <w:lastRenderedPageBreak/>
        <w:t>I.</w:t>
      </w:r>
      <w:r>
        <w:tab/>
        <w:t>UVOD</w:t>
      </w:r>
    </w:p>
    <w:p w14:paraId="61C8C87E" w14:textId="77777777" w:rsidR="00BC6257" w:rsidRDefault="006567CF">
      <w:pPr>
        <w:pStyle w:val="Odebeljeno"/>
        <w:spacing w:line="260" w:lineRule="auto"/>
      </w:pPr>
      <w:r>
        <w:t>1.</w:t>
      </w:r>
      <w:r>
        <w:tab/>
        <w:t>Ocena stanja in razlogi za sprejetje predloga zakona</w:t>
      </w:r>
    </w:p>
    <w:p w14:paraId="61C8C87F" w14:textId="77777777" w:rsidR="00BC6257" w:rsidRDefault="00BC6257">
      <w:pPr>
        <w:spacing w:after="0" w:line="260" w:lineRule="auto"/>
        <w:rPr>
          <w:rFonts w:cs="Arial"/>
        </w:rPr>
      </w:pPr>
    </w:p>
    <w:p w14:paraId="61C8C880" w14:textId="77777777" w:rsidR="00BC6257" w:rsidRDefault="006567CF">
      <w:pPr>
        <w:spacing w:after="0" w:line="240" w:lineRule="auto"/>
        <w:jc w:val="left"/>
      </w:pPr>
      <w:r>
        <w:rPr>
          <w:b/>
        </w:rPr>
        <w:t>Ocena stanja na področju urejanja</w:t>
      </w:r>
    </w:p>
    <w:p w14:paraId="61C8C881" w14:textId="77777777" w:rsidR="00BC6257" w:rsidRDefault="006567CF">
      <w:pPr>
        <w:spacing w:after="0" w:line="240" w:lineRule="auto"/>
      </w:pPr>
      <w:r>
        <w:t xml:space="preserve"> </w:t>
      </w:r>
    </w:p>
    <w:p w14:paraId="61C8C882" w14:textId="77777777" w:rsidR="00BC6257" w:rsidRDefault="006567CF">
      <w:pPr>
        <w:spacing w:after="0" w:line="240" w:lineRule="auto"/>
      </w:pPr>
      <w:r>
        <w:t>Bonitetni nadzor investicijskih podjetij v Republiki Sloveniji ureja Zakon o bonitetnem nadzoru investicijskih podjetij (Uradni list RS, št. 123/21 in 10/26 – ZdZEETD; v nadaljnjem besedilu: ZBNIP), ki je bil sprejet leta 2021 in zagotavlja prenos Direktive (EU) 2019/2034 Evropskega parlamenta in Sveta z dne 27. novembra 2019 o bonitetnem nadzoru investicijskih podjetij ter o spremembi direktiv 2002/87/ES, 2009/65/ES, 2011/61/EU, 2013/36/EU, 2014/59/EU in 2014/65/EU (UL L št. 314 z dne 5. 12. 2019, str. 64), zadnjič spremenjene z Direktivo (EU) 2024/2994 Evropskega parlamenta in Sveta z dne 27. novembra 2024 o spremembi direktiv 2009/65/ES, 2013/36/EU in (EU) 2019/2034 glede obravnave tveganja koncentracije, ki izhaja iz izpostavljenosti do centralnih nasprotnih strank, in tveganja nasprotne stranke pri poslih z izvedenimi finančnimi instrumenti s centralnim kliringom (UL L št. 2024/2994 z dne 4. 12. 2024) (v nadaljnjem besedilu: IFD) ter izvajanje Uredbe (EU) 2019/2033 Evropskega parlamenta in Sveta z dne 27. novembra 2019 o bonitetnih zahtevah za investicijska podjetja ter o spremembi uredb (EU) št. 1093/2010, (EU) št. 575/2013, (EU) št. 600/2014 in (EU) št. 806/2014 (UL L št. 314 z dne 5. 12. 2019, str. 1), zadnjič spremenjene z Delegirano uredbo Komisije (EU) 2024/1771 z dne 13. marca 2024 o dopolnitvi Uredbe (EU) 2019/2033 Evropskega parlamenta in Sveta v zvezi z regulativnimi tehničnimi standardi, ki določajo podrobnosti obsega bonitetne konsolidacije skupine investicijskih podjetij in metode za to konsolidacijo (UL L št. 2024/1771 z dne 25. 6. 2024) (v nadaljnjem besedilu: IFR). ZBNIP določa bonitetne zahteve, ureditev notranjega upravljanja in obvladovanja tveganj, nadzor agencije nad borznoposredniškimi družbami ter njihovo sodelovanje v okviru Evropskega sistema finančnega nadzora. Področje je z vidika nadzora urejeno celovito in stabilno; veljavna ureditev se v praksi izvaja brez večjih težav.</w:t>
      </w:r>
    </w:p>
    <w:p w14:paraId="61C8C883" w14:textId="77777777" w:rsidR="00BC6257" w:rsidRDefault="006567CF">
      <w:pPr>
        <w:spacing w:after="0" w:line="240" w:lineRule="auto"/>
      </w:pPr>
      <w:r>
        <w:t xml:space="preserve"> </w:t>
      </w:r>
    </w:p>
    <w:p w14:paraId="61C8C884" w14:textId="77777777" w:rsidR="00BC6257" w:rsidRDefault="006567CF">
      <w:pPr>
        <w:spacing w:after="0" w:line="240" w:lineRule="auto"/>
        <w:jc w:val="left"/>
      </w:pPr>
      <w:r>
        <w:rPr>
          <w:b/>
        </w:rPr>
        <w:t>Predpisi, ki urejajo to področje</w:t>
      </w:r>
    </w:p>
    <w:p w14:paraId="61C8C885" w14:textId="77777777" w:rsidR="00BC6257" w:rsidRDefault="006567CF">
      <w:pPr>
        <w:spacing w:after="0" w:line="240" w:lineRule="auto"/>
      </w:pPr>
      <w:r>
        <w:t xml:space="preserve"> </w:t>
      </w:r>
    </w:p>
    <w:p w14:paraId="61C8C886" w14:textId="77777777" w:rsidR="00BC6257" w:rsidRDefault="006567CF">
      <w:pPr>
        <w:spacing w:after="0" w:line="240" w:lineRule="auto"/>
      </w:pPr>
      <w:r>
        <w:t>Področje urejajo zlasti ZBNIP, Zakon o trgu finančnih instrumentov (Uradni list RS, št. 77/18, 17/19 – popr., 66/19, 123/21, 45/24 in 77/25; v nadaljnjem besedilu: ZTFI-1) in zakon, ki ureja bančništvo, na katerega ZBNIP napotuje pri posameznih institutih bonitetnega nadzora. Z vidika neposredno uporabljivih predpisov Evropske unije je temeljna IFR, ki se uporablja skupaj z IFD.</w:t>
      </w:r>
    </w:p>
    <w:p w14:paraId="61C8C887" w14:textId="77777777" w:rsidR="00BC6257" w:rsidRDefault="006567CF">
      <w:pPr>
        <w:spacing w:after="0" w:line="240" w:lineRule="auto"/>
      </w:pPr>
      <w:r>
        <w:t xml:space="preserve"> </w:t>
      </w:r>
    </w:p>
    <w:p w14:paraId="61C8C888" w14:textId="77777777" w:rsidR="00BC6257" w:rsidRDefault="006567CF">
      <w:pPr>
        <w:spacing w:after="0" w:line="240" w:lineRule="auto"/>
        <w:jc w:val="left"/>
      </w:pPr>
      <w:r>
        <w:rPr>
          <w:b/>
        </w:rPr>
        <w:t>Ugotovitve pri spremljanju izvajanja veljavnega predpisa</w:t>
      </w:r>
    </w:p>
    <w:p w14:paraId="61C8C889" w14:textId="77777777" w:rsidR="00BC6257" w:rsidRDefault="006567CF">
      <w:pPr>
        <w:spacing w:after="0" w:line="240" w:lineRule="auto"/>
      </w:pPr>
      <w:r>
        <w:t xml:space="preserve"> </w:t>
      </w:r>
    </w:p>
    <w:p w14:paraId="61C8C88A" w14:textId="77777777" w:rsidR="00BC6257" w:rsidRDefault="006567CF">
      <w:pPr>
        <w:spacing w:after="0" w:line="240" w:lineRule="auto"/>
      </w:pPr>
      <w:r>
        <w:t>Cilj ZBNIP je vzpostaviti sorazmeren bonitetni okvir za investicijska podjetja, prilagojen njihovi velikosti, naravi in zapletenosti poslovanja. Spremljanje izvajanja zakona je pokazalo, da so ti cilji doseženi in da veljavna ureditev ustrezno deluje. Ocena temelji na nadzorni praksi Agencije za trg vrednostnih papirjev in na spremljanju razvoja prava Evropske unije na tem področju. Pri izvajanju zakona niso bili ugotovljeni vzroki, ki bi narekovali vsebinski poseg v nacionalno ureditev neodvisno od obveznosti prenosa prava Evropske unije.</w:t>
      </w:r>
    </w:p>
    <w:p w14:paraId="61C8C88B" w14:textId="77777777" w:rsidR="00BC6257" w:rsidRDefault="006567CF">
      <w:pPr>
        <w:spacing w:after="0" w:line="240" w:lineRule="auto"/>
      </w:pPr>
      <w:r>
        <w:t xml:space="preserve"> </w:t>
      </w:r>
    </w:p>
    <w:p w14:paraId="61C8C88C" w14:textId="77777777" w:rsidR="00BC6257" w:rsidRDefault="006567CF">
      <w:pPr>
        <w:spacing w:after="0" w:line="240" w:lineRule="auto"/>
        <w:jc w:val="left"/>
      </w:pPr>
      <w:r>
        <w:rPr>
          <w:b/>
        </w:rPr>
        <w:t>Poglavitni problemi oziroma vprašanja na področju urejanja</w:t>
      </w:r>
    </w:p>
    <w:p w14:paraId="61C8C88D" w14:textId="77777777" w:rsidR="00BC6257" w:rsidRDefault="006567CF">
      <w:pPr>
        <w:spacing w:after="0" w:line="240" w:lineRule="auto"/>
      </w:pPr>
      <w:r>
        <w:t xml:space="preserve"> </w:t>
      </w:r>
    </w:p>
    <w:p w14:paraId="61C8C88E" w14:textId="77777777" w:rsidR="00BC6257" w:rsidRDefault="006567CF">
      <w:pPr>
        <w:spacing w:after="0" w:line="240" w:lineRule="auto"/>
      </w:pPr>
      <w:r>
        <w:t>Glavni razlog za spremembo veljavne ureditve je sprejetje Direktive (EU) 2024/2994 Evropskega parlamenta in Sveta z dne 27. novembra 2024 o spremembi direktiv 2009/65/ES, 2013/36/EU in (EU) 2019/2034 glede obravnave tveganja koncentracije, ki izhaja iz izpostavljenosti do centralnih nasprotnih strank, in tveganja nasprotne stranke pri poslih z izvedenimi finančnimi instrumenti s centralnim kliringom (UL L št. 2024/2994 z dne 4. 12. 2024; v nadaljnjem besedilu: Direktiva 2024/2994/EU), ki spreminja IFD in jo morajo države članice prenesti v nacionalni pravni red. Direktiva uvaja zahteve glede obravnave tveganja koncentracije, ki izhaja iz izpostavljenosti investicijskih podjetij do centralnih nasprotnih strank, in tveganja nasprotne stranke pri poslih z izvedenimi finančnimi instrumenti s centralnim kliringom. Veljavni ZBNIP teh zahtev še ne vsebuje, zato med nacionalno ureditvijo in pravom Evropske unije obstaja vrzel, ki jo je treba odpraviti v roku za prenos.</w:t>
      </w:r>
    </w:p>
    <w:p w14:paraId="61C8C88F" w14:textId="77777777" w:rsidR="00BC6257" w:rsidRDefault="006567CF">
      <w:pPr>
        <w:spacing w:after="0" w:line="240" w:lineRule="auto"/>
      </w:pPr>
      <w:r>
        <w:t xml:space="preserve"> </w:t>
      </w:r>
    </w:p>
    <w:p w14:paraId="61C8C890" w14:textId="77777777" w:rsidR="00BC6257" w:rsidRDefault="006567CF">
      <w:pPr>
        <w:spacing w:after="0" w:line="240" w:lineRule="auto"/>
      </w:pPr>
      <w:r>
        <w:t xml:space="preserve">Drugo vprašanje je posledica uveljavitve novega Zakona o bančništvu (Uradni list RS, št. 15/26; v nadaljnjem besedilu: ZBan-4), ki je nadomestil prejšnji Zakon o bančništvu (Uradni list RS, št. 92/21, </w:t>
      </w:r>
      <w:r>
        <w:lastRenderedPageBreak/>
        <w:t>123/21 – ZBNIP, 2/25 – odl. US, 17/25 in 15/26 – ZBan-4; v nadaljnjem besedilu: ZBan-3). ZBNIP se na posameznih mestih sklicuje na določbe ZBan-3, ki je prenehal veljati, zato so postala ta sklicevanja neaktualna. Ob tem so zaradi sprememb predpisov Evropske unije zastarele tudi nekatere navedbe zadnjih sprememb uredb Evropske unije, na katere se ZBNIP sklicuje.</w:t>
      </w:r>
    </w:p>
    <w:p w14:paraId="61C8C891" w14:textId="77777777" w:rsidR="00BC6257" w:rsidRDefault="006567CF">
      <w:pPr>
        <w:spacing w:after="0" w:line="240" w:lineRule="auto"/>
      </w:pPr>
      <w:r>
        <w:t xml:space="preserve"> </w:t>
      </w:r>
    </w:p>
    <w:p w14:paraId="61C8C892" w14:textId="77777777" w:rsidR="00BC6257" w:rsidRDefault="006567CF">
      <w:pPr>
        <w:spacing w:after="0" w:line="240" w:lineRule="auto"/>
        <w:jc w:val="left"/>
      </w:pPr>
      <w:r>
        <w:rPr>
          <w:b/>
        </w:rPr>
        <w:t>Kako so bili problemi ugotovljeni</w:t>
      </w:r>
    </w:p>
    <w:p w14:paraId="61C8C893" w14:textId="77777777" w:rsidR="00BC6257" w:rsidRDefault="006567CF">
      <w:pPr>
        <w:spacing w:after="0" w:line="240" w:lineRule="auto"/>
      </w:pPr>
      <w:r>
        <w:t xml:space="preserve"> </w:t>
      </w:r>
    </w:p>
    <w:p w14:paraId="61C8C894" w14:textId="77777777" w:rsidR="00BC6257" w:rsidRDefault="006567CF">
      <w:pPr>
        <w:spacing w:after="0" w:line="240" w:lineRule="auto"/>
      </w:pPr>
      <w:r>
        <w:t>Problemi so bili ugotovljeni pri rednem spremljanju sprejemanja in objav predpisov Evropske unije v Uradnem listu Evropske unije ter pri spremljanju sprememb nacionalne zakonodaje, zlasti uveljavitve ZBan-4.</w:t>
      </w:r>
    </w:p>
    <w:p w14:paraId="61C8C895" w14:textId="77777777" w:rsidR="00BC6257" w:rsidRDefault="006567CF">
      <w:pPr>
        <w:spacing w:after="0" w:line="240" w:lineRule="auto"/>
      </w:pPr>
      <w:r>
        <w:t xml:space="preserve"> </w:t>
      </w:r>
    </w:p>
    <w:p w14:paraId="61C8C896" w14:textId="77777777" w:rsidR="00BC6257" w:rsidRDefault="006567CF">
      <w:pPr>
        <w:spacing w:after="0" w:line="240" w:lineRule="auto"/>
        <w:jc w:val="left"/>
      </w:pPr>
      <w:r>
        <w:rPr>
          <w:b/>
        </w:rPr>
        <w:t>Predpisi Evropske unije, ki vplivajo na področje urejanja</w:t>
      </w:r>
    </w:p>
    <w:p w14:paraId="61C8C897" w14:textId="77777777" w:rsidR="00BC6257" w:rsidRDefault="006567CF">
      <w:pPr>
        <w:spacing w:after="0" w:line="240" w:lineRule="auto"/>
      </w:pPr>
      <w:r>
        <w:t xml:space="preserve"> </w:t>
      </w:r>
    </w:p>
    <w:p w14:paraId="61C8C898" w14:textId="77777777" w:rsidR="00BC6257" w:rsidRDefault="006567CF">
      <w:pPr>
        <w:spacing w:after="0" w:line="240" w:lineRule="auto"/>
      </w:pPr>
      <w:r>
        <w:t>Na področje urejanja vplivajo IFD in IFR ter Direktiva 2024/2994/EU, ki je del zakonodajnega svežnja pregleda Uredbe (EU) 648/2012 Evropskega parlamenta in Sveta z dne 4. julija 2012 o izvedenih finančnih instrumentih OTC, centralnih nasprotnih strankah in repozitorijih sklenjenih poslov (UL L št. 201 z dne 27. 7. 2012, str. 1), zadnjič spremenjene z Delegirano uredbo Komisije (EU) 2026/305 z dne 29. oktobra 2025 o dopolnitvi Uredbe (EU) št. 648/2012 Evropskega parlamenta in Sveta v zvezi z regulativnimi tehničnimi standardi, ki določajo operativne pogoje, obveznost reprezentativnosti in zahteve glede poročanja v zvezi z zahtevo glede aktivnega računa (t. i. EMIR 3; v nadaljnjem besedilu: Uredba 648/2012/EU), sprejetega skupaj z Uredbo 2024/2987/EU, ki navedeno uredbo spreminja. Posredno na področje urejanja vplivajo tudi uredbe Evropske unije, na katere se ZBNIP sklicuje pri opredelitvi posameznih izrazov in institutov.</w:t>
      </w:r>
    </w:p>
    <w:p w14:paraId="61C8C899" w14:textId="77777777" w:rsidR="00BC6257" w:rsidRDefault="006567CF">
      <w:pPr>
        <w:spacing w:after="0" w:line="240" w:lineRule="auto"/>
      </w:pPr>
      <w:r>
        <w:t xml:space="preserve"> </w:t>
      </w:r>
    </w:p>
    <w:p w14:paraId="61C8C89A" w14:textId="77777777" w:rsidR="00BC6257" w:rsidRDefault="006567CF">
      <w:pPr>
        <w:spacing w:after="0" w:line="240" w:lineRule="auto"/>
        <w:jc w:val="left"/>
      </w:pPr>
      <w:r>
        <w:rPr>
          <w:b/>
        </w:rPr>
        <w:t>Mednarodni sporazumi, ki vplivajo na področje urejanja</w:t>
      </w:r>
    </w:p>
    <w:p w14:paraId="61C8C89B" w14:textId="77777777" w:rsidR="00BC6257" w:rsidRDefault="006567CF">
      <w:pPr>
        <w:spacing w:after="0" w:line="240" w:lineRule="auto"/>
      </w:pPr>
      <w:r>
        <w:t xml:space="preserve"> </w:t>
      </w:r>
    </w:p>
    <w:p w14:paraId="61C8C89C" w14:textId="77777777" w:rsidR="00BC6257" w:rsidRDefault="006567CF">
      <w:pPr>
        <w:spacing w:after="0" w:line="240" w:lineRule="auto"/>
      </w:pPr>
      <w:r>
        <w:t>Mednarodnih sporazumov, ki bi vplivali na področje urejanja, ni.</w:t>
      </w:r>
    </w:p>
    <w:p w14:paraId="61C8C89D" w14:textId="77777777" w:rsidR="00BC6257" w:rsidRDefault="006567CF">
      <w:pPr>
        <w:spacing w:after="0" w:line="240" w:lineRule="auto"/>
      </w:pPr>
      <w:r>
        <w:t xml:space="preserve"> </w:t>
      </w:r>
    </w:p>
    <w:p w14:paraId="61C8C89E" w14:textId="77777777" w:rsidR="00BC6257" w:rsidRDefault="006567CF">
      <w:pPr>
        <w:spacing w:after="0" w:line="240" w:lineRule="auto"/>
        <w:jc w:val="left"/>
      </w:pPr>
      <w:r>
        <w:rPr>
          <w:b/>
        </w:rPr>
        <w:t>Odločbe Ustavnega sodišča Republike Slovenije</w:t>
      </w:r>
    </w:p>
    <w:p w14:paraId="61C8C89F" w14:textId="77777777" w:rsidR="00BC6257" w:rsidRDefault="006567CF">
      <w:pPr>
        <w:spacing w:after="0" w:line="240" w:lineRule="auto"/>
      </w:pPr>
      <w:r>
        <w:t xml:space="preserve"> </w:t>
      </w:r>
    </w:p>
    <w:p w14:paraId="61C8C8A0" w14:textId="77777777" w:rsidR="00BC6257" w:rsidRDefault="006567CF">
      <w:pPr>
        <w:spacing w:after="0" w:line="240" w:lineRule="auto"/>
      </w:pPr>
      <w:r>
        <w:t>Odločb Ustavnega sodišča Republike Slovenije, ki bi obravnavale področje urejanja oziroma primerljivo ureditev, ni.</w:t>
      </w:r>
    </w:p>
    <w:p w14:paraId="61C8C8A1" w14:textId="77777777" w:rsidR="00BC6257" w:rsidRDefault="006567CF">
      <w:pPr>
        <w:spacing w:after="0" w:line="240" w:lineRule="auto"/>
      </w:pPr>
      <w:r>
        <w:t xml:space="preserve"> </w:t>
      </w:r>
    </w:p>
    <w:p w14:paraId="61C8C8A2" w14:textId="77777777" w:rsidR="00BC6257" w:rsidRDefault="006567CF">
      <w:pPr>
        <w:spacing w:after="0" w:line="240" w:lineRule="auto"/>
        <w:jc w:val="left"/>
      </w:pPr>
      <w:r>
        <w:rPr>
          <w:b/>
        </w:rPr>
        <w:t>Odločbe Sodišča Evropske unije</w:t>
      </w:r>
    </w:p>
    <w:p w14:paraId="61C8C8A3" w14:textId="77777777" w:rsidR="00BC6257" w:rsidRDefault="006567CF">
      <w:pPr>
        <w:spacing w:after="0" w:line="240" w:lineRule="auto"/>
      </w:pPr>
      <w:r>
        <w:t xml:space="preserve"> </w:t>
      </w:r>
    </w:p>
    <w:p w14:paraId="61C8C8A4" w14:textId="77777777" w:rsidR="00BC6257" w:rsidRDefault="006567CF">
      <w:pPr>
        <w:spacing w:after="0" w:line="240" w:lineRule="auto"/>
      </w:pPr>
      <w:r>
        <w:t>Odločb Sodišča Evropske unije, ki bi obravnavale področje urejanja oziroma primerljivo ureditev, ni.</w:t>
      </w:r>
    </w:p>
    <w:p w14:paraId="61C8C8A5" w14:textId="77777777" w:rsidR="00BC6257" w:rsidRDefault="006567CF">
      <w:pPr>
        <w:spacing w:after="0" w:line="240" w:lineRule="auto"/>
      </w:pPr>
      <w:r>
        <w:t xml:space="preserve"> </w:t>
      </w:r>
    </w:p>
    <w:p w14:paraId="61C8C8A6" w14:textId="77777777" w:rsidR="00BC6257" w:rsidRDefault="006567CF">
      <w:pPr>
        <w:spacing w:after="0" w:line="240" w:lineRule="auto"/>
        <w:jc w:val="left"/>
      </w:pPr>
      <w:r>
        <w:rPr>
          <w:b/>
        </w:rPr>
        <w:t>Razlogi za sprejetje predpisa</w:t>
      </w:r>
    </w:p>
    <w:p w14:paraId="61C8C8A7" w14:textId="77777777" w:rsidR="00BC6257" w:rsidRDefault="006567CF">
      <w:pPr>
        <w:spacing w:after="0" w:line="240" w:lineRule="auto"/>
      </w:pPr>
      <w:r>
        <w:t xml:space="preserve"> </w:t>
      </w:r>
    </w:p>
    <w:p w14:paraId="61C8C8A8" w14:textId="77777777" w:rsidR="00BC6257" w:rsidRDefault="006567CF">
      <w:pPr>
        <w:spacing w:after="0" w:line="240" w:lineRule="auto"/>
      </w:pPr>
      <w:r>
        <w:t>Predlog zakona je potreben zaradi izpolnitve obveznosti prenosa Direktive 2024/2994/EU v nacionalni pravni red, katere rok se izteče 25. junija 2026, ter zaradi uskladitve sklicevanj ZBNIP z veljavnim Zakonom o bančništvu (ZBan-4) in z veljavnimi navedbami predpisov Evropske unije. S tem se zagotavljata skladnost nacionalne ureditve s pravom Evropske unije in notranja doslednost zakona.</w:t>
      </w:r>
    </w:p>
    <w:p w14:paraId="61C8C8A9" w14:textId="77777777" w:rsidR="00BC6257" w:rsidRDefault="00BC6257">
      <w:pPr>
        <w:spacing w:after="0" w:line="260" w:lineRule="auto"/>
        <w:rPr>
          <w:rFonts w:cs="Arial"/>
        </w:rPr>
      </w:pPr>
    </w:p>
    <w:p w14:paraId="61C8C8AA" w14:textId="77777777" w:rsidR="00BC6257" w:rsidRDefault="006567CF">
      <w:pPr>
        <w:pStyle w:val="Odebeljeno"/>
        <w:spacing w:line="260" w:lineRule="auto"/>
      </w:pPr>
      <w:r>
        <w:t>2.</w:t>
      </w:r>
      <w:r>
        <w:tab/>
        <w:t>CILJI, NAČELA IN POGLAVITNE REŠITVE PREDLOGA ZAKONA</w:t>
      </w:r>
    </w:p>
    <w:p w14:paraId="61C8C8AB" w14:textId="77777777" w:rsidR="00BC6257" w:rsidRDefault="006567CF">
      <w:pPr>
        <w:pStyle w:val="Odebeljeno"/>
        <w:spacing w:line="260" w:lineRule="auto"/>
      </w:pPr>
      <w:r>
        <w:t>2.1</w:t>
      </w:r>
      <w:r>
        <w:tab/>
        <w:t>Cilji</w:t>
      </w:r>
    </w:p>
    <w:p w14:paraId="61C8C8AC" w14:textId="77777777" w:rsidR="00BC6257" w:rsidRDefault="00BC6257">
      <w:pPr>
        <w:spacing w:after="0" w:line="260" w:lineRule="auto"/>
        <w:rPr>
          <w:rFonts w:cs="Arial"/>
        </w:rPr>
      </w:pPr>
    </w:p>
    <w:p w14:paraId="61C8C8AD" w14:textId="77777777" w:rsidR="00BC6257" w:rsidRDefault="006567CF">
      <w:pPr>
        <w:spacing w:after="0" w:line="240" w:lineRule="auto"/>
      </w:pPr>
      <w:r>
        <w:t>Poglavitni cilji predloga zakona so:</w:t>
      </w:r>
    </w:p>
    <w:p w14:paraId="61C8C8AE" w14:textId="77777777" w:rsidR="00BC6257" w:rsidRDefault="006567CF">
      <w:pPr>
        <w:spacing w:after="0" w:line="240" w:lineRule="auto"/>
      </w:pPr>
      <w:r>
        <w:t xml:space="preserve"> </w:t>
      </w:r>
    </w:p>
    <w:p w14:paraId="61C8C8AF" w14:textId="77777777" w:rsidR="00BC6257" w:rsidRDefault="006567CF">
      <w:pPr>
        <w:spacing w:after="0" w:line="240" w:lineRule="auto"/>
        <w:ind w:left="454"/>
      </w:pPr>
      <w:r>
        <w:t>- zagotoviti pravočasen in pravilen prenos Direktive 2024/2994/EU v nacionalni pravni red v delu, v katerem ta spreminja IFD, in s tem vzpostaviti pravno podlago za obravnavo tveganja koncentracije, ki izhaja iz izpostavljenosti borznoposredniških družb do centralnih nasprotnih strank;</w:t>
      </w:r>
    </w:p>
    <w:p w14:paraId="61C8C8B0" w14:textId="77777777" w:rsidR="00BC6257" w:rsidRDefault="006567CF">
      <w:pPr>
        <w:spacing w:after="0" w:line="240" w:lineRule="auto"/>
        <w:ind w:left="454"/>
      </w:pPr>
      <w:r>
        <w:t>- umestiti obravnavo tega tveganja v ureditev notranjega upravljanja in obvladovanja tveganj borznoposredniških družb ter agenciji zagotoviti ustrezna nadzorna pooblastila za njegovo obravnavo v okviru nadzorniškega pregledovanja in ovrednotenja;</w:t>
      </w:r>
    </w:p>
    <w:p w14:paraId="61C8C8B1" w14:textId="77777777" w:rsidR="00BC6257" w:rsidRDefault="006567CF">
      <w:pPr>
        <w:spacing w:after="0" w:line="240" w:lineRule="auto"/>
        <w:ind w:left="454"/>
      </w:pPr>
      <w:r>
        <w:t>- uskladiti sklicevanja ZBNIP na zakon, ki ureja bančništvo, z veljavnim ZBan-4;</w:t>
      </w:r>
    </w:p>
    <w:p w14:paraId="61C8C8B2" w14:textId="77777777" w:rsidR="00BC6257" w:rsidRDefault="006567CF">
      <w:pPr>
        <w:spacing w:after="0" w:line="240" w:lineRule="auto"/>
        <w:ind w:left="454"/>
      </w:pPr>
      <w:r>
        <w:lastRenderedPageBreak/>
        <w:t>- uskladiti navedbe predpisov Evropske unije, na katere se ZBNIP sklicuje, z veljavnim pravnim redom in tako zagotoviti notranjo doslednost zakona ter pravno varnost.</w:t>
      </w:r>
    </w:p>
    <w:p w14:paraId="61C8C8B3" w14:textId="77777777" w:rsidR="00BC6257" w:rsidRDefault="00BC6257">
      <w:pPr>
        <w:spacing w:after="0" w:line="260" w:lineRule="auto"/>
        <w:rPr>
          <w:rFonts w:cs="Arial"/>
        </w:rPr>
      </w:pPr>
    </w:p>
    <w:p w14:paraId="61C8C8B4" w14:textId="77777777" w:rsidR="00BC6257" w:rsidRDefault="006567CF">
      <w:pPr>
        <w:spacing w:after="0" w:line="240" w:lineRule="auto"/>
      </w:pPr>
      <w:r>
        <w:t>Doseganje ciljev predloga zakona se bo spremljalo zlasti na podlagi naslednjih kazalnikov:</w:t>
      </w:r>
    </w:p>
    <w:p w14:paraId="61C8C8B5" w14:textId="77777777" w:rsidR="00BC6257" w:rsidRDefault="006567CF">
      <w:pPr>
        <w:spacing w:after="0" w:line="240" w:lineRule="auto"/>
      </w:pPr>
      <w:r>
        <w:t xml:space="preserve"> </w:t>
      </w:r>
    </w:p>
    <w:p w14:paraId="61C8C8B6" w14:textId="77777777" w:rsidR="00BC6257" w:rsidRDefault="006567CF">
      <w:pPr>
        <w:spacing w:after="0" w:line="240" w:lineRule="auto"/>
        <w:ind w:left="454"/>
      </w:pPr>
      <w:r>
        <w:t>- pravočasna notifikacija nacionalnih predpisov za prenos Direktive 2024/2994/EU Evropski komisiji v roku za prenos in odsotnost postopka zaradi kršitve prava Evropske unije po 258. členu Pogodbe o delovanju Evropske unije;</w:t>
      </w:r>
    </w:p>
    <w:p w14:paraId="61C8C8B7" w14:textId="77777777" w:rsidR="00BC6257" w:rsidRDefault="006567CF">
      <w:pPr>
        <w:spacing w:after="0" w:line="240" w:lineRule="auto"/>
        <w:ind w:left="454"/>
      </w:pPr>
      <w:r>
        <w:t>- vključitev obravnave tveganja koncentracije, ki izhaja iz izpostavljenosti do centralnih nasprotnih strank, v ureditev notranjega upravljanja in obvladovanja tveganj borznoposredniških družb ter priprava načrtov in merljivih ciljev iz tega naslova;</w:t>
      </w:r>
    </w:p>
    <w:p w14:paraId="61C8C8B8" w14:textId="77777777" w:rsidR="00BC6257" w:rsidRDefault="006567CF">
      <w:pPr>
        <w:spacing w:after="0" w:line="240" w:lineRule="auto"/>
        <w:ind w:left="454"/>
      </w:pPr>
      <w:r>
        <w:t>- ugotovitve Agencije za trg vrednostnih papirjev pri spremljanju praks borznoposredniških družb v zvezi z upravljanjem tega tveganja in pri prilagajanju njihovih poslovnih modelov, pridobljene v okviru nadzorniškega pregledovanja in ovrednotenja.</w:t>
      </w:r>
    </w:p>
    <w:p w14:paraId="61C8C8B9" w14:textId="77777777" w:rsidR="00BC6257" w:rsidRDefault="006567CF">
      <w:pPr>
        <w:spacing w:after="0" w:line="240" w:lineRule="auto"/>
      </w:pPr>
      <w:r>
        <w:t xml:space="preserve"> </w:t>
      </w:r>
    </w:p>
    <w:p w14:paraId="61C8C8BA" w14:textId="77777777" w:rsidR="00BC6257" w:rsidRDefault="006567CF">
      <w:pPr>
        <w:spacing w:after="0" w:line="240" w:lineRule="auto"/>
      </w:pPr>
      <w:r>
        <w:t>Glede na pretežno tehnično naravo predloga zakona in ozek krog naslovnikov posebno kvantitativno vrednotenje učinkov ni predvideno.</w:t>
      </w:r>
    </w:p>
    <w:p w14:paraId="61C8C8BB" w14:textId="77777777" w:rsidR="00BC6257" w:rsidRDefault="00BC6257">
      <w:pPr>
        <w:spacing w:after="0" w:line="260" w:lineRule="auto"/>
        <w:rPr>
          <w:rFonts w:cs="Arial"/>
        </w:rPr>
      </w:pPr>
    </w:p>
    <w:p w14:paraId="61C8C8BC" w14:textId="77777777" w:rsidR="00BC6257" w:rsidRDefault="006567CF">
      <w:pPr>
        <w:pStyle w:val="Odebeljeno"/>
        <w:spacing w:line="260" w:lineRule="auto"/>
      </w:pPr>
      <w:r>
        <w:t>2.2</w:t>
      </w:r>
      <w:r>
        <w:tab/>
        <w:t>Načela</w:t>
      </w:r>
    </w:p>
    <w:p w14:paraId="61C8C8BD" w14:textId="77777777" w:rsidR="00BC6257" w:rsidRDefault="00BC6257">
      <w:pPr>
        <w:spacing w:after="0" w:line="260" w:lineRule="auto"/>
        <w:rPr>
          <w:rFonts w:cs="Arial"/>
        </w:rPr>
      </w:pPr>
    </w:p>
    <w:p w14:paraId="61C8C8BE" w14:textId="77777777" w:rsidR="00BC6257" w:rsidRDefault="006567CF">
      <w:pPr>
        <w:spacing w:after="0" w:line="240" w:lineRule="auto"/>
      </w:pPr>
      <w:r>
        <w:t>Predlog zakona temelji na naslednjih temeljnih načelih:</w:t>
      </w:r>
    </w:p>
    <w:p w14:paraId="61C8C8BF" w14:textId="77777777" w:rsidR="00BC6257" w:rsidRDefault="006567CF">
      <w:pPr>
        <w:spacing w:after="0" w:line="240" w:lineRule="auto"/>
      </w:pPr>
      <w:r>
        <w:t xml:space="preserve"> </w:t>
      </w:r>
    </w:p>
    <w:p w14:paraId="61C8C8C0" w14:textId="77777777" w:rsidR="00BC6257" w:rsidRDefault="006567CF">
      <w:pPr>
        <w:spacing w:after="0" w:line="240" w:lineRule="auto"/>
        <w:ind w:left="454"/>
      </w:pPr>
      <w:r>
        <w:t>- Načelo skladnosti s pravom Evropske unije. Predlog zakona v nacionalni pravni red prenaša Direktivo 2024/2994/EU v obsegu in na način, kot ju določa direktiva, ne da bi presegal njene zahteve ali uvajal dodatne obveznosti, ki iz nje ne izhajajo.</w:t>
      </w:r>
    </w:p>
    <w:p w14:paraId="61C8C8C1" w14:textId="77777777" w:rsidR="00BC6257" w:rsidRDefault="006567CF">
      <w:pPr>
        <w:spacing w:after="0" w:line="240" w:lineRule="auto"/>
        <w:ind w:left="454"/>
      </w:pPr>
      <w:r>
        <w:t>- Načelo sorazmernosti. Zahteve, ki se uvajajo v ureditev notranjega upravljanja in obvladovanja tveganj borznoposredniških družb, ter nadzorna pooblastila agencije so določeni v obsegu, ki je potreben za dosego cilja obvladovanja tveganja koncentracije, in se umeščajo v obstoječi bonitetni okvir.</w:t>
      </w:r>
    </w:p>
    <w:p w14:paraId="61C8C8C2" w14:textId="77777777" w:rsidR="00BC6257" w:rsidRDefault="006567CF">
      <w:pPr>
        <w:spacing w:after="0" w:line="240" w:lineRule="auto"/>
        <w:ind w:left="454"/>
      </w:pPr>
      <w:r>
        <w:t>- Načelo pravne varnosti in doslednosti. Predlog zakona z uskladitvijo sklicevanj na veljavni ZBan-4 in z uskladitvijo navedb predpisov Evropske unije zagotavlja jasnost in notranjo doslednost zakona ter s tem pravno varnost naslovnikov.</w:t>
      </w:r>
    </w:p>
    <w:p w14:paraId="61C8C8C3" w14:textId="77777777" w:rsidR="00BC6257" w:rsidRDefault="006567CF">
      <w:pPr>
        <w:spacing w:after="0" w:line="240" w:lineRule="auto"/>
        <w:ind w:left="454"/>
      </w:pPr>
      <w:r>
        <w:t>- Načelo ohranjanja obstoječe sistemske ureditve. Predlog zakona ne posega v temeljno zasnovo bonitetnega nadzora investicijskih podjetij, temveč veljavno ureditev dopolnjuje le v obsegu, ki je potreben za prenos direktive in za uskladitev z veljavnim pravnim redom.</w:t>
      </w:r>
    </w:p>
    <w:p w14:paraId="61C8C8C4" w14:textId="77777777" w:rsidR="00BC6257" w:rsidRDefault="00BC6257">
      <w:pPr>
        <w:spacing w:after="0" w:line="260" w:lineRule="auto"/>
        <w:rPr>
          <w:rFonts w:cs="Arial"/>
        </w:rPr>
      </w:pPr>
    </w:p>
    <w:p w14:paraId="61C8C8C5" w14:textId="77777777" w:rsidR="00BC6257" w:rsidRDefault="006567CF">
      <w:pPr>
        <w:pStyle w:val="Odebeljeno"/>
        <w:spacing w:line="260" w:lineRule="auto"/>
      </w:pPr>
      <w:r>
        <w:t>2.3</w:t>
      </w:r>
      <w:r>
        <w:tab/>
        <w:t>Poglavitne rešitve</w:t>
      </w:r>
    </w:p>
    <w:p w14:paraId="61C8C8C6" w14:textId="77777777" w:rsidR="00BC6257" w:rsidRDefault="00BC6257">
      <w:pPr>
        <w:spacing w:after="0" w:line="260" w:lineRule="auto"/>
        <w:rPr>
          <w:rFonts w:cs="Arial"/>
        </w:rPr>
      </w:pPr>
    </w:p>
    <w:p w14:paraId="61C8C8C7" w14:textId="5FA918F7" w:rsidR="00BC6257" w:rsidRPr="00DB50BC" w:rsidRDefault="006567CF">
      <w:pPr>
        <w:spacing w:after="0" w:line="240" w:lineRule="auto"/>
        <w:jc w:val="left"/>
        <w:rPr>
          <w:bCs/>
          <w:i/>
          <w:iCs/>
          <w:u w:val="single"/>
        </w:rPr>
      </w:pPr>
      <w:r w:rsidRPr="00DB50BC">
        <w:rPr>
          <w:bCs/>
          <w:i/>
          <w:iCs/>
          <w:u w:val="single"/>
        </w:rPr>
        <w:t>Predstavitev predlaganih rešitev</w:t>
      </w:r>
    </w:p>
    <w:p w14:paraId="61C8C8C8" w14:textId="77777777" w:rsidR="00BC6257" w:rsidRDefault="006567CF">
      <w:pPr>
        <w:spacing w:after="0" w:line="240" w:lineRule="auto"/>
      </w:pPr>
      <w:r>
        <w:t xml:space="preserve"> </w:t>
      </w:r>
    </w:p>
    <w:p w14:paraId="61C8C8C9" w14:textId="77777777" w:rsidR="00BC6257" w:rsidRDefault="006567CF">
      <w:pPr>
        <w:spacing w:after="0" w:line="240" w:lineRule="auto"/>
      </w:pPr>
      <w:r>
        <w:t>Predlog zakona uvaja naslednje bistvene rešitve:</w:t>
      </w:r>
    </w:p>
    <w:p w14:paraId="61C8C8CA" w14:textId="77777777" w:rsidR="00BC6257" w:rsidRDefault="006567CF">
      <w:pPr>
        <w:spacing w:after="0" w:line="240" w:lineRule="auto"/>
      </w:pPr>
      <w:r>
        <w:t xml:space="preserve"> </w:t>
      </w:r>
    </w:p>
    <w:p w14:paraId="61C8C8CB" w14:textId="77777777" w:rsidR="00BC6257" w:rsidRDefault="006567CF">
      <w:pPr>
        <w:spacing w:after="0" w:line="240" w:lineRule="auto"/>
        <w:ind w:left="454"/>
      </w:pPr>
      <w:r>
        <w:t>- opredeli pojma »centralna nasprotna stranka« in »kvalificirana centralna nasprotna stranka«, ki sta potrebna za uporabo novih pravil;</w:t>
      </w:r>
    </w:p>
    <w:p w14:paraId="61C8C8CC" w14:textId="77777777" w:rsidR="00BC6257" w:rsidRDefault="006567CF">
      <w:pPr>
        <w:spacing w:after="0" w:line="240" w:lineRule="auto"/>
        <w:ind w:left="454"/>
      </w:pPr>
      <w:r>
        <w:t>- med tveganja, ki jih morajo borznoposredniške družbe obvladovati v okviru notranjega upravljanja, izrecno uvrsti tveganje koncentracije, ki izhaja iz njihove izpostavljenosti do centralnih nasprotnih strank;</w:t>
      </w:r>
    </w:p>
    <w:p w14:paraId="61C8C8CD" w14:textId="77777777" w:rsidR="00BC6257" w:rsidRDefault="006567CF">
      <w:pPr>
        <w:spacing w:after="0" w:line="240" w:lineRule="auto"/>
        <w:ind w:left="454"/>
      </w:pPr>
      <w:r>
        <w:t>- upravljalnemu organu družbe naloži pripravo načrtov in merljivih ciljev za obvladovanje in spremljanje tega tveganja;</w:t>
      </w:r>
    </w:p>
    <w:p w14:paraId="61C8C8CE" w14:textId="77777777" w:rsidR="00BC6257" w:rsidRDefault="006567CF">
      <w:pPr>
        <w:spacing w:after="0" w:line="240" w:lineRule="auto"/>
        <w:ind w:left="454"/>
      </w:pPr>
      <w:r>
        <w:t>- Agenciji za trg vrednostnih papirjev razširi nadzorna pooblastila, tako da lahko ob prekomernem tveganju koncentracije zahteva zmanjšanje ali ponovno uskladitev izpostavljenosti, ter ji naloži spremljanje teh praks pri nadzoru;</w:t>
      </w:r>
    </w:p>
    <w:p w14:paraId="61C8C8CF" w14:textId="77777777" w:rsidR="00BC6257" w:rsidRDefault="006567CF">
      <w:pPr>
        <w:spacing w:after="0" w:line="240" w:lineRule="auto"/>
        <w:ind w:left="454"/>
      </w:pPr>
      <w:r>
        <w:t>- posodobi in uskladi sklicevanja zakona na veljavni zakon o bančništvu (ZBan-4) ter navedbe predpisov Evropske unije.</w:t>
      </w:r>
    </w:p>
    <w:p w14:paraId="61C8C8D0" w14:textId="77777777" w:rsidR="00BC6257" w:rsidRDefault="006567CF">
      <w:pPr>
        <w:spacing w:after="0" w:line="240" w:lineRule="auto"/>
      </w:pPr>
      <w:r>
        <w:t xml:space="preserve"> </w:t>
      </w:r>
    </w:p>
    <w:p w14:paraId="61C8C8D1" w14:textId="6F1B546B" w:rsidR="00BC6257" w:rsidRPr="00DB50BC" w:rsidRDefault="006567CF">
      <w:pPr>
        <w:spacing w:after="0" w:line="240" w:lineRule="auto"/>
        <w:jc w:val="left"/>
        <w:rPr>
          <w:bCs/>
          <w:i/>
          <w:iCs/>
          <w:u w:val="single"/>
        </w:rPr>
      </w:pPr>
      <w:r w:rsidRPr="00DB50BC">
        <w:rPr>
          <w:bCs/>
          <w:i/>
          <w:iCs/>
          <w:u w:val="single"/>
        </w:rPr>
        <w:lastRenderedPageBreak/>
        <w:t>Način reševanja</w:t>
      </w:r>
    </w:p>
    <w:p w14:paraId="61C8C8D2" w14:textId="77777777" w:rsidR="00BC6257" w:rsidRDefault="006567CF">
      <w:pPr>
        <w:spacing w:after="0" w:line="240" w:lineRule="auto"/>
      </w:pPr>
      <w:r>
        <w:t xml:space="preserve"> </w:t>
      </w:r>
    </w:p>
    <w:p w14:paraId="61C8C8D3" w14:textId="77777777" w:rsidR="00BC6257" w:rsidRDefault="006567CF">
      <w:pPr>
        <w:spacing w:after="0" w:line="240" w:lineRule="auto"/>
      </w:pPr>
      <w:r>
        <w:t>Vprašanja, ki so predmet urejanja, se v celoti urejajo s predlogom zakona. Za izvajanje predloga zakona ni treba sprejeti izvršilnih predpisov niti zaradi njegove uveljavitve ne preneha veljati noben izvršilni predpis. Vprašanj, ki bi se urejala drugače (na primer s kolektivnimi pogodbami), ni. Predlog zakona ne posega v vprašanja, v katera s predpisi ni mogoče poseči, niti ne ureja vprašanj, ki jih ni več treba urejati s predpisi. Predhodni poskusi in testi za ugotavljanje primernosti ukrepanja glede na naravo predloga zakona niso bili potrebni.</w:t>
      </w:r>
    </w:p>
    <w:p w14:paraId="61C8C8D4" w14:textId="77777777" w:rsidR="00BC6257" w:rsidRDefault="006567CF">
      <w:pPr>
        <w:spacing w:after="0" w:line="240" w:lineRule="auto"/>
      </w:pPr>
      <w:r>
        <w:t xml:space="preserve"> </w:t>
      </w:r>
    </w:p>
    <w:p w14:paraId="61C8C8D5" w14:textId="28333003" w:rsidR="00BC6257" w:rsidRPr="00DB50BC" w:rsidRDefault="006567CF">
      <w:pPr>
        <w:spacing w:after="0" w:line="240" w:lineRule="auto"/>
        <w:jc w:val="left"/>
        <w:rPr>
          <w:bCs/>
          <w:i/>
          <w:iCs/>
          <w:u w:val="single"/>
        </w:rPr>
      </w:pPr>
      <w:r w:rsidRPr="00DB50BC">
        <w:rPr>
          <w:bCs/>
          <w:i/>
          <w:iCs/>
          <w:u w:val="single"/>
        </w:rPr>
        <w:t>Normativna usklajenost predloga zakona</w:t>
      </w:r>
    </w:p>
    <w:p w14:paraId="61C8C8D6" w14:textId="77777777" w:rsidR="00BC6257" w:rsidRDefault="006567CF">
      <w:pPr>
        <w:spacing w:after="0" w:line="240" w:lineRule="auto"/>
      </w:pPr>
      <w:r>
        <w:t xml:space="preserve"> </w:t>
      </w:r>
    </w:p>
    <w:p w14:paraId="61C8C8D7" w14:textId="77777777" w:rsidR="00BC6257" w:rsidRDefault="006567CF">
      <w:pPr>
        <w:spacing w:after="0" w:line="240" w:lineRule="auto"/>
      </w:pPr>
      <w:r>
        <w:t>Predlog zakona je usklajen z veljavnim pravnim redom Republike Slovenije; z uskladitvijo sklicevanj na ZBan-4 in navedb predpisov Evropske unije se odpravljajo neaktualna napotila in zagotavlja notranja doslednost zakona.</w:t>
      </w:r>
    </w:p>
    <w:p w14:paraId="61C8C8D8" w14:textId="77777777" w:rsidR="00BC6257" w:rsidRDefault="006567CF">
      <w:pPr>
        <w:spacing w:after="0" w:line="240" w:lineRule="auto"/>
      </w:pPr>
      <w:r>
        <w:t xml:space="preserve"> </w:t>
      </w:r>
    </w:p>
    <w:p w14:paraId="61C8C8D9" w14:textId="77777777" w:rsidR="00BC6257" w:rsidRDefault="006567CF">
      <w:pPr>
        <w:spacing w:after="0" w:line="240" w:lineRule="auto"/>
      </w:pPr>
      <w:r>
        <w:t>Predlog zakona je skladen s splošno veljavnimi načeli mednarodnega prava; mednarodnih pogodb, ki bi zavezovale Republiko Slovenijo na tem področju, ni.</w:t>
      </w:r>
    </w:p>
    <w:p w14:paraId="61C8C8DA" w14:textId="77777777" w:rsidR="00BC6257" w:rsidRDefault="006567CF">
      <w:pPr>
        <w:spacing w:after="0" w:line="240" w:lineRule="auto"/>
      </w:pPr>
      <w:r>
        <w:t xml:space="preserve"> </w:t>
      </w:r>
    </w:p>
    <w:p w14:paraId="61C8C8DB" w14:textId="77777777" w:rsidR="00BC6257" w:rsidRDefault="006567CF">
      <w:pPr>
        <w:spacing w:after="0" w:line="240" w:lineRule="auto"/>
      </w:pPr>
      <w:r>
        <w:t>Za uveljavitev predloga zakona ni treba sprejeti ali spremeniti drugih predpisov niti ga ni treba obravnavati »paketno« z drugimi predpisi.</w:t>
      </w:r>
    </w:p>
    <w:p w14:paraId="61C8C8DC" w14:textId="77777777" w:rsidR="00BC6257" w:rsidRDefault="006567CF">
      <w:pPr>
        <w:spacing w:after="0" w:line="240" w:lineRule="auto"/>
      </w:pPr>
      <w:r>
        <w:t xml:space="preserve"> </w:t>
      </w:r>
    </w:p>
    <w:p w14:paraId="61C8C8DD" w14:textId="3B7C0725" w:rsidR="00BC6257" w:rsidRPr="00DB50BC" w:rsidRDefault="006567CF">
      <w:pPr>
        <w:spacing w:after="0" w:line="240" w:lineRule="auto"/>
        <w:jc w:val="left"/>
        <w:rPr>
          <w:bCs/>
          <w:i/>
          <w:iCs/>
          <w:u w:val="single"/>
        </w:rPr>
      </w:pPr>
      <w:r w:rsidRPr="00DB50BC">
        <w:rPr>
          <w:bCs/>
          <w:i/>
          <w:iCs/>
          <w:u w:val="single"/>
        </w:rPr>
        <w:t>Usklajenost predloga zakona</w:t>
      </w:r>
    </w:p>
    <w:p w14:paraId="61C8C8DE" w14:textId="77777777" w:rsidR="00BC6257" w:rsidRDefault="006567CF">
      <w:pPr>
        <w:spacing w:after="0" w:line="240" w:lineRule="auto"/>
      </w:pPr>
      <w:r>
        <w:t xml:space="preserve"> </w:t>
      </w:r>
    </w:p>
    <w:p w14:paraId="61C8C8DF" w14:textId="77777777" w:rsidR="00BC6257" w:rsidRDefault="006567CF">
      <w:pPr>
        <w:spacing w:after="0" w:line="240" w:lineRule="auto"/>
      </w:pPr>
      <w:r>
        <w:t>Predlog zakona se ne nanaša na samoupravne lokalne skupnosti, zato usklajevanje z njimi ni bilo potrebno.</w:t>
      </w:r>
    </w:p>
    <w:p w14:paraId="61C8C8E0" w14:textId="77777777" w:rsidR="00BC6257" w:rsidRDefault="006567CF">
      <w:pPr>
        <w:spacing w:after="0" w:line="240" w:lineRule="auto"/>
      </w:pPr>
      <w:r>
        <w:t xml:space="preserve"> </w:t>
      </w:r>
    </w:p>
    <w:p w14:paraId="61C8C8E1" w14:textId="77777777" w:rsidR="00BC6257" w:rsidRDefault="006567CF">
      <w:pPr>
        <w:spacing w:after="0" w:line="240" w:lineRule="auto"/>
      </w:pPr>
      <w:r>
        <w:t>Predlog zakona je bil v postopku priprave objavljen na spletnem portalu eDemokracija zaradi sodelovanja zainteresirane javnosti. V postopku javne obravnave je bila prejeta ena pripomba; predlogi iz nje so presegali zahteve Direktive 2024/2994/EU, zato niso bili upoštevani.</w:t>
      </w:r>
    </w:p>
    <w:p w14:paraId="61C8C8E2" w14:textId="77777777" w:rsidR="00BC6257" w:rsidRDefault="006567CF">
      <w:pPr>
        <w:spacing w:after="0" w:line="240" w:lineRule="auto"/>
      </w:pPr>
      <w:r>
        <w:t xml:space="preserve"> </w:t>
      </w:r>
    </w:p>
    <w:p w14:paraId="61C8C8E3" w14:textId="77777777" w:rsidR="00BC6257" w:rsidRDefault="006567CF">
      <w:pPr>
        <w:spacing w:after="0" w:line="240" w:lineRule="auto"/>
      </w:pPr>
      <w:r>
        <w:t>Pri pripravi predloga zakona je sodelovala Agencija za trg vrednostnih papirjev kot pristojni nadzorni organ, katere pripombe so bile pri pripravi predloga zakona ustrezno upoštevane.</w:t>
      </w:r>
    </w:p>
    <w:p w14:paraId="61C8C8E4" w14:textId="77777777" w:rsidR="00BC6257" w:rsidRDefault="00BC6257">
      <w:pPr>
        <w:spacing w:after="0" w:line="260" w:lineRule="auto"/>
        <w:rPr>
          <w:rFonts w:cs="Arial"/>
        </w:rPr>
      </w:pPr>
    </w:p>
    <w:p w14:paraId="61C8C8E5" w14:textId="77777777" w:rsidR="00BC6257" w:rsidRDefault="006567CF">
      <w:pPr>
        <w:pStyle w:val="Odebeljeno"/>
        <w:spacing w:line="260" w:lineRule="auto"/>
      </w:pPr>
      <w:r>
        <w:t>3.</w:t>
      </w:r>
      <w:r>
        <w:tab/>
        <w:t>Ocena finančnih posledic predloga zakona za državni proračun in druga javna finančna sredstva</w:t>
      </w:r>
    </w:p>
    <w:p w14:paraId="61C8C8E6" w14:textId="77777777" w:rsidR="00BC6257" w:rsidRDefault="00BC6257">
      <w:pPr>
        <w:spacing w:after="0" w:line="260" w:lineRule="auto"/>
        <w:rPr>
          <w:rFonts w:cs="Arial"/>
        </w:rPr>
      </w:pPr>
    </w:p>
    <w:p w14:paraId="61C8C8E7" w14:textId="67DAEDD5" w:rsidR="00BC6257" w:rsidRDefault="00E72591">
      <w:pPr>
        <w:spacing w:after="0" w:line="260" w:lineRule="auto"/>
      </w:pPr>
      <w:r>
        <w:t>P</w:t>
      </w:r>
      <w:r w:rsidRPr="00E72591">
        <w:t xml:space="preserve">redlog zakona </w:t>
      </w:r>
      <w:r>
        <w:t xml:space="preserve">nima </w:t>
      </w:r>
      <w:r w:rsidR="00932D62">
        <w:t xml:space="preserve">finančnih </w:t>
      </w:r>
      <w:r>
        <w:t xml:space="preserve">posledic </w:t>
      </w:r>
      <w:r w:rsidRPr="00E72591">
        <w:t>za državni proračun in druga javna finančna sredstva</w:t>
      </w:r>
      <w:r w:rsidR="006567CF">
        <w:t>.</w:t>
      </w:r>
    </w:p>
    <w:p w14:paraId="61C8C8E8" w14:textId="77777777" w:rsidR="00BC6257" w:rsidRDefault="00BC6257">
      <w:pPr>
        <w:spacing w:after="0" w:line="260" w:lineRule="auto"/>
        <w:rPr>
          <w:rFonts w:cs="Arial"/>
        </w:rPr>
      </w:pPr>
    </w:p>
    <w:p w14:paraId="61C8C8E9" w14:textId="77777777" w:rsidR="00BC6257" w:rsidRDefault="006567CF">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61C8C8EA" w14:textId="77777777" w:rsidR="00BC6257" w:rsidRDefault="00BC6257">
      <w:pPr>
        <w:spacing w:after="0" w:line="260" w:lineRule="auto"/>
        <w:rPr>
          <w:rFonts w:cs="Arial"/>
        </w:rPr>
      </w:pPr>
    </w:p>
    <w:p w14:paraId="5515B2C2" w14:textId="54E2EE67" w:rsidR="00932D62" w:rsidRDefault="00932D62" w:rsidP="00932D62">
      <w:pPr>
        <w:spacing w:after="0" w:line="260" w:lineRule="auto"/>
      </w:pPr>
      <w:r>
        <w:t>P</w:t>
      </w:r>
      <w:r w:rsidRPr="00E72591">
        <w:t xml:space="preserve">redlog zakona </w:t>
      </w:r>
      <w:r>
        <w:t xml:space="preserve">nima finančnih posledic </w:t>
      </w:r>
      <w:r w:rsidRPr="00E72591">
        <w:t>za državni proračun in druga javna finančna sredstva</w:t>
      </w:r>
      <w:r>
        <w:t>.</w:t>
      </w:r>
    </w:p>
    <w:p w14:paraId="61C8C8EC" w14:textId="77777777" w:rsidR="00BC6257" w:rsidRDefault="00BC6257">
      <w:pPr>
        <w:spacing w:after="0" w:line="260" w:lineRule="auto"/>
        <w:rPr>
          <w:rFonts w:cs="Arial"/>
        </w:rPr>
      </w:pPr>
    </w:p>
    <w:p w14:paraId="61C8C8ED" w14:textId="77777777" w:rsidR="00BC6257" w:rsidRDefault="006567CF">
      <w:pPr>
        <w:pStyle w:val="Odebeljeno"/>
        <w:spacing w:line="260" w:lineRule="auto"/>
      </w:pPr>
      <w:r>
        <w:t>5.</w:t>
      </w:r>
      <w:r>
        <w:tab/>
        <w:t>Prikaz ureditve v drugih pravnih sistemih in prilagojenosti predlagane ureditve pravu Evropske unije</w:t>
      </w:r>
    </w:p>
    <w:p w14:paraId="61C8C8EE" w14:textId="77777777" w:rsidR="00BC6257" w:rsidRDefault="00BC6257">
      <w:pPr>
        <w:spacing w:after="0" w:line="260" w:lineRule="auto"/>
        <w:rPr>
          <w:rFonts w:cs="Arial"/>
        </w:rPr>
      </w:pPr>
    </w:p>
    <w:p w14:paraId="61C8C8EF" w14:textId="77777777" w:rsidR="00BC6257" w:rsidRDefault="006567CF">
      <w:pPr>
        <w:pStyle w:val="Odebeljeno"/>
        <w:spacing w:line="260" w:lineRule="auto"/>
      </w:pPr>
      <w:r>
        <w:t>5.1</w:t>
      </w:r>
      <w:r>
        <w:tab/>
        <w:t>Prikaz ureditve v drugih pravnih sistemih</w:t>
      </w:r>
    </w:p>
    <w:p w14:paraId="61C8C8F0" w14:textId="77777777" w:rsidR="00BC6257" w:rsidRDefault="00BC6257">
      <w:pPr>
        <w:spacing w:after="0" w:line="260" w:lineRule="auto"/>
        <w:rPr>
          <w:rFonts w:cs="Arial"/>
        </w:rPr>
      </w:pPr>
    </w:p>
    <w:p w14:paraId="61C8C8F1" w14:textId="77777777" w:rsidR="00BC6257" w:rsidRDefault="006567CF">
      <w:pPr>
        <w:spacing w:after="0" w:line="260" w:lineRule="auto"/>
      </w:pPr>
      <w:r>
        <w:t>/</w:t>
      </w:r>
    </w:p>
    <w:p w14:paraId="61C8C8F2" w14:textId="77777777" w:rsidR="00BC6257" w:rsidRDefault="00BC6257">
      <w:pPr>
        <w:spacing w:after="0" w:line="260" w:lineRule="auto"/>
        <w:rPr>
          <w:rFonts w:cs="Arial"/>
        </w:rPr>
      </w:pPr>
    </w:p>
    <w:p w14:paraId="61C8C8F3" w14:textId="77777777" w:rsidR="00BC6257" w:rsidRDefault="006567CF">
      <w:pPr>
        <w:pStyle w:val="Odebeljeno"/>
        <w:spacing w:line="260" w:lineRule="auto"/>
      </w:pPr>
      <w:r>
        <w:t>5.2</w:t>
      </w:r>
      <w:r>
        <w:tab/>
        <w:t>Prikaz ureditve v pravnem redu Evropske unije</w:t>
      </w:r>
    </w:p>
    <w:p w14:paraId="61C8C8F4" w14:textId="77777777" w:rsidR="00BC6257" w:rsidRDefault="00BC6257">
      <w:pPr>
        <w:spacing w:after="0" w:line="260" w:lineRule="auto"/>
        <w:rPr>
          <w:rFonts w:cs="Arial"/>
        </w:rPr>
      </w:pPr>
    </w:p>
    <w:p w14:paraId="0BC989C5" w14:textId="77777777" w:rsidR="00BA7F58" w:rsidRPr="00BA7F58" w:rsidRDefault="00BA7F58" w:rsidP="00BA7F58">
      <w:pPr>
        <w:spacing w:after="0" w:line="260" w:lineRule="auto"/>
        <w:rPr>
          <w:rFonts w:cs="Arial"/>
          <w:b/>
        </w:rPr>
      </w:pPr>
      <w:r w:rsidRPr="00BA7F58">
        <w:rPr>
          <w:rFonts w:cs="Arial"/>
          <w:bCs/>
        </w:rPr>
        <w:t>Predlog zakona je predmet usklajevanja s pravom EU.</w:t>
      </w:r>
    </w:p>
    <w:p w14:paraId="4C1B351C" w14:textId="77777777" w:rsidR="00BA7F58" w:rsidRDefault="00BA7F58">
      <w:pPr>
        <w:spacing w:after="0" w:line="260" w:lineRule="auto"/>
        <w:rPr>
          <w:rFonts w:cs="Arial"/>
        </w:rPr>
      </w:pPr>
    </w:p>
    <w:tbl>
      <w:tblPr>
        <w:tblStyle w:val="TableGrid"/>
        <w:tblW w:w="0" w:type="auto"/>
        <w:tblLook w:val="04A0" w:firstRow="1" w:lastRow="0" w:firstColumn="1" w:lastColumn="0" w:noHBand="0" w:noVBand="1"/>
      </w:tblPr>
      <w:tblGrid>
        <w:gridCol w:w="9062"/>
      </w:tblGrid>
      <w:tr w:rsidR="00BC6257" w14:paraId="61C8C8F6" w14:textId="77777777" w:rsidTr="00E91806">
        <w:trPr>
          <w:trHeight w:val="416"/>
        </w:trPr>
        <w:tc>
          <w:tcPr>
            <w:tcW w:w="9062" w:type="dxa"/>
            <w:tcBorders>
              <w:bottom w:val="triple" w:sz="4" w:space="0" w:color="auto"/>
            </w:tcBorders>
            <w:vAlign w:val="center"/>
          </w:tcPr>
          <w:p w14:paraId="61C8C8F5" w14:textId="77777777" w:rsidR="00BC6257" w:rsidRDefault="006567CF">
            <w:pPr>
              <w:jc w:val="center"/>
              <w:rPr>
                <w:b/>
              </w:rPr>
            </w:pPr>
            <w:r>
              <w:rPr>
                <w:b/>
              </w:rPr>
              <w:t>IZJAVA O SKLADNOSTI S PRAVNIM REDOM EU</w:t>
            </w:r>
          </w:p>
        </w:tc>
      </w:tr>
    </w:tbl>
    <w:p w14:paraId="61C8C8F7" w14:textId="77777777" w:rsidR="00BC6257" w:rsidRPr="00432B86" w:rsidRDefault="006567CF">
      <w:pPr>
        <w:spacing w:after="0"/>
        <w:rPr>
          <w:b/>
          <w:u w:val="single"/>
        </w:rPr>
      </w:pPr>
      <w:r w:rsidRPr="00432B86">
        <w:rPr>
          <w:b/>
          <w:color w:val="000000"/>
          <w:u w:val="single"/>
        </w:rPr>
        <w:t>NASLOV</w:t>
      </w:r>
      <w:r w:rsidRPr="00432B86">
        <w:rPr>
          <w:b/>
          <w:u w:val="single"/>
        </w:rPr>
        <w:t xml:space="preserve"> </w:t>
      </w:r>
      <w:r w:rsidRPr="00432B86">
        <w:rPr>
          <w:b/>
          <w:color w:val="000000"/>
          <w:u w:val="single"/>
        </w:rPr>
        <w:t>PREDPISA</w:t>
      </w:r>
      <w:r w:rsidRPr="00432B86">
        <w:rPr>
          <w:b/>
          <w:u w:val="single"/>
        </w:rPr>
        <w:t xml:space="preserve"> </w:t>
      </w:r>
      <w:r w:rsidRPr="00432B86">
        <w:rPr>
          <w:b/>
          <w:color w:val="000000"/>
          <w:u w:val="single"/>
        </w:rPr>
        <w:t>RS</w:t>
      </w:r>
    </w:p>
    <w:p w14:paraId="61C8C8F8" w14:textId="77777777" w:rsidR="00BC6257" w:rsidRDefault="00BC6257">
      <w:pPr>
        <w:spacing w:after="0"/>
      </w:pPr>
    </w:p>
    <w:p w14:paraId="61C8C8F9" w14:textId="77777777" w:rsidR="00BC6257" w:rsidRDefault="006567CF">
      <w:pPr>
        <w:spacing w:after="0" w:line="360" w:lineRule="auto"/>
      </w:pPr>
      <w:r>
        <w:t>Zakon o spremembah in dopolnitvah Zakona o bonitetnem nadzoru investicijskih podjetij</w:t>
      </w:r>
    </w:p>
    <w:p w14:paraId="61C8C8FA" w14:textId="77777777" w:rsidR="00BC6257" w:rsidRDefault="00BC6257">
      <w:pPr>
        <w:spacing w:after="0"/>
      </w:pPr>
    </w:p>
    <w:p w14:paraId="61C8C8FB" w14:textId="77777777" w:rsidR="00BC6257" w:rsidRPr="00432B86" w:rsidRDefault="006567CF">
      <w:pPr>
        <w:spacing w:after="0"/>
        <w:rPr>
          <w:b/>
          <w:u w:val="single"/>
        </w:rPr>
      </w:pPr>
      <w:r w:rsidRPr="00432B86">
        <w:rPr>
          <w:b/>
          <w:color w:val="000000"/>
          <w:u w:val="single"/>
        </w:rPr>
        <w:t>EVA</w:t>
      </w:r>
    </w:p>
    <w:p w14:paraId="61C8C8FC" w14:textId="77777777" w:rsidR="00BC6257" w:rsidRDefault="006567CF">
      <w:pPr>
        <w:spacing w:after="0"/>
      </w:pPr>
      <w:r>
        <w:t>2026-1611-0027</w:t>
      </w:r>
    </w:p>
    <w:p w14:paraId="61C8C8FD" w14:textId="77777777" w:rsidR="00BC6257" w:rsidRDefault="00BC6257">
      <w:pPr>
        <w:spacing w:after="0"/>
      </w:pPr>
    </w:p>
    <w:p w14:paraId="61C8C8FE" w14:textId="77777777" w:rsidR="00BC6257" w:rsidRPr="00432B86" w:rsidRDefault="006567CF">
      <w:pPr>
        <w:spacing w:after="0"/>
        <w:rPr>
          <w:b/>
          <w:u w:val="single"/>
        </w:rPr>
      </w:pPr>
      <w:r w:rsidRPr="00432B86">
        <w:rPr>
          <w:b/>
          <w:color w:val="000000"/>
          <w:u w:val="single"/>
        </w:rPr>
        <w:t>AKTI</w:t>
      </w:r>
      <w:r w:rsidRPr="00432B86">
        <w:rPr>
          <w:b/>
          <w:u w:val="single"/>
        </w:rPr>
        <w:t xml:space="preserve"> </w:t>
      </w:r>
      <w:r w:rsidRPr="00432B86">
        <w:rPr>
          <w:b/>
          <w:color w:val="000000"/>
          <w:u w:val="single"/>
        </w:rPr>
        <w:t>EU,</w:t>
      </w:r>
      <w:r w:rsidRPr="00432B86">
        <w:rPr>
          <w:b/>
          <w:u w:val="single"/>
        </w:rPr>
        <w:t xml:space="preserve"> </w:t>
      </w:r>
      <w:r w:rsidRPr="00432B86">
        <w:rPr>
          <w:b/>
          <w:color w:val="000000"/>
          <w:u w:val="single"/>
        </w:rPr>
        <w:t>KATERIH</w:t>
      </w:r>
      <w:r w:rsidRPr="00432B86">
        <w:rPr>
          <w:b/>
          <w:u w:val="single"/>
        </w:rPr>
        <w:t xml:space="preserve"> </w:t>
      </w:r>
      <w:r w:rsidRPr="00432B86">
        <w:rPr>
          <w:b/>
          <w:color w:val="000000"/>
          <w:u w:val="single"/>
        </w:rPr>
        <w:t>PRENOS</w:t>
      </w:r>
      <w:r w:rsidRPr="00432B86">
        <w:rPr>
          <w:b/>
          <w:u w:val="single"/>
        </w:rPr>
        <w:t xml:space="preserve"> </w:t>
      </w:r>
      <w:r w:rsidRPr="00432B86">
        <w:rPr>
          <w:b/>
          <w:color w:val="000000"/>
          <w:u w:val="single"/>
        </w:rPr>
        <w:t>ALI</w:t>
      </w:r>
      <w:r w:rsidRPr="00432B86">
        <w:rPr>
          <w:b/>
          <w:u w:val="single"/>
        </w:rPr>
        <w:t xml:space="preserve"> </w:t>
      </w:r>
      <w:r w:rsidRPr="00432B86">
        <w:rPr>
          <w:b/>
          <w:color w:val="000000"/>
          <w:u w:val="single"/>
        </w:rPr>
        <w:t>IZVAJANJE</w:t>
      </w:r>
      <w:r w:rsidRPr="00432B86">
        <w:rPr>
          <w:b/>
          <w:u w:val="single"/>
        </w:rPr>
        <w:t xml:space="preserve"> </w:t>
      </w:r>
      <w:r w:rsidRPr="00432B86">
        <w:rPr>
          <w:b/>
          <w:color w:val="000000"/>
          <w:u w:val="single"/>
        </w:rPr>
        <w:t>SE</w:t>
      </w:r>
      <w:r w:rsidRPr="00432B86">
        <w:rPr>
          <w:b/>
          <w:u w:val="single"/>
        </w:rPr>
        <w:t xml:space="preserve"> </w:t>
      </w:r>
      <w:r w:rsidRPr="00432B86">
        <w:rPr>
          <w:b/>
          <w:color w:val="000000"/>
          <w:u w:val="single"/>
        </w:rPr>
        <w:t>ZAGOTAVLJA</w:t>
      </w:r>
      <w:r w:rsidRPr="00432B86">
        <w:rPr>
          <w:b/>
          <w:u w:val="single"/>
        </w:rPr>
        <w:t xml:space="preserve"> </w:t>
      </w:r>
      <w:r w:rsidRPr="00432B86">
        <w:rPr>
          <w:b/>
          <w:color w:val="000000"/>
          <w:u w:val="single"/>
        </w:rPr>
        <w:t>S</w:t>
      </w:r>
      <w:r w:rsidRPr="00432B86">
        <w:rPr>
          <w:b/>
          <w:u w:val="single"/>
        </w:rPr>
        <w:t xml:space="preserve"> </w:t>
      </w:r>
      <w:r w:rsidRPr="00432B86">
        <w:rPr>
          <w:b/>
          <w:color w:val="000000"/>
          <w:u w:val="single"/>
        </w:rPr>
        <w:t>PREDPISOM</w:t>
      </w:r>
      <w:r w:rsidRPr="00432B86">
        <w:rPr>
          <w:b/>
          <w:u w:val="single"/>
        </w:rPr>
        <w:t xml:space="preserve"> </w:t>
      </w:r>
      <w:r w:rsidRPr="00432B86">
        <w:rPr>
          <w:b/>
          <w:color w:val="000000"/>
          <w:u w:val="single"/>
        </w:rPr>
        <w:t>RS</w:t>
      </w:r>
    </w:p>
    <w:p w14:paraId="61C8C8FF" w14:textId="77777777" w:rsidR="00BC6257" w:rsidRDefault="00BC6257">
      <w:pPr>
        <w:spacing w:after="0"/>
      </w:pPr>
    </w:p>
    <w:tbl>
      <w:tblPr>
        <w:tblStyle w:val="Navadnatabela11"/>
        <w:tblW w:w="8628" w:type="dxa"/>
        <w:tblInd w:w="127" w:type="dxa"/>
        <w:tblLook w:val="04A0" w:firstRow="1" w:lastRow="0" w:firstColumn="1" w:lastColumn="0" w:noHBand="0" w:noVBand="1"/>
      </w:tblPr>
      <w:tblGrid>
        <w:gridCol w:w="672"/>
        <w:gridCol w:w="1536"/>
        <w:gridCol w:w="4754"/>
        <w:gridCol w:w="1666"/>
      </w:tblGrid>
      <w:tr w:rsidR="00BC6257" w14:paraId="61C8C904" w14:textId="77777777" w:rsidTr="00BC6257">
        <w:trPr>
          <w:cnfStyle w:val="100000000000" w:firstRow="1" w:lastRow="0" w:firstColumn="0" w:lastColumn="0" w:oddVBand="0" w:evenVBand="0" w:oddHBand="0" w:evenHBand="0" w:firstRowFirstColumn="0" w:firstRowLastColumn="0" w:lastRowFirstColumn="0" w:lastRowLastColumn="0"/>
          <w:tblHeader/>
        </w:trPr>
        <w:tc>
          <w:tcPr>
            <w:tcW w:w="694" w:type="dxa"/>
            <w:shd w:val="clear" w:color="auto" w:fill="808080"/>
          </w:tcPr>
          <w:p w14:paraId="61C8C900" w14:textId="77777777" w:rsidR="00BC6257" w:rsidRDefault="006567CF">
            <w:pPr>
              <w:jc w:val="center"/>
            </w:pPr>
            <w:r>
              <w:t>Št.</w:t>
            </w:r>
          </w:p>
        </w:tc>
        <w:tc>
          <w:tcPr>
            <w:tcW w:w="1559" w:type="dxa"/>
            <w:shd w:val="clear" w:color="auto" w:fill="808080"/>
          </w:tcPr>
          <w:p w14:paraId="61C8C901" w14:textId="77777777" w:rsidR="00BC6257" w:rsidRDefault="006567CF">
            <w:pPr>
              <w:jc w:val="center"/>
            </w:pPr>
            <w:r>
              <w:t>CELEX</w:t>
            </w:r>
          </w:p>
        </w:tc>
        <w:tc>
          <w:tcPr>
            <w:tcW w:w="4816" w:type="dxa"/>
            <w:shd w:val="clear" w:color="auto" w:fill="808080"/>
          </w:tcPr>
          <w:p w14:paraId="61C8C902" w14:textId="77777777" w:rsidR="00BC6257" w:rsidRDefault="006567CF">
            <w:pPr>
              <w:jc w:val="center"/>
            </w:pPr>
            <w:r>
              <w:t>Naslov</w:t>
            </w:r>
          </w:p>
        </w:tc>
        <w:tc>
          <w:tcPr>
            <w:tcW w:w="1559" w:type="dxa"/>
            <w:shd w:val="clear" w:color="auto" w:fill="808080"/>
          </w:tcPr>
          <w:p w14:paraId="61C8C903" w14:textId="77777777" w:rsidR="00BC6257" w:rsidRDefault="006567CF">
            <w:pPr>
              <w:jc w:val="center"/>
            </w:pPr>
            <w:r>
              <w:t>Zadnjič spremenjen z (CELEX)</w:t>
            </w:r>
          </w:p>
        </w:tc>
      </w:tr>
      <w:tr w:rsidR="00BC6257" w14:paraId="61C8C909" w14:textId="77777777" w:rsidTr="00BC6257">
        <w:trPr>
          <w:cnfStyle w:val="000000100000" w:firstRow="0" w:lastRow="0" w:firstColumn="0" w:lastColumn="0" w:oddVBand="0" w:evenVBand="0" w:oddHBand="1" w:evenHBand="0" w:firstRowFirstColumn="0" w:firstRowLastColumn="0" w:lastRowFirstColumn="0" w:lastRowLastColumn="0"/>
        </w:trPr>
        <w:tc>
          <w:tcPr>
            <w:tcW w:w="694" w:type="dxa"/>
          </w:tcPr>
          <w:p w14:paraId="61C8C905" w14:textId="77777777" w:rsidR="00BC6257" w:rsidRDefault="006567CF">
            <w:r>
              <w:t>1</w:t>
            </w:r>
          </w:p>
        </w:tc>
        <w:tc>
          <w:tcPr>
            <w:tcW w:w="1559" w:type="dxa"/>
          </w:tcPr>
          <w:p w14:paraId="61C8C906" w14:textId="77777777" w:rsidR="00BC6257" w:rsidRDefault="006567CF">
            <w:r>
              <w:t>32024L2994</w:t>
            </w:r>
          </w:p>
        </w:tc>
        <w:tc>
          <w:tcPr>
            <w:tcW w:w="5099" w:type="dxa"/>
          </w:tcPr>
          <w:p w14:paraId="61C8C907" w14:textId="77777777" w:rsidR="00BC6257" w:rsidRDefault="006567CF">
            <w:r>
              <w:t>Direktiva (EU) 2024/2994 Evropskega parlamenta in Sveta z dne 27. novembra 2024 o spremembi direktiv 2009/65/ES, 2013/36/EU in (EU) 2019/2034 glede obravnave tveganja koncentracije, ki izhaja iz izpostavljenosti do centralnih nasprotnih strank, in tveganja nasprotne stranke pri poslih z izvedenimi finančnimi instrumenti s centralnim kliringom (Besedilo velja za EGP)</w:t>
            </w:r>
          </w:p>
        </w:tc>
        <w:tc>
          <w:tcPr>
            <w:tcW w:w="1701" w:type="dxa"/>
          </w:tcPr>
          <w:p w14:paraId="61C8C908" w14:textId="77777777" w:rsidR="00BC6257" w:rsidRDefault="00BC6257"/>
        </w:tc>
      </w:tr>
    </w:tbl>
    <w:tbl>
      <w:tblPr>
        <w:tblW w:w="8647" w:type="dxa"/>
        <w:tblInd w:w="108" w:type="dxa"/>
        <w:tblLayout w:type="fixed"/>
        <w:tblLook w:val="04A0" w:firstRow="1" w:lastRow="0" w:firstColumn="1" w:lastColumn="0" w:noHBand="0" w:noVBand="1"/>
      </w:tblPr>
      <w:tblGrid>
        <w:gridCol w:w="709"/>
        <w:gridCol w:w="1134"/>
        <w:gridCol w:w="851"/>
        <w:gridCol w:w="850"/>
        <w:gridCol w:w="1559"/>
        <w:gridCol w:w="709"/>
        <w:gridCol w:w="1134"/>
        <w:gridCol w:w="851"/>
        <w:gridCol w:w="850"/>
      </w:tblGrid>
      <w:tr w:rsidR="00BC6257" w14:paraId="61C8C90D" w14:textId="77777777">
        <w:trPr>
          <w:trHeight w:val="452"/>
          <w:tblHeader/>
        </w:trPr>
        <w:tc>
          <w:tcPr>
            <w:tcW w:w="3529" w:type="dxa"/>
            <w:gridSpan w:val="4"/>
            <w:shd w:val="clear" w:color="auto" w:fill="808080"/>
          </w:tcPr>
          <w:p w14:paraId="61C8C90A" w14:textId="77777777" w:rsidR="00BC6257" w:rsidRDefault="006567CF">
            <w:pPr>
              <w:jc w:val="center"/>
              <w:rPr>
                <w:b/>
              </w:rPr>
            </w:pPr>
            <w:r>
              <w:rPr>
                <w:b/>
              </w:rPr>
              <w:t>Predpis RS</w:t>
            </w:r>
          </w:p>
        </w:tc>
        <w:tc>
          <w:tcPr>
            <w:tcW w:w="1559" w:type="dxa"/>
            <w:vMerge w:val="restart"/>
            <w:shd w:val="clear" w:color="auto" w:fill="808080"/>
          </w:tcPr>
          <w:p w14:paraId="61C8C90B" w14:textId="77777777" w:rsidR="00BC6257" w:rsidRDefault="006567CF">
            <w:pPr>
              <w:jc w:val="center"/>
              <w:rPr>
                <w:b/>
              </w:rPr>
            </w:pPr>
            <w:r>
              <w:rPr>
                <w:b/>
              </w:rPr>
              <w:t>Opomba ali CELEX akta EU predpisa</w:t>
            </w:r>
          </w:p>
        </w:tc>
        <w:tc>
          <w:tcPr>
            <w:tcW w:w="3528" w:type="dxa"/>
            <w:gridSpan w:val="4"/>
            <w:shd w:val="clear" w:color="auto" w:fill="808080"/>
          </w:tcPr>
          <w:p w14:paraId="61C8C90C" w14:textId="77777777" w:rsidR="00BC6257" w:rsidRDefault="006567CF">
            <w:pPr>
              <w:jc w:val="center"/>
              <w:rPr>
                <w:b/>
              </w:rPr>
            </w:pPr>
            <w:r>
              <w:rPr>
                <w:b/>
              </w:rPr>
              <w:t>Akt EU</w:t>
            </w:r>
          </w:p>
        </w:tc>
      </w:tr>
      <w:tr w:rsidR="00BC6257" w14:paraId="61C8C917" w14:textId="77777777">
        <w:trPr>
          <w:trHeight w:val="250"/>
          <w:tblHeader/>
        </w:trPr>
        <w:tc>
          <w:tcPr>
            <w:tcW w:w="709" w:type="dxa"/>
            <w:tcBorders>
              <w:bottom w:val="double" w:sz="4" w:space="0" w:color="auto"/>
            </w:tcBorders>
            <w:shd w:val="clear" w:color="auto" w:fill="808080"/>
          </w:tcPr>
          <w:p w14:paraId="61C8C90E" w14:textId="77777777" w:rsidR="00BC6257" w:rsidRDefault="006567CF">
            <w:r>
              <w:t>Člen</w:t>
            </w:r>
          </w:p>
        </w:tc>
        <w:tc>
          <w:tcPr>
            <w:tcW w:w="1134" w:type="dxa"/>
            <w:tcBorders>
              <w:bottom w:val="double" w:sz="4" w:space="0" w:color="auto"/>
            </w:tcBorders>
            <w:shd w:val="clear" w:color="auto" w:fill="808080"/>
          </w:tcPr>
          <w:p w14:paraId="61C8C90F" w14:textId="77777777" w:rsidR="00BC6257" w:rsidRDefault="006567CF">
            <w:r>
              <w:t>Odstavek</w:t>
            </w:r>
          </w:p>
        </w:tc>
        <w:tc>
          <w:tcPr>
            <w:tcW w:w="851" w:type="dxa"/>
            <w:tcBorders>
              <w:bottom w:val="double" w:sz="4" w:space="0" w:color="auto"/>
            </w:tcBorders>
            <w:shd w:val="clear" w:color="auto" w:fill="808080"/>
          </w:tcPr>
          <w:p w14:paraId="61C8C910" w14:textId="77777777" w:rsidR="00BC6257" w:rsidRDefault="006567CF">
            <w:r>
              <w:t>Točka</w:t>
            </w:r>
          </w:p>
        </w:tc>
        <w:tc>
          <w:tcPr>
            <w:tcW w:w="850" w:type="dxa"/>
            <w:tcBorders>
              <w:bottom w:val="double" w:sz="4" w:space="0" w:color="auto"/>
            </w:tcBorders>
            <w:shd w:val="clear" w:color="auto" w:fill="808080"/>
          </w:tcPr>
          <w:p w14:paraId="61C8C911" w14:textId="77777777" w:rsidR="00BC6257" w:rsidRDefault="006567CF">
            <w:r>
              <w:t>Alinea</w:t>
            </w:r>
          </w:p>
        </w:tc>
        <w:tc>
          <w:tcPr>
            <w:tcW w:w="1985" w:type="dxa"/>
            <w:vMerge/>
            <w:tcBorders>
              <w:bottom w:val="double" w:sz="4" w:space="0" w:color="auto"/>
            </w:tcBorders>
            <w:shd w:val="clear" w:color="auto" w:fill="808080"/>
          </w:tcPr>
          <w:p w14:paraId="61C8C912" w14:textId="77777777" w:rsidR="00BC6257" w:rsidRDefault="00BC6257">
            <w:pPr>
              <w:rPr>
                <w:b/>
              </w:rPr>
            </w:pPr>
          </w:p>
        </w:tc>
        <w:tc>
          <w:tcPr>
            <w:tcW w:w="709" w:type="dxa"/>
            <w:tcBorders>
              <w:bottom w:val="double" w:sz="4" w:space="0" w:color="auto"/>
            </w:tcBorders>
            <w:shd w:val="clear" w:color="auto" w:fill="808080"/>
          </w:tcPr>
          <w:p w14:paraId="61C8C913" w14:textId="77777777" w:rsidR="00BC6257" w:rsidRDefault="006567CF">
            <w:r>
              <w:t>Člen</w:t>
            </w:r>
          </w:p>
        </w:tc>
        <w:tc>
          <w:tcPr>
            <w:tcW w:w="1134" w:type="dxa"/>
            <w:tcBorders>
              <w:bottom w:val="double" w:sz="4" w:space="0" w:color="auto"/>
            </w:tcBorders>
            <w:shd w:val="clear" w:color="auto" w:fill="808080"/>
          </w:tcPr>
          <w:p w14:paraId="61C8C914" w14:textId="77777777" w:rsidR="00BC6257" w:rsidRDefault="006567CF">
            <w:r>
              <w:t>Odstavek</w:t>
            </w:r>
          </w:p>
        </w:tc>
        <w:tc>
          <w:tcPr>
            <w:tcW w:w="851" w:type="dxa"/>
            <w:tcBorders>
              <w:bottom w:val="double" w:sz="4" w:space="0" w:color="auto"/>
            </w:tcBorders>
            <w:shd w:val="clear" w:color="auto" w:fill="808080"/>
          </w:tcPr>
          <w:p w14:paraId="61C8C915" w14:textId="77777777" w:rsidR="00BC6257" w:rsidRDefault="006567CF">
            <w:r>
              <w:t>Točka</w:t>
            </w:r>
          </w:p>
        </w:tc>
        <w:tc>
          <w:tcPr>
            <w:tcW w:w="850" w:type="dxa"/>
            <w:tcBorders>
              <w:bottom w:val="double" w:sz="4" w:space="0" w:color="auto"/>
            </w:tcBorders>
            <w:shd w:val="clear" w:color="auto" w:fill="808080"/>
          </w:tcPr>
          <w:p w14:paraId="61C8C916" w14:textId="77777777" w:rsidR="00BC6257" w:rsidRDefault="006567CF">
            <w:r>
              <w:t>Alinea</w:t>
            </w:r>
          </w:p>
        </w:tc>
      </w:tr>
      <w:tr w:rsidR="00BC6257" w14:paraId="61C8C921"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18" w14:textId="77777777" w:rsidR="00BC6257" w:rsidRDefault="006567CF">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19"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1A"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1B" w14:textId="77777777" w:rsidR="00BC6257" w:rsidRDefault="00BC625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1C" w14:textId="77777777" w:rsidR="00BC6257" w:rsidRDefault="006567CF">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1D" w14:textId="77777777" w:rsidR="00BC6257" w:rsidRDefault="00BC6257">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1E"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1F"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0" w14:textId="77777777" w:rsidR="00BC6257" w:rsidRDefault="00BC6257">
            <w:pPr>
              <w:jc w:val="center"/>
            </w:pPr>
          </w:p>
        </w:tc>
      </w:tr>
      <w:tr w:rsidR="00BC6257" w14:paraId="61C8C92B"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2" w14:textId="77777777" w:rsidR="00BC6257" w:rsidRDefault="006567CF">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3"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4"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5" w14:textId="77777777" w:rsidR="00BC6257" w:rsidRDefault="00BC625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6" w14:textId="77777777" w:rsidR="00BC6257" w:rsidRDefault="006567CF">
            <w:pPr>
              <w:jc w:val="center"/>
            </w:pPr>
            <w:r>
              <w:t>32024L2994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7" w14:textId="77777777" w:rsidR="00BC6257" w:rsidRDefault="006567CF">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8" w14:textId="77777777" w:rsidR="00BC6257" w:rsidRDefault="006567CF">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9"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A" w14:textId="77777777" w:rsidR="00BC6257" w:rsidRDefault="00BC6257">
            <w:pPr>
              <w:jc w:val="center"/>
            </w:pPr>
          </w:p>
        </w:tc>
      </w:tr>
      <w:tr w:rsidR="00BC6257" w14:paraId="61C8C935"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C" w14:textId="77777777" w:rsidR="00BC6257" w:rsidRDefault="006567CF">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D"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E"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2F" w14:textId="77777777" w:rsidR="00BC6257" w:rsidRDefault="00BC625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0" w14:textId="77777777" w:rsidR="00BC6257" w:rsidRDefault="006567CF">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1" w14:textId="77777777" w:rsidR="00BC6257" w:rsidRDefault="00BC6257">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2"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3"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4" w14:textId="77777777" w:rsidR="00BC6257" w:rsidRDefault="00BC6257">
            <w:pPr>
              <w:jc w:val="center"/>
            </w:pPr>
          </w:p>
        </w:tc>
      </w:tr>
      <w:tr w:rsidR="00BC6257" w14:paraId="61C8C93F"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6" w14:textId="77777777" w:rsidR="00BC6257" w:rsidRDefault="006567CF">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7"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8"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9" w14:textId="77777777" w:rsidR="00BC6257" w:rsidRDefault="00BC625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A" w14:textId="77777777" w:rsidR="00BC6257" w:rsidRDefault="006567CF">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B" w14:textId="77777777" w:rsidR="00BC6257" w:rsidRDefault="00BC6257">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C"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D"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3E" w14:textId="77777777" w:rsidR="00BC6257" w:rsidRDefault="00BC6257">
            <w:pPr>
              <w:jc w:val="center"/>
            </w:pPr>
          </w:p>
        </w:tc>
      </w:tr>
      <w:tr w:rsidR="00BC6257" w14:paraId="61C8C949"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0" w14:textId="77777777" w:rsidR="00BC6257" w:rsidRDefault="006567CF">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1"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2"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3" w14:textId="77777777" w:rsidR="00BC6257" w:rsidRDefault="00BC625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4" w14:textId="77777777" w:rsidR="00BC6257" w:rsidRDefault="006567CF">
            <w:pPr>
              <w:jc w:val="center"/>
            </w:pPr>
            <w:r>
              <w:t>32024L2994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5" w14:textId="77777777" w:rsidR="00BC6257" w:rsidRDefault="006567CF">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6" w14:textId="77777777" w:rsidR="00BC6257" w:rsidRDefault="006567CF">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7"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8" w14:textId="77777777" w:rsidR="00BC6257" w:rsidRDefault="00BC6257">
            <w:pPr>
              <w:jc w:val="center"/>
            </w:pPr>
          </w:p>
        </w:tc>
      </w:tr>
      <w:tr w:rsidR="00BC6257" w14:paraId="61C8C953"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A" w14:textId="77777777" w:rsidR="00BC6257" w:rsidRDefault="006567CF">
            <w:pPr>
              <w:jc w:val="center"/>
            </w:pPr>
            <w:r>
              <w:t>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B"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C"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D" w14:textId="77777777" w:rsidR="00BC6257" w:rsidRDefault="00BC625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E" w14:textId="77777777" w:rsidR="00BC6257" w:rsidRDefault="006567CF">
            <w:pPr>
              <w:jc w:val="center"/>
            </w:pPr>
            <w:r>
              <w:t>32024L2994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4F" w14:textId="77777777" w:rsidR="00BC6257" w:rsidRDefault="006567CF">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0" w14:textId="77777777" w:rsidR="00BC6257" w:rsidRDefault="006567CF">
            <w:pPr>
              <w:jc w:val="center"/>
            </w:pPr>
            <w: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1"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2" w14:textId="77777777" w:rsidR="00BC6257" w:rsidRDefault="00BC6257">
            <w:pPr>
              <w:jc w:val="center"/>
            </w:pPr>
          </w:p>
        </w:tc>
      </w:tr>
      <w:tr w:rsidR="00BC6257" w14:paraId="61C8C95D"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4" w14:textId="77777777" w:rsidR="00BC6257" w:rsidRDefault="006567CF">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5"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6"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7" w14:textId="77777777" w:rsidR="00BC6257" w:rsidRDefault="00BC625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8" w14:textId="77777777" w:rsidR="00BC6257" w:rsidRDefault="006567CF">
            <w:pPr>
              <w:jc w:val="center"/>
            </w:pPr>
            <w:r>
              <w:t>32024L2994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9" w14:textId="77777777" w:rsidR="00BC6257" w:rsidRDefault="006567CF">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A" w14:textId="77777777" w:rsidR="00BC6257" w:rsidRDefault="006567CF">
            <w:pPr>
              <w:jc w:val="center"/>
            </w:pPr>
            <w: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B"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C" w14:textId="77777777" w:rsidR="00BC6257" w:rsidRDefault="00BC6257">
            <w:pPr>
              <w:jc w:val="center"/>
            </w:pPr>
          </w:p>
        </w:tc>
      </w:tr>
      <w:tr w:rsidR="00BC6257" w14:paraId="61C8C967"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E" w14:textId="77777777" w:rsidR="00BC6257" w:rsidRDefault="006567CF">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5F"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0"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1" w14:textId="77777777" w:rsidR="00BC6257" w:rsidRDefault="00BC625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2" w14:textId="77777777" w:rsidR="00BC6257" w:rsidRDefault="006567CF">
            <w:pPr>
              <w:jc w:val="center"/>
            </w:pPr>
            <w:r>
              <w:t>32024L2994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3" w14:textId="77777777" w:rsidR="00BC6257" w:rsidRDefault="006567CF">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4" w14:textId="77777777" w:rsidR="00BC6257" w:rsidRDefault="006567CF">
            <w:pPr>
              <w:jc w:val="center"/>
            </w:pPr>
            <w: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5"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6" w14:textId="77777777" w:rsidR="00BC6257" w:rsidRDefault="00BC6257">
            <w:pPr>
              <w:jc w:val="center"/>
            </w:pPr>
          </w:p>
        </w:tc>
      </w:tr>
      <w:tr w:rsidR="00BC6257" w14:paraId="61C8C971"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8" w14:textId="77777777" w:rsidR="00BC6257" w:rsidRDefault="006567CF">
            <w:pPr>
              <w:jc w:val="center"/>
            </w:pPr>
            <w:r>
              <w:lastRenderedPageBreak/>
              <w:t>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9"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A"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B" w14:textId="77777777" w:rsidR="00BC6257" w:rsidRDefault="00BC625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C" w14:textId="77777777" w:rsidR="00BC6257" w:rsidRDefault="006567CF">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D" w14:textId="77777777" w:rsidR="00BC6257" w:rsidRDefault="00BC6257">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E"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6F"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70" w14:textId="77777777" w:rsidR="00BC6257" w:rsidRDefault="00BC6257">
            <w:pPr>
              <w:jc w:val="center"/>
            </w:pPr>
          </w:p>
        </w:tc>
      </w:tr>
      <w:tr w:rsidR="00BC6257" w14:paraId="61C8C97B"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72" w14:textId="77777777" w:rsidR="00BC6257" w:rsidRDefault="006567CF">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73"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74"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75" w14:textId="77777777" w:rsidR="00BC6257" w:rsidRDefault="00BC625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76" w14:textId="77777777" w:rsidR="00BC6257" w:rsidRDefault="006567CF">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77" w14:textId="77777777" w:rsidR="00BC6257" w:rsidRDefault="00BC6257">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78" w14:textId="77777777" w:rsidR="00BC6257" w:rsidRDefault="00BC625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79" w14:textId="77777777" w:rsidR="00BC6257" w:rsidRDefault="00BC625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8C97A" w14:textId="77777777" w:rsidR="00BC6257" w:rsidRDefault="00BC6257">
            <w:pPr>
              <w:jc w:val="center"/>
            </w:pPr>
          </w:p>
        </w:tc>
      </w:tr>
    </w:tbl>
    <w:p w14:paraId="61C8C97C" w14:textId="77777777" w:rsidR="00BC6257" w:rsidRDefault="00BC6257">
      <w:pPr>
        <w:spacing w:after="0"/>
        <w:rPr>
          <w:b/>
        </w:rPr>
      </w:pPr>
    </w:p>
    <w:p w14:paraId="61C8C97D" w14:textId="77777777" w:rsidR="00BC6257" w:rsidRDefault="00BC6257">
      <w:pPr>
        <w:spacing w:after="0" w:line="260" w:lineRule="auto"/>
        <w:rPr>
          <w:rFonts w:cs="Arial"/>
        </w:rPr>
      </w:pPr>
    </w:p>
    <w:p w14:paraId="61C8C97E" w14:textId="77777777" w:rsidR="00BC6257" w:rsidRDefault="006567CF">
      <w:pPr>
        <w:pStyle w:val="SrajckaNaslovZamik"/>
        <w:spacing w:line="260" w:lineRule="auto"/>
      </w:pPr>
      <w:r>
        <w:t>5.3</w:t>
      </w:r>
      <w:r>
        <w:tab/>
        <w:t>Prikaz ureditve v posameznih državah članicah Evropske unije</w:t>
      </w:r>
    </w:p>
    <w:p w14:paraId="61C8C97F" w14:textId="77777777" w:rsidR="00BC6257" w:rsidRDefault="00BC6257">
      <w:pPr>
        <w:spacing w:after="0" w:line="260" w:lineRule="auto"/>
        <w:rPr>
          <w:rFonts w:cs="Arial"/>
        </w:rPr>
      </w:pPr>
    </w:p>
    <w:p w14:paraId="61C8C980" w14:textId="77777777" w:rsidR="00BC6257" w:rsidRDefault="006567CF">
      <w:pPr>
        <w:spacing w:after="0" w:line="260" w:lineRule="auto"/>
      </w:pPr>
      <w:r>
        <w:t>Hrvaška</w:t>
      </w:r>
    </w:p>
    <w:p w14:paraId="61C8C981" w14:textId="77777777" w:rsidR="00BC6257" w:rsidRDefault="00BC6257">
      <w:pPr>
        <w:spacing w:after="0" w:line="260" w:lineRule="auto"/>
        <w:rPr>
          <w:rFonts w:cs="Arial"/>
        </w:rPr>
      </w:pPr>
    </w:p>
    <w:p w14:paraId="61C8C982" w14:textId="77777777" w:rsidR="00BC6257" w:rsidRDefault="006567CF">
      <w:pPr>
        <w:spacing w:after="0" w:line="240" w:lineRule="auto"/>
      </w:pPr>
      <w:r>
        <w:t>Republika Hrvaška je IFD prenesla z več zakoni, zlasti z Zakonom o sanaciji kreditnih institucij in investicijskih družb (Narodne novine, št. 146/2020) ter z Zakonom o trgu kapitala (Zakon o tržištu kapitala, Narodne novine, št. 65/18, s spremembami), ki ureja položaj investicijskih podjetij.</w:t>
      </w:r>
    </w:p>
    <w:p w14:paraId="61C8C983" w14:textId="77777777" w:rsidR="00BC6257" w:rsidRDefault="006567CF">
      <w:pPr>
        <w:spacing w:after="0" w:line="240" w:lineRule="auto"/>
      </w:pPr>
      <w:r>
        <w:t xml:space="preserve"> </w:t>
      </w:r>
    </w:p>
    <w:p w14:paraId="61C8C984" w14:textId="77777777" w:rsidR="00BC6257" w:rsidRDefault="006567CF">
      <w:pPr>
        <w:spacing w:after="0" w:line="240" w:lineRule="auto"/>
      </w:pPr>
      <w:r>
        <w:t>Glede prenosa Direktive 2024/2994/EU je Republika Hrvaška Evropski komisiji priglasila Zakon o spremembah in dopolnitvah Zakona o odprtih investicijskih skladih z javno ponudbo (Narodne novine, št. 13/2026) in Zakon o kreditnih institucijah (Narodne novine, št. 22/2026), ki prenašata del direktive, ki spreminja Direktivo 2009/65/ES in Direktivo 2013/36/EU. Prenos dela Direktive 2024/2994/EU, ki spreminja Direktivo 2019/2034/EU, se pričakuje s spremembo zakonodaje, ki ureja trg kapitala, v predpisanem roku.</w:t>
      </w:r>
    </w:p>
    <w:p w14:paraId="61C8C985" w14:textId="77777777" w:rsidR="00BC6257" w:rsidRDefault="00BC6257">
      <w:pPr>
        <w:spacing w:after="0" w:line="260" w:lineRule="auto"/>
        <w:rPr>
          <w:rFonts w:cs="Arial"/>
        </w:rPr>
      </w:pPr>
    </w:p>
    <w:p w14:paraId="61C8C986" w14:textId="77777777" w:rsidR="00BC6257" w:rsidRDefault="006567CF">
      <w:pPr>
        <w:spacing w:after="0" w:line="260" w:lineRule="auto"/>
      </w:pPr>
      <w:r>
        <w:t>Avstrija</w:t>
      </w:r>
    </w:p>
    <w:p w14:paraId="61C8C987" w14:textId="77777777" w:rsidR="00BC6257" w:rsidRDefault="00BC6257">
      <w:pPr>
        <w:spacing w:after="0" w:line="260" w:lineRule="auto"/>
        <w:rPr>
          <w:rFonts w:cs="Arial"/>
        </w:rPr>
      </w:pPr>
    </w:p>
    <w:p w14:paraId="61C8C988" w14:textId="77777777" w:rsidR="00BC6257" w:rsidRDefault="006567CF">
      <w:pPr>
        <w:spacing w:after="0" w:line="240" w:lineRule="auto"/>
      </w:pPr>
      <w:r>
        <w:t>Republika Avstrija je Direktivo 2019/2034/EU prenesla zlasti z zakonom o investicijskih podjetjih (Wertpapierfirmengesetz – WPFG), ki je bil uveljavljen z zbirnim zakonom (Bundesgesetzblatt I, št. 237/2022).</w:t>
      </w:r>
    </w:p>
    <w:p w14:paraId="61C8C989" w14:textId="77777777" w:rsidR="00BC6257" w:rsidRDefault="006567CF">
      <w:pPr>
        <w:spacing w:after="0" w:line="240" w:lineRule="auto"/>
      </w:pPr>
      <w:r>
        <w:t xml:space="preserve"> </w:t>
      </w:r>
    </w:p>
    <w:p w14:paraId="61C8C98A" w14:textId="77777777" w:rsidR="00BC6257" w:rsidRDefault="006567CF">
      <w:pPr>
        <w:spacing w:after="0" w:line="240" w:lineRule="auto"/>
      </w:pPr>
      <w:r>
        <w:t>Glede prenosa Direktive 2024/2994/EU je Republika Avstrija Evropski komisiji priglasila zbirni zakon (Bundesgesetzblatt I, št. 49/2025 z dne 24. julija 2025), ki med drugim spreminja Wertpapierfirmengesetz in s tem prenaša del direktive, ki spreminja Direktivo 2019/2034/EU.</w:t>
      </w:r>
    </w:p>
    <w:p w14:paraId="61C8C98B" w14:textId="77777777" w:rsidR="00BC6257" w:rsidRDefault="00BC6257">
      <w:pPr>
        <w:spacing w:after="0" w:line="260" w:lineRule="auto"/>
        <w:rPr>
          <w:rFonts w:cs="Arial"/>
        </w:rPr>
      </w:pPr>
    </w:p>
    <w:p w14:paraId="61C8C98C" w14:textId="77777777" w:rsidR="00BC6257" w:rsidRDefault="006567CF">
      <w:pPr>
        <w:spacing w:after="0" w:line="260" w:lineRule="auto"/>
      </w:pPr>
      <w:r>
        <w:t>Slovaška</w:t>
      </w:r>
    </w:p>
    <w:p w14:paraId="61C8C98D" w14:textId="77777777" w:rsidR="00BC6257" w:rsidRDefault="00BC6257">
      <w:pPr>
        <w:spacing w:after="0" w:line="260" w:lineRule="auto"/>
        <w:rPr>
          <w:rFonts w:cs="Arial"/>
        </w:rPr>
      </w:pPr>
    </w:p>
    <w:p w14:paraId="61C8C98E" w14:textId="77777777" w:rsidR="00BC6257" w:rsidRDefault="006567CF">
      <w:pPr>
        <w:spacing w:after="0" w:line="240" w:lineRule="auto"/>
      </w:pPr>
      <w:r>
        <w:t>Slovaška republika je Direktivo 2019/2034/EU prenesla z več zakoni, zlasti z zakonom o bankah (Zákon č. 483/2001 Z.z. o bankách), zakonom o vrednostnih papirjih in investicijskih storitvah (Zákon č. 566/2001 Z.z. o cenných papieroch a investičných službách) ter zakonom o borzi vrednostnih papirjev (Zákon č. 429/2002 Z.z. o burze cenných papierov).</w:t>
      </w:r>
    </w:p>
    <w:p w14:paraId="61C8C98F" w14:textId="77777777" w:rsidR="00BC6257" w:rsidRDefault="006567CF">
      <w:pPr>
        <w:spacing w:after="0" w:line="240" w:lineRule="auto"/>
      </w:pPr>
      <w:r>
        <w:t xml:space="preserve"> </w:t>
      </w:r>
    </w:p>
    <w:p w14:paraId="61C8C990" w14:textId="77777777" w:rsidR="00BC6257" w:rsidRDefault="006567CF">
      <w:pPr>
        <w:spacing w:after="0" w:line="240" w:lineRule="auto"/>
      </w:pPr>
      <w:r>
        <w:t>Glede prenosa Direktive 2024/2994/EU je Slovaška republika Evropski komisiji priglasila več ukrepov, med njimi Zákon č. 284/2025 Z.z., s katerim je bil spremenjen zakon o vrednostnih papirjih in investicijskih storitvah, ter Zákon č. 30/2026 Z.z., s katerim je bil spremenjen zakon o bankah, in s tem prenesla del direktive, ki spreminja Direktivo 2019/2034/EU.</w:t>
      </w:r>
    </w:p>
    <w:p w14:paraId="61C8C991" w14:textId="77777777" w:rsidR="00BC6257" w:rsidRDefault="00BC6257">
      <w:pPr>
        <w:spacing w:after="0" w:line="260" w:lineRule="auto"/>
        <w:rPr>
          <w:rFonts w:cs="Arial"/>
        </w:rPr>
      </w:pPr>
    </w:p>
    <w:p w14:paraId="61C8C992" w14:textId="77777777" w:rsidR="00BC6257" w:rsidRDefault="006567CF">
      <w:pPr>
        <w:pStyle w:val="Odebeljeno"/>
        <w:spacing w:line="260" w:lineRule="auto"/>
      </w:pPr>
      <w:r>
        <w:t>6.</w:t>
      </w:r>
      <w:r>
        <w:tab/>
        <w:t>Presoja posledic</w:t>
      </w:r>
    </w:p>
    <w:p w14:paraId="61C8C993" w14:textId="77777777" w:rsidR="00BC6257" w:rsidRDefault="006567CF">
      <w:pPr>
        <w:pStyle w:val="Odebeljeno"/>
        <w:spacing w:line="260" w:lineRule="auto"/>
      </w:pPr>
      <w:r>
        <w:t>6.1</w:t>
      </w:r>
      <w:r>
        <w:tab/>
        <w:t>Presoja administrativnih posledic</w:t>
      </w:r>
    </w:p>
    <w:p w14:paraId="61C8C994" w14:textId="77777777" w:rsidR="00BC6257" w:rsidRDefault="00BC6257">
      <w:pPr>
        <w:spacing w:after="0" w:line="260" w:lineRule="auto"/>
        <w:rPr>
          <w:rFonts w:cs="Arial"/>
        </w:rPr>
      </w:pPr>
    </w:p>
    <w:p w14:paraId="61C8C995" w14:textId="77777777" w:rsidR="00BC6257" w:rsidRDefault="006567CF">
      <w:pPr>
        <w:spacing w:after="0" w:line="260" w:lineRule="auto"/>
      </w:pPr>
      <w:r>
        <w:t>Predpis nima posledic na tem področju.</w:t>
      </w:r>
    </w:p>
    <w:p w14:paraId="61C8C996" w14:textId="77777777" w:rsidR="00BC6257" w:rsidRDefault="00BC6257">
      <w:pPr>
        <w:spacing w:after="0" w:line="260" w:lineRule="auto"/>
        <w:rPr>
          <w:rFonts w:cs="Arial"/>
        </w:rPr>
      </w:pPr>
    </w:p>
    <w:p w14:paraId="61C8C997" w14:textId="77777777" w:rsidR="00BC6257" w:rsidRDefault="006567CF">
      <w:pPr>
        <w:pStyle w:val="Odebeljeno"/>
        <w:spacing w:line="260" w:lineRule="auto"/>
      </w:pPr>
      <w:r>
        <w:lastRenderedPageBreak/>
        <w:t>6.2</w:t>
      </w:r>
      <w:r>
        <w:tab/>
        <w:t>Presoja posledic za okolje, vključno s prostorskimi in varstvenimi vidiki</w:t>
      </w:r>
    </w:p>
    <w:p w14:paraId="61C8C998" w14:textId="77777777" w:rsidR="00BC6257" w:rsidRDefault="00BC6257">
      <w:pPr>
        <w:spacing w:after="0" w:line="260" w:lineRule="auto"/>
        <w:rPr>
          <w:rFonts w:cs="Arial"/>
        </w:rPr>
      </w:pPr>
    </w:p>
    <w:p w14:paraId="61C8C999" w14:textId="77777777" w:rsidR="00BC6257" w:rsidRDefault="006567CF">
      <w:pPr>
        <w:spacing w:after="0" w:line="260" w:lineRule="auto"/>
      </w:pPr>
      <w:r>
        <w:t>Predpis nima posledic na tem področju.</w:t>
      </w:r>
    </w:p>
    <w:p w14:paraId="61C8C99A" w14:textId="77777777" w:rsidR="00BC6257" w:rsidRDefault="00BC6257">
      <w:pPr>
        <w:spacing w:after="0" w:line="260" w:lineRule="auto"/>
        <w:rPr>
          <w:rFonts w:cs="Arial"/>
        </w:rPr>
      </w:pPr>
    </w:p>
    <w:p w14:paraId="61C8C99B" w14:textId="77777777" w:rsidR="00BC6257" w:rsidRDefault="006567CF">
      <w:pPr>
        <w:pStyle w:val="Odebeljeno"/>
        <w:spacing w:line="260" w:lineRule="auto"/>
      </w:pPr>
      <w:r>
        <w:t>6.3</w:t>
      </w:r>
      <w:r>
        <w:tab/>
        <w:t>Presoja posledic za gospodarstvo</w:t>
      </w:r>
    </w:p>
    <w:p w14:paraId="61C8C99C" w14:textId="77777777" w:rsidR="00BC6257" w:rsidRDefault="00BC6257">
      <w:pPr>
        <w:spacing w:after="0" w:line="260" w:lineRule="auto"/>
        <w:rPr>
          <w:rFonts w:cs="Arial"/>
        </w:rPr>
      </w:pPr>
    </w:p>
    <w:p w14:paraId="61C8C99D" w14:textId="77777777" w:rsidR="00BC6257" w:rsidRDefault="006567CF">
      <w:pPr>
        <w:pStyle w:val="Odebeljeno"/>
        <w:spacing w:line="260" w:lineRule="auto"/>
        <w:ind w:left="360" w:hanging="360"/>
      </w:pPr>
      <w:r>
        <w:t>a)</w:t>
      </w:r>
      <w:r>
        <w:tab/>
        <w:t>Predpis ima učinek na fizične in pravne osebe, ki opravljajo dejavnost.</w:t>
      </w:r>
    </w:p>
    <w:p w14:paraId="61C8C99E" w14:textId="77777777" w:rsidR="00BC6257" w:rsidRDefault="00BC6257">
      <w:pPr>
        <w:spacing w:after="0" w:line="260" w:lineRule="auto"/>
        <w:rPr>
          <w:rFonts w:cs="Arial"/>
        </w:rPr>
      </w:pPr>
    </w:p>
    <w:p w14:paraId="61C8C99F" w14:textId="77777777" w:rsidR="00BC6257" w:rsidRDefault="006567CF">
      <w:pPr>
        <w:pStyle w:val="Odebeljeno"/>
        <w:spacing w:line="260" w:lineRule="auto"/>
        <w:ind w:left="720" w:hanging="360"/>
      </w:pPr>
      <w:r>
        <w:t>–</w:t>
      </w:r>
      <w:r>
        <w:tab/>
        <w:t>Predpis ima pozitiven učinek na pravno varnost.</w:t>
      </w:r>
    </w:p>
    <w:p w14:paraId="61C8C9A0" w14:textId="77777777" w:rsidR="00BC6257" w:rsidRDefault="00BC6257">
      <w:pPr>
        <w:spacing w:after="0" w:line="260" w:lineRule="auto"/>
        <w:rPr>
          <w:rFonts w:cs="Arial"/>
        </w:rPr>
      </w:pPr>
    </w:p>
    <w:p w14:paraId="61C8C9A1" w14:textId="77777777" w:rsidR="00BC6257" w:rsidRDefault="006567CF">
      <w:pPr>
        <w:spacing w:after="0" w:line="240" w:lineRule="auto"/>
        <w:ind w:left="720"/>
      </w:pPr>
      <w:r>
        <w:t>Predlog zakona ima omejen neposreden učinek na pravne osebe, ki opravljajo dejavnost, in sicer na borznoposredniške družbe, ki imajo dovoljenje za opravljanje investicijskih storitev in poslov v skladu z zakonom, ki ureja trg finančnih instrumentov. V Republiki Sloveniji je število teh subjektov majhno.</w:t>
      </w:r>
    </w:p>
    <w:p w14:paraId="61C8C9A2" w14:textId="77777777" w:rsidR="00BC6257" w:rsidRDefault="006567CF">
      <w:pPr>
        <w:spacing w:after="0" w:line="240" w:lineRule="auto"/>
      </w:pPr>
      <w:r>
        <w:br/>
      </w:r>
    </w:p>
    <w:p w14:paraId="61C8C9A3" w14:textId="77777777" w:rsidR="00BC6257" w:rsidRDefault="006567CF">
      <w:pPr>
        <w:spacing w:after="0" w:line="240" w:lineRule="auto"/>
        <w:ind w:left="720"/>
      </w:pPr>
      <w:r>
        <w:t>Predlog zakona od borznoposredniških družb zahteva, da v okviru obstoječih ureditev notranjega upravljanja in obvladovanja tveganj upoštevajo tudi tveganje koncentracije, ki izhaja iz izpostavljenosti do centralnih nasprotnih strank, ter da upravljalni organ pripravi konkretne načrte in merljive cilje za spremljanje in obravnavanje navedenega tveganja. Navedene zahteve izhajajo neposredno iz Direktive 2024/2994/EU in Uredbe 2024/2987/EU (EMIR 3) ter ne uvajajo dodatnih nacionalnih obveznosti.</w:t>
      </w:r>
    </w:p>
    <w:p w14:paraId="61C8C9A4" w14:textId="77777777" w:rsidR="00BC6257" w:rsidRDefault="006567CF">
      <w:pPr>
        <w:spacing w:after="0" w:line="240" w:lineRule="auto"/>
      </w:pPr>
      <w:r>
        <w:br/>
      </w:r>
    </w:p>
    <w:p w14:paraId="61C8C9A5" w14:textId="77777777" w:rsidR="00BC6257" w:rsidRDefault="006567CF">
      <w:pPr>
        <w:spacing w:after="0" w:line="240" w:lineRule="auto"/>
        <w:ind w:left="720"/>
      </w:pPr>
      <w:r>
        <w:t>Glede na to, da slovenske borznoposredniške družbe praviloma ne sodijo med največje udeležence na trgu centralnega kliringa v Uniji, se ocenjuje, da bodo dejanski učinki predloga zakona na njihovo poslovanje neznatni. Stroški prilagoditve bodo omejeni na vključitev tveganja koncentracije do centralnih nasprotnih strank v obstoječe procese upravljanja tveganj in notranjega poročanja. Glavni učinek predpisa bo povečana pravna varnost poslovanja borznoposredniških družb zaradi izboljšanega upravljanja s tveganjem koncentracije, ki izhaja iz izpostavljenosti do centralnih nasprotnih strank.</w:t>
      </w:r>
    </w:p>
    <w:p w14:paraId="61C8C9A6" w14:textId="77777777" w:rsidR="00BC6257" w:rsidRDefault="006567CF">
      <w:pPr>
        <w:spacing w:after="0" w:line="240" w:lineRule="auto"/>
      </w:pPr>
      <w:r>
        <w:br/>
      </w:r>
    </w:p>
    <w:p w14:paraId="61C8C9A7" w14:textId="77777777" w:rsidR="00BC6257" w:rsidRDefault="006567CF">
      <w:pPr>
        <w:spacing w:after="0" w:line="240" w:lineRule="auto"/>
        <w:ind w:left="720"/>
      </w:pPr>
      <w:r>
        <w:t>Uskladitev sklicevanj na ZBan-4 in navedb predpisov Evropske unije je tehnične narave in ne spreminja vsebine pravic ali obveznosti borznoposredniških družb ali drugih subjektov. Navedena uskladitev nima dodatnih učinkov na gospodarske subjekte.</w:t>
      </w:r>
    </w:p>
    <w:p w14:paraId="61C8C9A8" w14:textId="77777777" w:rsidR="00BC6257" w:rsidRDefault="006567CF">
      <w:pPr>
        <w:spacing w:after="0" w:line="240" w:lineRule="auto"/>
      </w:pPr>
      <w:r>
        <w:br/>
      </w:r>
    </w:p>
    <w:p w14:paraId="61C8C9A9" w14:textId="77777777" w:rsidR="00BC6257" w:rsidRDefault="006567CF">
      <w:pPr>
        <w:spacing w:after="0" w:line="240" w:lineRule="auto"/>
        <w:ind w:left="720"/>
      </w:pPr>
      <w:r>
        <w:t>Predlog zakona nima učinka na fizične osebe, ki opravljajo dejavnost.</w:t>
      </w:r>
    </w:p>
    <w:p w14:paraId="61C8C9AA" w14:textId="77777777" w:rsidR="00BC6257" w:rsidRDefault="00BC6257">
      <w:pPr>
        <w:spacing w:after="0" w:line="240" w:lineRule="auto"/>
        <w:ind w:left="720"/>
      </w:pPr>
    </w:p>
    <w:p w14:paraId="61C8C9AB" w14:textId="77777777" w:rsidR="00BC6257" w:rsidRDefault="006567CF">
      <w:pPr>
        <w:pStyle w:val="Odebeljeno"/>
        <w:spacing w:line="260" w:lineRule="auto"/>
      </w:pPr>
      <w:r>
        <w:t>6.4</w:t>
      </w:r>
      <w:r>
        <w:tab/>
        <w:t>Presoja posledic za socialno področje</w:t>
      </w:r>
    </w:p>
    <w:p w14:paraId="61C8C9AC" w14:textId="77777777" w:rsidR="00BC6257" w:rsidRDefault="00BC6257">
      <w:pPr>
        <w:spacing w:after="0" w:line="260" w:lineRule="auto"/>
        <w:rPr>
          <w:rFonts w:cs="Arial"/>
        </w:rPr>
      </w:pPr>
    </w:p>
    <w:p w14:paraId="61C8C9AD" w14:textId="77777777" w:rsidR="00BC6257" w:rsidRDefault="006567CF">
      <w:pPr>
        <w:spacing w:after="0" w:line="260" w:lineRule="auto"/>
      </w:pPr>
      <w:r>
        <w:t>Predpis nima posledic na tem področju.</w:t>
      </w:r>
    </w:p>
    <w:p w14:paraId="61C8C9AE" w14:textId="77777777" w:rsidR="00BC6257" w:rsidRDefault="00BC6257">
      <w:pPr>
        <w:spacing w:after="0" w:line="260" w:lineRule="auto"/>
        <w:rPr>
          <w:rFonts w:cs="Arial"/>
        </w:rPr>
      </w:pPr>
    </w:p>
    <w:p w14:paraId="61C8C9AF" w14:textId="77777777" w:rsidR="00BC6257" w:rsidRDefault="006567CF">
      <w:pPr>
        <w:pStyle w:val="Odebeljeno"/>
        <w:spacing w:line="260" w:lineRule="auto"/>
      </w:pPr>
      <w:r>
        <w:t>6.5</w:t>
      </w:r>
      <w:r>
        <w:tab/>
        <w:t>Presoja posledic za dokumente razvojnega načrtovanja</w:t>
      </w:r>
    </w:p>
    <w:p w14:paraId="61C8C9B0" w14:textId="77777777" w:rsidR="00BC6257" w:rsidRDefault="00BC6257">
      <w:pPr>
        <w:spacing w:after="0" w:line="260" w:lineRule="auto"/>
        <w:rPr>
          <w:rFonts w:cs="Arial"/>
        </w:rPr>
      </w:pPr>
    </w:p>
    <w:p w14:paraId="61C8C9B1" w14:textId="77777777" w:rsidR="00BC6257" w:rsidRDefault="006567CF">
      <w:pPr>
        <w:spacing w:after="0" w:line="260" w:lineRule="auto"/>
      </w:pPr>
      <w:r>
        <w:t>Predpis nima posledic na tem področju.</w:t>
      </w:r>
    </w:p>
    <w:p w14:paraId="61C8C9B2" w14:textId="77777777" w:rsidR="00BC6257" w:rsidRDefault="00BC6257">
      <w:pPr>
        <w:spacing w:after="0" w:line="260" w:lineRule="auto"/>
        <w:rPr>
          <w:rFonts w:cs="Arial"/>
        </w:rPr>
      </w:pPr>
    </w:p>
    <w:p w14:paraId="61C8C9B3" w14:textId="77777777" w:rsidR="00BC6257" w:rsidRDefault="006567CF">
      <w:pPr>
        <w:pStyle w:val="Odebeljeno"/>
        <w:spacing w:line="260" w:lineRule="auto"/>
      </w:pPr>
      <w:r>
        <w:t>6.6</w:t>
      </w:r>
      <w:r>
        <w:tab/>
        <w:t>Presoja posledic za druga področja</w:t>
      </w:r>
    </w:p>
    <w:p w14:paraId="61C8C9B4" w14:textId="77777777" w:rsidR="00BC6257" w:rsidRDefault="00BC6257">
      <w:pPr>
        <w:spacing w:after="0" w:line="260" w:lineRule="auto"/>
        <w:rPr>
          <w:rFonts w:cs="Arial"/>
        </w:rPr>
      </w:pPr>
    </w:p>
    <w:p w14:paraId="61C8C9B5" w14:textId="77777777" w:rsidR="00BC6257" w:rsidRDefault="006567CF">
      <w:pPr>
        <w:spacing w:after="0" w:line="260" w:lineRule="auto"/>
      </w:pPr>
      <w:r>
        <w:t>Predpis nima posledic na tem področju.</w:t>
      </w:r>
    </w:p>
    <w:p w14:paraId="61C8C9B6" w14:textId="77777777" w:rsidR="00BC6257" w:rsidRDefault="00BC6257">
      <w:pPr>
        <w:spacing w:after="0" w:line="260" w:lineRule="auto"/>
        <w:rPr>
          <w:rFonts w:cs="Arial"/>
        </w:rPr>
      </w:pPr>
    </w:p>
    <w:p w14:paraId="61C8C9B7" w14:textId="77777777" w:rsidR="00BC6257" w:rsidRDefault="006567CF">
      <w:pPr>
        <w:pStyle w:val="Odebeljeno"/>
        <w:spacing w:line="260" w:lineRule="auto"/>
      </w:pPr>
      <w:r>
        <w:t>6.7</w:t>
      </w:r>
      <w:r>
        <w:tab/>
        <w:t>Izvajanje sprejetega predpisa</w:t>
      </w:r>
    </w:p>
    <w:p w14:paraId="61C8C9B8" w14:textId="77777777" w:rsidR="00BC6257" w:rsidRDefault="00BC6257">
      <w:pPr>
        <w:spacing w:after="0" w:line="260" w:lineRule="auto"/>
        <w:rPr>
          <w:rFonts w:cs="Arial"/>
        </w:rPr>
      </w:pPr>
    </w:p>
    <w:p w14:paraId="61C8C9B9" w14:textId="77777777" w:rsidR="00BC6257" w:rsidRDefault="006567CF">
      <w:pPr>
        <w:spacing w:after="0" w:line="240" w:lineRule="auto"/>
        <w:jc w:val="left"/>
      </w:pPr>
      <w:r>
        <w:rPr>
          <w:b/>
        </w:rPr>
        <w:lastRenderedPageBreak/>
        <w:t>Predstavitev sprejetega predpisa</w:t>
      </w:r>
    </w:p>
    <w:p w14:paraId="61C8C9BA" w14:textId="77777777" w:rsidR="00BC6257" w:rsidRDefault="006567CF">
      <w:pPr>
        <w:spacing w:after="0" w:line="240" w:lineRule="auto"/>
      </w:pPr>
      <w:r>
        <w:t xml:space="preserve"> </w:t>
      </w:r>
    </w:p>
    <w:p w14:paraId="61C8C9BB" w14:textId="77777777" w:rsidR="00BC6257" w:rsidRDefault="006567CF">
      <w:pPr>
        <w:spacing w:after="0" w:line="240" w:lineRule="auto"/>
      </w:pPr>
      <w:r>
        <w:t>Predstavitev sprejetega predpisa ciljnim skupinam bo zagotovljena v okviru rednega nadzorniškega komuniciranja Agencije za trg vrednostnih papirjev (v nadaljnjem besedilu: agencija) z nadzorovanimi subjekti. Agencija bo borznoposredniške družbe v okviru rednih nadzorniških aktivnosti seznanila z novostmi, ki jih uvaja zakon. Glede na ozek krog naslovnikov in pretežno tehnično naravo predpisa posebni seminarji ali delavnice niso predvideni.</w:t>
      </w:r>
    </w:p>
    <w:p w14:paraId="61C8C9BC" w14:textId="77777777" w:rsidR="00BC6257" w:rsidRDefault="006567CF">
      <w:pPr>
        <w:spacing w:after="0" w:line="240" w:lineRule="auto"/>
      </w:pPr>
      <w:r>
        <w:t xml:space="preserve"> </w:t>
      </w:r>
    </w:p>
    <w:p w14:paraId="61C8C9BD" w14:textId="77777777" w:rsidR="00BC6257" w:rsidRDefault="006567CF">
      <w:pPr>
        <w:spacing w:after="0" w:line="240" w:lineRule="auto"/>
      </w:pPr>
      <w:r>
        <w:t>Posebne predstavitve širši javnosti (mediji, javne ali spletne predstavitve) glede na naravo predpisa, ki se nanaša na ozek krog subjektov, niso predvidene. Predpis bo objavljen v Uradnem listu Republike Slovenije in dostopen v Pravno-informacijskem sistemu Republike Slovenije.</w:t>
      </w:r>
    </w:p>
    <w:p w14:paraId="61C8C9BE" w14:textId="77777777" w:rsidR="00BC6257" w:rsidRDefault="006567CF">
      <w:pPr>
        <w:spacing w:after="0" w:line="240" w:lineRule="auto"/>
      </w:pPr>
      <w:r>
        <w:t xml:space="preserve"> </w:t>
      </w:r>
    </w:p>
    <w:p w14:paraId="61C8C9BF" w14:textId="77777777" w:rsidR="00BC6257" w:rsidRDefault="006567CF">
      <w:pPr>
        <w:spacing w:after="0" w:line="240" w:lineRule="auto"/>
        <w:jc w:val="left"/>
      </w:pPr>
      <w:r>
        <w:rPr>
          <w:b/>
        </w:rPr>
        <w:t>Spremljanje izvajanja sprejetega predpisa</w:t>
      </w:r>
    </w:p>
    <w:p w14:paraId="61C8C9C0" w14:textId="77777777" w:rsidR="00BC6257" w:rsidRDefault="006567CF">
      <w:pPr>
        <w:spacing w:after="0" w:line="240" w:lineRule="auto"/>
      </w:pPr>
      <w:r>
        <w:t xml:space="preserve"> </w:t>
      </w:r>
    </w:p>
    <w:p w14:paraId="61C8C9C1" w14:textId="77777777" w:rsidR="00BC6257" w:rsidRDefault="006567CF">
      <w:pPr>
        <w:spacing w:after="0" w:line="240" w:lineRule="auto"/>
      </w:pPr>
      <w:r>
        <w:t>Spremljanje izvajanja predpisa bo zagotovljeno v okviru rednega nadzora, ki ga nad borznoposredniškimi družbami izvaja agencija kot pristojni nadzorni organ. Agencija bo v okviru nadzorniškega pregledovanja in ovrednotenja spremljala prakse borznoposredniških družb pri upravljanju tveganja koncentracije, ki izhaja iz izpostavljenosti do centralnih nasprotnih strank, ter napredek pri prilagajanju njihovih poslovnih modelov. Vključevanje civilne družbe v spremljanje izvajanja glede na naravo predpisa ni predvideno.</w:t>
      </w:r>
    </w:p>
    <w:p w14:paraId="61C8C9C2" w14:textId="77777777" w:rsidR="00BC6257" w:rsidRDefault="006567CF">
      <w:pPr>
        <w:spacing w:after="0" w:line="240" w:lineRule="auto"/>
      </w:pPr>
      <w:r>
        <w:t xml:space="preserve"> </w:t>
      </w:r>
    </w:p>
    <w:p w14:paraId="61C8C9C3" w14:textId="77777777" w:rsidR="00BC6257" w:rsidRDefault="006567CF">
      <w:pPr>
        <w:spacing w:after="0" w:line="240" w:lineRule="auto"/>
      </w:pPr>
      <w:r>
        <w:t>Doseganje ciljev se bo ugotavljalo na podlagi meril, navedenih med kazalniki za spremljanje doseganja cilja, zlasti vključitve tveganja koncentracije do centralnih nasprotnih strank v ureditev notranjega upravljanja in obvladovanja tveganj borznoposredniških družb ter ugotovitev agencije pri spremljanju teh praks.</w:t>
      </w:r>
    </w:p>
    <w:p w14:paraId="61C8C9C4" w14:textId="77777777" w:rsidR="00BC6257" w:rsidRDefault="006567CF">
      <w:pPr>
        <w:spacing w:after="0" w:line="240" w:lineRule="auto"/>
      </w:pPr>
      <w:r>
        <w:t xml:space="preserve"> </w:t>
      </w:r>
    </w:p>
    <w:p w14:paraId="61C8C9C5" w14:textId="77777777" w:rsidR="00BC6257" w:rsidRDefault="006567CF">
      <w:pPr>
        <w:spacing w:after="0" w:line="240" w:lineRule="auto"/>
      </w:pPr>
      <w:r>
        <w:t>Glede na pretežno tehnično naravo predpisa in ozek krog naslovnikov poseben časovni okvir in posebni roki za pripravo ločenih poročil o izvajanju zakona niso določeni; spremljanje poteka v okviru rednih nadzorniških in poročevalskih aktivnosti agencije.</w:t>
      </w:r>
    </w:p>
    <w:p w14:paraId="61C8C9C6" w14:textId="77777777" w:rsidR="00BC6257" w:rsidRDefault="00BC6257">
      <w:pPr>
        <w:spacing w:after="0" w:line="260" w:lineRule="auto"/>
        <w:rPr>
          <w:rFonts w:cs="Arial"/>
        </w:rPr>
      </w:pPr>
    </w:p>
    <w:p w14:paraId="61C8C9C7" w14:textId="77777777" w:rsidR="00BC6257" w:rsidRDefault="006567CF">
      <w:pPr>
        <w:pStyle w:val="Odebeljeno"/>
        <w:spacing w:line="260" w:lineRule="auto"/>
      </w:pPr>
      <w:r>
        <w:t>7.</w:t>
      </w:r>
      <w:r>
        <w:tab/>
        <w:t>Prikaz sodelovanja javnosti</w:t>
      </w:r>
    </w:p>
    <w:p w14:paraId="61C8C9C8" w14:textId="77777777" w:rsidR="00BC6257" w:rsidRDefault="00BC6257">
      <w:pPr>
        <w:spacing w:after="0" w:line="260" w:lineRule="auto"/>
        <w:rPr>
          <w:rFonts w:cs="Arial"/>
        </w:rPr>
      </w:pPr>
    </w:p>
    <w:p w14:paraId="61C8C9C9" w14:textId="77777777" w:rsidR="00BC6257" w:rsidRDefault="006567CF">
      <w:pPr>
        <w:spacing w:after="0" w:line="260" w:lineRule="auto"/>
      </w:pPr>
      <w:r>
        <w:t>Gradivo je bilo predmet sodelovanja z javnostjo.</w:t>
      </w:r>
    </w:p>
    <w:p w14:paraId="61C8C9CA" w14:textId="77777777" w:rsidR="00BC6257" w:rsidRDefault="00BC6257">
      <w:pPr>
        <w:spacing w:after="0" w:line="260" w:lineRule="auto"/>
        <w:rPr>
          <w:rFonts w:cs="Arial"/>
        </w:rPr>
      </w:pPr>
    </w:p>
    <w:p w14:paraId="61C8C9CB" w14:textId="77777777" w:rsidR="00BC6257" w:rsidRDefault="006567CF">
      <w:pPr>
        <w:spacing w:after="0" w:line="260" w:lineRule="auto"/>
      </w:pPr>
      <w:r>
        <w:t>Datum objave na portalu eDemokracija:</w:t>
      </w:r>
    </w:p>
    <w:p w14:paraId="61C8C9CC" w14:textId="77777777" w:rsidR="00BC6257" w:rsidRDefault="006567CF">
      <w:pPr>
        <w:spacing w:after="0" w:line="260" w:lineRule="auto"/>
      </w:pPr>
      <w:r>
        <w:t>3. 4. 2026</w:t>
      </w:r>
    </w:p>
    <w:p w14:paraId="61C8C9CD" w14:textId="77777777" w:rsidR="00BC6257" w:rsidRDefault="00BC6257">
      <w:pPr>
        <w:spacing w:after="0" w:line="260" w:lineRule="auto"/>
        <w:rPr>
          <w:rFonts w:cs="Arial"/>
        </w:rPr>
      </w:pPr>
    </w:p>
    <w:p w14:paraId="61C8C9CE" w14:textId="77777777" w:rsidR="00BC6257" w:rsidRDefault="006567CF">
      <w:pPr>
        <w:spacing w:after="0" w:line="260" w:lineRule="auto"/>
      </w:pPr>
      <w:r>
        <w:t>Na gradivo so bila podana mnenja, predlogi in pripombe.</w:t>
      </w:r>
    </w:p>
    <w:p w14:paraId="61C8C9CF" w14:textId="77777777" w:rsidR="00BC6257" w:rsidRDefault="00BC6257">
      <w:pPr>
        <w:spacing w:after="0" w:line="260" w:lineRule="auto"/>
        <w:rPr>
          <w:rFonts w:cs="Arial"/>
        </w:rPr>
      </w:pPr>
    </w:p>
    <w:p w14:paraId="61C8C9D0" w14:textId="77777777" w:rsidR="00BC6257" w:rsidRDefault="006567CF">
      <w:pPr>
        <w:spacing w:after="0" w:line="260" w:lineRule="auto"/>
      </w:pPr>
      <w:r>
        <w:t>V razpravo vključeni subjekti:</w:t>
      </w:r>
    </w:p>
    <w:p w14:paraId="61C8C9D1" w14:textId="77777777" w:rsidR="00BC6257" w:rsidRDefault="006567CF">
      <w:pPr>
        <w:spacing w:after="0" w:line="240" w:lineRule="auto"/>
      </w:pPr>
      <w:r>
        <w:t>Agencija za trg vrednostnih papirjev</w:t>
      </w:r>
    </w:p>
    <w:p w14:paraId="61C8C9D2" w14:textId="77777777" w:rsidR="00BC6257" w:rsidRDefault="00BC6257">
      <w:pPr>
        <w:spacing w:after="0" w:line="260" w:lineRule="auto"/>
        <w:rPr>
          <w:rFonts w:cs="Arial"/>
        </w:rPr>
      </w:pPr>
    </w:p>
    <w:p w14:paraId="61C8C9D3" w14:textId="77777777" w:rsidR="00BC6257" w:rsidRDefault="006567CF">
      <w:pPr>
        <w:spacing w:after="0" w:line="260" w:lineRule="auto"/>
      </w:pPr>
      <w:r>
        <w:t>Obrazložitev upoštevanja mnenj, predlogov in pripomb v razpravo vključenih subjektov:</w:t>
      </w:r>
    </w:p>
    <w:p w14:paraId="61C8C9D4" w14:textId="77777777" w:rsidR="00BC6257" w:rsidRDefault="006567CF">
      <w:pPr>
        <w:spacing w:after="0" w:line="240" w:lineRule="auto"/>
      </w:pPr>
      <w:r>
        <w:t>Agencija je podala sedem pisnih pripomb nomotehnične in oblikovne narave, ki so se nanašale na umik nerelevantnega besedila o podelitvi koncesije v uvodnem delu, prilagoditev navedbe glede spremljanja izvajanja zakona, poenotenje navajanja strukturnih enot pravnih aktov Evropske unije s slovensko nomotehnično prakso, natančnejše sklicevanje na posamezne odstavke členov, umik podvojene določbe o prenosu direktive ter dopolnitev korelacijske tabele, poleg tega pa je ustno predlagala posodobitev sklicevanj zakona na novi ZBan-4. Vse pripombe so bile vključene v predlog zakona. Vsebinskih pripomb k predlaganim rešitvam agencija ni imela.</w:t>
      </w:r>
    </w:p>
    <w:p w14:paraId="61C8C9D5" w14:textId="77777777" w:rsidR="00BC6257" w:rsidRDefault="00BC6257">
      <w:pPr>
        <w:spacing w:after="0" w:line="260" w:lineRule="auto"/>
        <w:rPr>
          <w:rFonts w:cs="Arial"/>
        </w:rPr>
      </w:pPr>
    </w:p>
    <w:p w14:paraId="61C8C9D6" w14:textId="77777777" w:rsidR="00BC6257" w:rsidRDefault="006567CF">
      <w:pPr>
        <w:spacing w:after="0" w:line="260" w:lineRule="auto"/>
      </w:pPr>
      <w:r>
        <w:t>Poročilo o sodelovanju z javnostjo:</w:t>
      </w:r>
    </w:p>
    <w:p w14:paraId="61C8C9D7" w14:textId="77777777" w:rsidR="00BC6257" w:rsidRDefault="006567CF">
      <w:pPr>
        <w:spacing w:after="0" w:line="240" w:lineRule="auto"/>
      </w:pPr>
      <w:r>
        <w:t xml:space="preserve">Predlog zakona je bil dne 3. aprila 2026 objavljen na portalu e-Demokracija v javno obravnavo, ki je trajala do 17. aprila 2026. V okviru javne obravnave je bila prejeta ena pripomba fizične osebe. Komentator je podal splošno pozitivno oceno predloga zakona ter predlagal vrsto vsebinskih dopolnitev, zlasti dodajanje novih definicij, razširitev nadzorniških pooblastil agencije, dodatne zahteve za poročanje, obsežne </w:t>
      </w:r>
      <w:r>
        <w:lastRenderedPageBreak/>
        <w:t>prehodne določbe za obstoječe izpostavljenosti do centralnih nasprotnih strank ter pooblastilo za izdajo podzakonskega akta. Pripombe niso bile upoštevane, saj predlagane dopolnitve presegajo zahteve Direktive 2024/2994/EU in bi pomenile nesorazmerno povečanje regulativnega bremena brez podlage v pravu Evropske unije. Predlog zakona dosledno sledi načelu sorazmernosti in prenaša le tisto, kar direktiva zahteva. Javnost ni vplivala na rešitve v predlogu predpisa.</w:t>
      </w:r>
    </w:p>
    <w:p w14:paraId="61C8C9D8" w14:textId="77777777" w:rsidR="00BC6257" w:rsidRDefault="00BC6257">
      <w:pPr>
        <w:spacing w:after="0" w:line="260" w:lineRule="auto"/>
        <w:rPr>
          <w:rFonts w:cs="Arial"/>
        </w:rPr>
      </w:pPr>
    </w:p>
    <w:p w14:paraId="61C8C9D9" w14:textId="77777777" w:rsidR="00BC6257" w:rsidRDefault="006567CF">
      <w:pPr>
        <w:pStyle w:val="Odebeljeno"/>
        <w:spacing w:line="260" w:lineRule="auto"/>
      </w:pPr>
      <w:r>
        <w:t>8.</w:t>
      </w:r>
      <w:r>
        <w:tab/>
        <w:t>Zunanji strokovnjak oziroma pravna oseba, ki je sodelovala pri pripravi predloga zakona</w:t>
      </w:r>
    </w:p>
    <w:p w14:paraId="61C8C9DA" w14:textId="77777777" w:rsidR="00BC6257" w:rsidRDefault="00BC6257">
      <w:pPr>
        <w:spacing w:after="0" w:line="260" w:lineRule="auto"/>
        <w:rPr>
          <w:rFonts w:cs="Arial"/>
        </w:rPr>
      </w:pPr>
    </w:p>
    <w:p w14:paraId="61C8C9DB" w14:textId="77777777" w:rsidR="00BC6257" w:rsidRDefault="006567CF">
      <w:pPr>
        <w:spacing w:after="0" w:line="240" w:lineRule="auto"/>
      </w:pPr>
      <w:r>
        <w:t>Pri pripravi predpisa ni sodeloval zunanji strokovnjak oziroma pravna oseba.</w:t>
      </w:r>
    </w:p>
    <w:p w14:paraId="61C8C9DC" w14:textId="77777777" w:rsidR="00BC6257" w:rsidRDefault="00BC6257">
      <w:pPr>
        <w:spacing w:after="0" w:line="260" w:lineRule="auto"/>
        <w:rPr>
          <w:rFonts w:cs="Arial"/>
        </w:rPr>
      </w:pPr>
    </w:p>
    <w:p w14:paraId="61C8C9DD" w14:textId="77777777" w:rsidR="00BC6257" w:rsidRDefault="006567CF">
      <w:pPr>
        <w:pStyle w:val="Odebeljeno"/>
        <w:spacing w:line="260" w:lineRule="auto"/>
      </w:pPr>
      <w:r>
        <w:t>9.</w:t>
      </w:r>
      <w:r>
        <w:tab/>
        <w:t>Navedba, kateri predstavniki predlagatelja bodo sodelovali pri delu državnega zbora in delovnih teles</w:t>
      </w:r>
    </w:p>
    <w:p w14:paraId="61C8C9DE" w14:textId="77777777" w:rsidR="00BC6257" w:rsidRDefault="00BC6257">
      <w:pPr>
        <w:spacing w:after="0" w:line="260" w:lineRule="auto"/>
        <w:rPr>
          <w:rFonts w:cs="Arial"/>
        </w:rPr>
      </w:pPr>
    </w:p>
    <w:p w14:paraId="61C8C9DF" w14:textId="77777777" w:rsidR="00BC6257" w:rsidRDefault="006567CF">
      <w:pPr>
        <w:spacing w:after="0" w:line="240" w:lineRule="auto"/>
        <w:ind w:left="454"/>
      </w:pPr>
      <w:r>
        <w:t>- mag. Andrej Šircelj, minister za finance</w:t>
      </w:r>
    </w:p>
    <w:p w14:paraId="61C8C9E0" w14:textId="77777777" w:rsidR="00BC6257" w:rsidRDefault="006567CF">
      <w:pPr>
        <w:spacing w:after="0" w:line="240" w:lineRule="auto"/>
        <w:ind w:left="454"/>
      </w:pPr>
      <w:r>
        <w:t>- mag. Maja Hostnik Kališek, državna sekretarka</w:t>
      </w:r>
    </w:p>
    <w:p w14:paraId="61C8C9E1" w14:textId="77777777" w:rsidR="00BC6257" w:rsidRDefault="006567CF">
      <w:pPr>
        <w:spacing w:after="0" w:line="240" w:lineRule="auto"/>
        <w:ind w:left="454"/>
      </w:pPr>
      <w:r>
        <w:t>- Peter Papež, državni sekretar</w:t>
      </w:r>
    </w:p>
    <w:p w14:paraId="61C8C9E2" w14:textId="77777777" w:rsidR="00BC6257" w:rsidRDefault="006567CF">
      <w:pPr>
        <w:spacing w:after="0" w:line="240" w:lineRule="auto"/>
        <w:ind w:left="454"/>
      </w:pPr>
      <w:r>
        <w:t>- mag. Kristina Šteblaj, državna sekretarka</w:t>
      </w:r>
    </w:p>
    <w:p w14:paraId="61C8C9E3" w14:textId="77777777" w:rsidR="00BC6257" w:rsidRDefault="006567CF">
      <w:pPr>
        <w:spacing w:after="0" w:line="240" w:lineRule="auto"/>
        <w:ind w:left="454"/>
      </w:pPr>
      <w:r>
        <w:t>- Urška Cvelbar, generalna direktorica Direktorata za finančni sistem</w:t>
      </w:r>
    </w:p>
    <w:p w14:paraId="61C8C9E4" w14:textId="77777777" w:rsidR="00BC6257" w:rsidRDefault="006567CF">
      <w:pPr>
        <w:spacing w:after="0" w:line="240" w:lineRule="auto"/>
        <w:ind w:left="454"/>
      </w:pPr>
      <w:r>
        <w:t>- Natalija Stošicki, vodja Sektorja za zavarovalništvo in trg kapitala, Direktorat za finančni sistem,</w:t>
      </w:r>
    </w:p>
    <w:p w14:paraId="61C8C9E5" w14:textId="77777777" w:rsidR="00BC6257" w:rsidRDefault="006567CF">
      <w:pPr>
        <w:spacing w:after="0" w:line="240" w:lineRule="auto"/>
        <w:ind w:left="454"/>
      </w:pPr>
      <w:r>
        <w:t>- Marko Rant, sekretar, Sektor za zavarovalništvo in trg kapitala, Direktorat za finančni sistem.</w:t>
      </w:r>
    </w:p>
    <w:p w14:paraId="61C8C9E6" w14:textId="77777777" w:rsidR="00BC6257" w:rsidRDefault="006567CF">
      <w:pPr>
        <w:spacing w:after="0" w:line="240" w:lineRule="auto"/>
      </w:pPr>
      <w:r>
        <w:t xml:space="preserve"> </w:t>
      </w:r>
    </w:p>
    <w:p w14:paraId="61C8C9E7" w14:textId="77777777" w:rsidR="00BC6257" w:rsidRDefault="006567CF">
      <w:r>
        <w:br w:type="page"/>
      </w:r>
    </w:p>
    <w:p w14:paraId="61C8C9E8" w14:textId="77777777" w:rsidR="00BC6257" w:rsidRDefault="006567CF">
      <w:pPr>
        <w:pStyle w:val="Odebeljeno"/>
        <w:spacing w:line="260" w:lineRule="auto"/>
      </w:pPr>
      <w:r>
        <w:lastRenderedPageBreak/>
        <w:t>II.</w:t>
      </w:r>
      <w:r>
        <w:tab/>
        <w:t>BESEDILO ČLENOV</w:t>
      </w:r>
    </w:p>
    <w:p w14:paraId="61C8C9E9" w14:textId="77777777" w:rsidR="00BC6257" w:rsidRDefault="00BC6257">
      <w:pPr>
        <w:spacing w:after="0" w:line="260" w:lineRule="auto"/>
        <w:rPr>
          <w:rFonts w:cs="Arial"/>
        </w:rPr>
      </w:pPr>
    </w:p>
    <w:p w14:paraId="61C8C9EA" w14:textId="77777777" w:rsidR="00BC6257" w:rsidRDefault="006567CF">
      <w:pPr>
        <w:pStyle w:val="Naslov1"/>
        <w:spacing w:line="260" w:lineRule="auto"/>
      </w:pPr>
      <w:r>
        <w:t>Zakon o spremembah in dopolnitvah Zakona o bonitetnem nadzoru investicijskih podjetij</w:t>
      </w:r>
    </w:p>
    <w:p w14:paraId="61C8C9EB" w14:textId="77777777" w:rsidR="00BC6257" w:rsidRDefault="006567CF">
      <w:pPr>
        <w:pStyle w:val="len"/>
        <w:spacing w:line="260" w:lineRule="auto"/>
      </w:pPr>
      <w:r>
        <w:t>1. člen</w:t>
      </w:r>
    </w:p>
    <w:p w14:paraId="61C8C9EC" w14:textId="77777777" w:rsidR="00BC6257" w:rsidRDefault="00BC6257">
      <w:pPr>
        <w:spacing w:after="0" w:line="260" w:lineRule="auto"/>
        <w:rPr>
          <w:rFonts w:cs="Arial"/>
        </w:rPr>
      </w:pPr>
    </w:p>
    <w:p w14:paraId="61C8C9ED" w14:textId="77777777" w:rsidR="00BC6257" w:rsidRDefault="006567CF">
      <w:pPr>
        <w:spacing w:after="0" w:line="260" w:lineRule="auto"/>
      </w:pPr>
      <w:r>
        <w:tab/>
        <w:t>V Zakonu o bonitetnem nadzoru investicijskih podjetij (Uradni list RS, št. 123/21 in 10/26 – ZdZEETD) se v 3. členu prvi odstavek spremeni tako, da se glasi:</w:t>
      </w:r>
    </w:p>
    <w:p w14:paraId="61C8C9EE" w14:textId="77777777" w:rsidR="00BC6257" w:rsidRDefault="00BC6257">
      <w:pPr>
        <w:spacing w:after="0" w:line="260" w:lineRule="auto"/>
        <w:rPr>
          <w:rFonts w:cs="Arial"/>
        </w:rPr>
      </w:pPr>
    </w:p>
    <w:p w14:paraId="61C8C9EF" w14:textId="77777777" w:rsidR="00BC6257" w:rsidRDefault="00BC6257">
      <w:pPr>
        <w:spacing w:after="0" w:line="260" w:lineRule="auto"/>
        <w:rPr>
          <w:rFonts w:cs="Arial"/>
        </w:rPr>
      </w:pPr>
    </w:p>
    <w:p w14:paraId="61C8C9F0" w14:textId="77777777" w:rsidR="00BC6257" w:rsidRDefault="006567CF">
      <w:pPr>
        <w:spacing w:after="0" w:line="240" w:lineRule="auto"/>
        <w:jc w:val="left"/>
      </w:pPr>
      <w:r>
        <w:tab/>
        <w:t>»(1) S tem zakonom se v pravni red Republike Slovenije prenaša Direktiva (EU) 2019/2034 Evropskega parlamenta in Sveta z dne 27. novembra 2019 o bonitetnem nadzoru investicijskih podjetij ter o spremembi direktiv 2002/87/ES, 2009/65/ES, 2011/61/EU, 2013/36/EU, 2014/59/EU in 2014/65/EU (UL L št. 314 z dne 5. 12. 2019, str. 64), zadnjič spremenjena z Direktivo (EU) 2024/2994 Evropskega parlamenta in Sveta z dne 27. novembra 2024 o spremembi direktiv 2009/65/ES, 2013/36/EU in (EU) 2019/2034 glede obravnave tveganja koncentracije, ki izhaja iz izpostavljenosti do centralnih nasprotnih strank, in tveganja nasprotne stranke pri poslih z izvedenimi finančnimi instrumenti s centralnim kliringom (UL L št. 2024/2994 z dne 4. 12. 2024), (v nadaljnjem besedilu: Direktiva 2019/2034/EU).«.</w:t>
      </w:r>
    </w:p>
    <w:p w14:paraId="61C8C9F1" w14:textId="77777777" w:rsidR="00BC6257" w:rsidRDefault="00BC6257">
      <w:pPr>
        <w:spacing w:after="0" w:line="260" w:lineRule="auto"/>
      </w:pPr>
    </w:p>
    <w:p w14:paraId="61C8C9F2" w14:textId="77777777" w:rsidR="00BC6257" w:rsidRDefault="006567CF">
      <w:pPr>
        <w:pStyle w:val="len"/>
        <w:spacing w:line="260" w:lineRule="auto"/>
      </w:pPr>
      <w:r>
        <w:t>2. člen</w:t>
      </w:r>
    </w:p>
    <w:p w14:paraId="61C8C9F3" w14:textId="77777777" w:rsidR="00BC6257" w:rsidRDefault="00BC6257">
      <w:pPr>
        <w:spacing w:after="0" w:line="260" w:lineRule="auto"/>
        <w:rPr>
          <w:rFonts w:cs="Arial"/>
        </w:rPr>
      </w:pPr>
    </w:p>
    <w:p w14:paraId="61C8C9F4" w14:textId="77777777" w:rsidR="00BC6257" w:rsidRDefault="006567CF">
      <w:pPr>
        <w:spacing w:after="0" w:line="240" w:lineRule="auto"/>
        <w:jc w:val="left"/>
      </w:pPr>
      <w:r>
        <w:tab/>
        <w:t>V 4. členu se v 6. točki besedilo »zadnjič spremenjene z Delegirano uredba Komisije (EU) 2021/931 z dne 1. marca 2021 o dopolnitvi Uredbe (EU) št. 575/2013 Evropskega parlamenta in Sveta v zvezi z regulativnimi tehničnimi standardi, ki določajo metodo za opredelitev poslov z izvedenimi finančnimi instrumenti z enim ali več pomembnimi povzročitelji tveganja za namene člena 277(5), formulo za izračun nadzorniške delte nakupnih in prodajnih opcij, razporejenih v kategorijo obrestnega tveganja, in metodo za določanje, ali je posel dolga ali kratka pozicija v primarnem povzročitelju tveganja ali v najpomembnejšem povzročitelju tveganja v dani kategoriji tveganja za namene člena 279a(3)(a) in (b) v okviru standardiziranega pristopa za kreditno tveganje nasprotne stranke (UL L št. 204 z dne 10. 6. 2021, str. 7)« nadomesti z besedilom »zadnjič spremenjene z Delegirano uredbo Komisije (EU) 2025/1496 z dne 12. junija 2025 o spremembi Uredbe (EU) št. 575/2013 Evropskega parlamenta in Sveta v zvezi z datumom začetka uporabe kapitalskih zahtev za tržno tveganje (UL L št. 2025/1496 z dne 19. 9. 2025)«.</w:t>
      </w:r>
    </w:p>
    <w:p w14:paraId="61C8C9F5" w14:textId="77777777" w:rsidR="00BC6257" w:rsidRDefault="00BC6257">
      <w:pPr>
        <w:spacing w:after="0" w:line="260" w:lineRule="auto"/>
      </w:pPr>
    </w:p>
    <w:p w14:paraId="61C8C9F6" w14:textId="77777777" w:rsidR="00BC6257" w:rsidRDefault="00BC6257">
      <w:pPr>
        <w:spacing w:after="0" w:line="260" w:lineRule="auto"/>
        <w:rPr>
          <w:rFonts w:cs="Arial"/>
        </w:rPr>
      </w:pPr>
    </w:p>
    <w:p w14:paraId="61C8C9F7" w14:textId="77777777" w:rsidR="00BC6257" w:rsidRDefault="006567CF">
      <w:pPr>
        <w:spacing w:after="0" w:line="260" w:lineRule="auto"/>
      </w:pPr>
      <w:r>
        <w:tab/>
        <w:t>V 9. točki se besedilo »4. členu Zakona o bančništvu (Uradni list RS, št. 92/21; v nadaljnjem besedilu: ZBan-3)« nadomesti z besedilom »4. členu Zakona o bančništvu (Uradni list RS, št. 15/26; v nadaljnjem besedilu: ZBan-4)«.</w:t>
      </w:r>
    </w:p>
    <w:p w14:paraId="61C8C9F8" w14:textId="77777777" w:rsidR="00BC6257" w:rsidRDefault="00BC6257">
      <w:pPr>
        <w:spacing w:after="0" w:line="260" w:lineRule="auto"/>
        <w:rPr>
          <w:rFonts w:cs="Arial"/>
        </w:rPr>
      </w:pPr>
    </w:p>
    <w:p w14:paraId="61C8C9F9" w14:textId="77777777" w:rsidR="00BC6257" w:rsidRDefault="006567CF">
      <w:pPr>
        <w:spacing w:after="0" w:line="240" w:lineRule="auto"/>
        <w:jc w:val="left"/>
      </w:pPr>
      <w:r>
        <w:tab/>
        <w:t>V 10. točki se besedilo »zadnjič spremenjene z Uredbo (EU) 2021/23 Evropskega parlamenta in Sveta z dne 16. decembra 2020 o okviru za sanacijo in reševanje centralnih nasprotnih strank ter spremembi uredb (EU) št. 1095/2010, (EU) št. 648/2012, (EU) št. 600/2014, (EU) št. 806/2014 in (EU) 2015/2365 ter direktiv 2002/47/ES, 2004/25/ES, 2007/36/ES, 2014/59/EU in (EU) 2017/1132 (UL L št. 22 z dne 22. 1. 2021, str. 1)« nadomesti z besedilom »zadnjič spremenjene z Uredbo (EU) 2024/2809 Evropskega parlamenta in Sveta z dne 23. oktobra 2024 o spremembi uredb (EU) 2017/1129, (EU) št. 596/2014 in (EU) št. 600/2014 za povečanje privlačnosti javnih kapitalskih trgov v Uniji za podjetja in za olajšanje dostopa do kapitala za mala in srednja podjetja (UL L št. 2024/2809 z dne 14. 11. 2024)«.</w:t>
      </w:r>
    </w:p>
    <w:p w14:paraId="61C8C9FA" w14:textId="77777777" w:rsidR="00BC6257" w:rsidRDefault="00BC6257">
      <w:pPr>
        <w:spacing w:after="0" w:line="260" w:lineRule="auto"/>
      </w:pPr>
    </w:p>
    <w:p w14:paraId="61C8C9FB" w14:textId="77777777" w:rsidR="00BC6257" w:rsidRDefault="00BC6257">
      <w:pPr>
        <w:spacing w:after="0" w:line="260" w:lineRule="auto"/>
        <w:rPr>
          <w:rFonts w:cs="Arial"/>
        </w:rPr>
      </w:pPr>
    </w:p>
    <w:p w14:paraId="61C8C9FC" w14:textId="77777777" w:rsidR="00BC6257" w:rsidRDefault="006567CF">
      <w:pPr>
        <w:spacing w:after="0" w:line="260" w:lineRule="auto"/>
      </w:pPr>
      <w:r>
        <w:tab/>
        <w:t>V 12. točki se besedilo »24. točki prvega odstavka 7. člena ZBan-3« nadomesti z besedilom »27. točki prvega odstavka 7. člena ZBan-4«.</w:t>
      </w:r>
    </w:p>
    <w:p w14:paraId="61C8C9FD" w14:textId="77777777" w:rsidR="00BC6257" w:rsidRDefault="00BC6257">
      <w:pPr>
        <w:spacing w:after="0" w:line="260" w:lineRule="auto"/>
        <w:rPr>
          <w:rFonts w:cs="Arial"/>
        </w:rPr>
      </w:pPr>
    </w:p>
    <w:p w14:paraId="61C8C9FE" w14:textId="77777777" w:rsidR="00BC6257" w:rsidRDefault="006567CF">
      <w:pPr>
        <w:spacing w:after="0" w:line="260" w:lineRule="auto"/>
      </w:pPr>
      <w:r>
        <w:lastRenderedPageBreak/>
        <w:tab/>
        <w:t>V 13. točki se besedilo »Zakona o finančnih konglomeratih (Uradni list RS, št. 43/06, 87/11 in 56/13; v nadaljnjem besedilu: ZFK)« nadomesti z besedilom »Zakona o finančnih konglomeratih (Uradni list RS, št. 43/06, 87/11, 56/13 in 10/26 – ZdZEETD; v nadaljnjem besedilu: ZFK)«.</w:t>
      </w:r>
    </w:p>
    <w:p w14:paraId="61C8C9FF" w14:textId="77777777" w:rsidR="00BC6257" w:rsidRDefault="00BC6257">
      <w:pPr>
        <w:spacing w:after="0" w:line="260" w:lineRule="auto"/>
        <w:rPr>
          <w:rFonts w:cs="Arial"/>
        </w:rPr>
      </w:pPr>
    </w:p>
    <w:p w14:paraId="61C8CA00" w14:textId="77777777" w:rsidR="00BC6257" w:rsidRDefault="006567CF">
      <w:pPr>
        <w:spacing w:after="0" w:line="260" w:lineRule="auto"/>
      </w:pPr>
      <w:r>
        <w:tab/>
        <w:t>V 32. točki se besedilo »29. točki prvega odstavka 7. člena ZBan-3« nadomesti z besedilom »12. točki drugega odstavka 8. člena ZBan-4«.</w:t>
      </w:r>
    </w:p>
    <w:p w14:paraId="61C8CA01" w14:textId="77777777" w:rsidR="00BC6257" w:rsidRDefault="00BC6257">
      <w:pPr>
        <w:spacing w:after="0" w:line="260" w:lineRule="auto"/>
        <w:rPr>
          <w:rFonts w:cs="Arial"/>
        </w:rPr>
      </w:pPr>
    </w:p>
    <w:p w14:paraId="61C8CA02" w14:textId="77777777" w:rsidR="00BC6257" w:rsidRDefault="006567CF">
      <w:pPr>
        <w:spacing w:after="0" w:line="260" w:lineRule="auto"/>
      </w:pPr>
      <w:r>
        <w:tab/>
        <w:t>V 36. točki se besedilo »23. točki prvega odstavka 7. člena ZBan-3« nadomesti z besedilom »24. točki prvega odstavka 7. člena ZBan-4«.</w:t>
      </w:r>
    </w:p>
    <w:p w14:paraId="61C8CA03" w14:textId="77777777" w:rsidR="00BC6257" w:rsidRDefault="00BC6257">
      <w:pPr>
        <w:spacing w:after="0" w:line="260" w:lineRule="auto"/>
        <w:rPr>
          <w:rFonts w:cs="Arial"/>
        </w:rPr>
      </w:pPr>
    </w:p>
    <w:p w14:paraId="61C8CA04" w14:textId="77777777" w:rsidR="00BC6257" w:rsidRDefault="006567CF">
      <w:pPr>
        <w:spacing w:after="0" w:line="260" w:lineRule="auto"/>
      </w:pPr>
      <w:r>
        <w:tab/>
        <w:t>V 39. točki se na koncu zadnje alineje pika nadomesti s podpičjem ter dodata novi 40. in 41. točka, ki se glasita:</w:t>
      </w:r>
    </w:p>
    <w:p w14:paraId="61C8CA05" w14:textId="77777777" w:rsidR="00BC6257" w:rsidRDefault="00BC6257">
      <w:pPr>
        <w:spacing w:after="0" w:line="260" w:lineRule="auto"/>
        <w:rPr>
          <w:rFonts w:cs="Arial"/>
        </w:rPr>
      </w:pPr>
    </w:p>
    <w:p w14:paraId="61C8CA06" w14:textId="77777777" w:rsidR="00BC6257" w:rsidRDefault="006567CF">
      <w:pPr>
        <w:spacing w:after="0" w:line="240" w:lineRule="auto"/>
        <w:jc w:val="left"/>
      </w:pPr>
      <w:r>
        <w:tab/>
        <w:t>»40. »centralna nasprotna stranka« ali »CNS« pomeni CNS, kakor je opredeljena v 1. točki 2. člena Uredbe (EU) št. 648/2012 Evropskega parlamenta in Sveta z dne 4. julija 2012 o izvedenih finančnih instrumentih OTC, centralnih nasprotnih strankah in repozitorijih sklenjenih poslov (UL L št. 201 z dne 27. 7. 2012, str. 1), zadnjič spremenjene z Delegirano uredbo Komisije (EU) 2026/305 z dne 29. oktobra 2025 o dopolnitvi Uredbe (EU) št. 648/2012 Evropskega parlamenta in Sveta v zvezi z regulativnimi tehničnimi standardi, ki določajo operativne pogoje, obveznost reprezentativnosti in zahteve glede poročanja v zvezi z zahtevo glede aktivnega računa (UL L št. 2026/305 z dne 6. 2. 2026) (v nadaljnjem besedilu: Uredba 648/2012/EU);</w:t>
      </w:r>
    </w:p>
    <w:p w14:paraId="61C8CA07" w14:textId="77777777" w:rsidR="00BC6257" w:rsidRDefault="00BC6257">
      <w:pPr>
        <w:pStyle w:val="tevilnatoka"/>
        <w:spacing w:after="0" w:line="260" w:lineRule="auto"/>
      </w:pPr>
    </w:p>
    <w:p w14:paraId="61C8CA08" w14:textId="77777777" w:rsidR="00BC6257" w:rsidRDefault="006567CF">
      <w:pPr>
        <w:spacing w:after="0" w:line="240" w:lineRule="auto"/>
        <w:jc w:val="left"/>
      </w:pPr>
      <w:r>
        <w:tab/>
        <w:t>41. »kvalificirana centralna nasprotna stranka« ali »KCNS« pomeni kvalificirano centralno nasprotno stranko, kakor je opredeljena v 88. točki prvega odstavka 4. člena Uredbe 575/2013/EU.«.</w:t>
      </w:r>
    </w:p>
    <w:p w14:paraId="61C8CA09" w14:textId="77777777" w:rsidR="00BC6257" w:rsidRDefault="00BC6257">
      <w:pPr>
        <w:pStyle w:val="tevilnatoka"/>
        <w:spacing w:after="0" w:line="260" w:lineRule="auto"/>
      </w:pPr>
    </w:p>
    <w:p w14:paraId="61C8CA0A" w14:textId="77777777" w:rsidR="00BC6257" w:rsidRDefault="006567CF">
      <w:pPr>
        <w:pStyle w:val="len"/>
        <w:spacing w:line="260" w:lineRule="auto"/>
      </w:pPr>
      <w:r>
        <w:t>3. člen</w:t>
      </w:r>
    </w:p>
    <w:p w14:paraId="61C8CA0B" w14:textId="77777777" w:rsidR="00BC6257" w:rsidRDefault="00BC6257">
      <w:pPr>
        <w:spacing w:after="0" w:line="260" w:lineRule="auto"/>
        <w:rPr>
          <w:rFonts w:cs="Arial"/>
        </w:rPr>
      </w:pPr>
    </w:p>
    <w:p w14:paraId="61C8CA0C" w14:textId="77777777" w:rsidR="00BC6257" w:rsidRDefault="006567CF">
      <w:pPr>
        <w:spacing w:after="0" w:line="260" w:lineRule="auto"/>
      </w:pPr>
      <w:r>
        <w:tab/>
        <w:t>V 9. členu se v drugem odstavku v 2. točki besedilo »328. člena ZBan-3« nadomesti z besedilom »415. člena ZBan-4«.</w:t>
      </w:r>
    </w:p>
    <w:p w14:paraId="61C8CA0D" w14:textId="77777777" w:rsidR="00BC6257" w:rsidRDefault="00BC6257">
      <w:pPr>
        <w:spacing w:after="0" w:line="260" w:lineRule="auto"/>
        <w:rPr>
          <w:rFonts w:cs="Arial"/>
        </w:rPr>
      </w:pPr>
    </w:p>
    <w:p w14:paraId="61C8CA0E" w14:textId="77777777" w:rsidR="00BC6257" w:rsidRDefault="006567CF">
      <w:pPr>
        <w:spacing w:after="0" w:line="260" w:lineRule="auto"/>
      </w:pPr>
      <w:r>
        <w:tab/>
        <w:t>V 3. točki se besedilo spremeni tako, da se glasi:</w:t>
      </w:r>
    </w:p>
    <w:p w14:paraId="61C8CA0F" w14:textId="77777777" w:rsidR="00BC6257" w:rsidRDefault="00BC6257">
      <w:pPr>
        <w:spacing w:after="0" w:line="260" w:lineRule="auto"/>
        <w:rPr>
          <w:rFonts w:cs="Arial"/>
        </w:rPr>
      </w:pPr>
    </w:p>
    <w:p w14:paraId="61C8CA10" w14:textId="77777777" w:rsidR="00BC6257" w:rsidRDefault="006567CF">
      <w:pPr>
        <w:spacing w:after="0" w:line="240" w:lineRule="auto"/>
        <w:jc w:val="left"/>
      </w:pPr>
      <w:r>
        <w:tab/>
        <w:t>»3. si prizadeva za zagotovitev skladnosti s smernicami in priporočili, ki jih izda EBA na podlagi 16. člena Uredbe (EU) št. 1093/2010 Evropskega parlamenta in Sveta z dne 24. novembra 2010 o ustanovitvi Evropskega nadzornega organa (Evropski bančni organ) in o spremembi Sklepa št. 716/2009/ES ter razveljavitvi Sklepa Komisije 2009/78/ES (UL L št. 331 z dne 15. 12. 2010, str. 12), zadnjič spremenjene z Uredbo (EU) 2025/2088 Evropskega parlamenta in Sveta z dne 8. oktobra 2025 o spremembi uredb (EU) št. 1092/2010, (EU) št. 1093/2010, (EU) št. 1094/2010, (EU) št. 1095/2010, (EU) št. 806/2014, (EU) 2021/523 in (EU) 2024/1620 v zvezi z nekaterimi zahtevami glede poročanja na področju finančnih storitev in podpore za naložbe (UL L št. 2025/2088 z dne 21. 10. 2025), (v nadaljnjem besedilu: Uredba 1093/2010/EU), ter se odziva na opozorila in priporočila, ki jih izda Evropski odbor za sistemska tveganja (v nadaljnjem besedilu: ESRB) na podlagi 16. člena Uredbe (EU) št. 1092/2010 Evropskega parlamenta in Sveta z dne 24. novembra 2010 o makrobonitetnem nadzoru nad finančnim sistemom Evropske unije in ustanovitvi Evropskega odbora za sistemska tveganja (UL L št. 331 z dne 15. decembra 2010, str. 1), zadnjič spremenjene z Uredbo (EU) 2025/2088 Evropskega parlamenta in Sveta z dne 8. oktobra 2025 o spremembi uredb (EU) št. 1092/2010, (EU) št. 1093/2010, (EU) št. 1094/2010, (EU) št. 1095/2010, (EU) št. 806/2014, (EU) 2021/523 in (EU) 2024/1620 v zvezi z nekaterimi zahtevami glede poročanja na področju finančnih storitev in podpore za naložbe (UL L št. 2025/2088 z dne 21. 10. 2025), (v nadaljnjem besedilu: Uredba 1092/2010/EU);«.</w:t>
      </w:r>
    </w:p>
    <w:p w14:paraId="61C8CA11" w14:textId="77777777" w:rsidR="00BC6257" w:rsidRDefault="00BC6257">
      <w:pPr>
        <w:pStyle w:val="tevilnatoka"/>
        <w:spacing w:after="0" w:line="260" w:lineRule="auto"/>
      </w:pPr>
    </w:p>
    <w:p w14:paraId="61C8CA12" w14:textId="77777777" w:rsidR="00BC6257" w:rsidRDefault="006567CF">
      <w:pPr>
        <w:pStyle w:val="len"/>
        <w:spacing w:line="260" w:lineRule="auto"/>
      </w:pPr>
      <w:r>
        <w:lastRenderedPageBreak/>
        <w:t>4. člen</w:t>
      </w:r>
    </w:p>
    <w:p w14:paraId="61C8CA13" w14:textId="77777777" w:rsidR="00BC6257" w:rsidRDefault="00BC6257">
      <w:pPr>
        <w:spacing w:after="0" w:line="260" w:lineRule="auto"/>
        <w:rPr>
          <w:rFonts w:cs="Arial"/>
        </w:rPr>
      </w:pPr>
    </w:p>
    <w:p w14:paraId="61C8CA14" w14:textId="77777777" w:rsidR="00BC6257" w:rsidRDefault="006567CF">
      <w:pPr>
        <w:spacing w:after="0" w:line="240" w:lineRule="auto"/>
        <w:jc w:val="left"/>
      </w:pPr>
      <w:r>
        <w:tab/>
        <w:t>V 17. členu se besedilo »Uredbe (EU) št. 648/2012 Evropskega parlamenta in Sveta z dne 4. julija 2012 o izvedenih finančnih instrumentih OTC, centralnih nasprotnih strankah in repozitorijih sklenjenih poslov (UL L št. 201 z dne 27. 7. 2012, str. 1), zadnjič spremenjene z Delegirano uredbo Komisije (EU) 2021/731 z dne 26. januarja 2021 o dopolnitvi Uredbe (EU) št. 648/2012 Evropskega parlamenta in Sveta v zvezi s postopkovnimi pravili glede kazni, ki jih Evropski organ za vrednostne papirje in trge naloži centralnim nasprotnim strankam iz tretjih držav ali povezanim tretjim osebam (UL L št. 158 z dne 6. 5. 2021, str. 1)« nadomesti z besedilom »Uredbe 648/2012/EU«.</w:t>
      </w:r>
    </w:p>
    <w:p w14:paraId="61C8CA15" w14:textId="77777777" w:rsidR="00BC6257" w:rsidRDefault="00BC6257">
      <w:pPr>
        <w:spacing w:after="0" w:line="260" w:lineRule="auto"/>
      </w:pPr>
    </w:p>
    <w:p w14:paraId="61C8CA16" w14:textId="77777777" w:rsidR="00BC6257" w:rsidRDefault="00BC6257">
      <w:pPr>
        <w:spacing w:after="0" w:line="260" w:lineRule="auto"/>
        <w:rPr>
          <w:rFonts w:cs="Arial"/>
        </w:rPr>
      </w:pPr>
    </w:p>
    <w:p w14:paraId="61C8CA17" w14:textId="77777777" w:rsidR="00BC6257" w:rsidRDefault="006567CF">
      <w:pPr>
        <w:pStyle w:val="len"/>
        <w:spacing w:line="260" w:lineRule="auto"/>
      </w:pPr>
      <w:r>
        <w:t>5. člen</w:t>
      </w:r>
    </w:p>
    <w:p w14:paraId="61C8CA18" w14:textId="77777777" w:rsidR="00BC6257" w:rsidRDefault="00BC6257">
      <w:pPr>
        <w:spacing w:after="0" w:line="260" w:lineRule="auto"/>
        <w:rPr>
          <w:rFonts w:cs="Arial"/>
        </w:rPr>
      </w:pPr>
    </w:p>
    <w:p w14:paraId="61C8CA19" w14:textId="77777777" w:rsidR="00BC6257" w:rsidRDefault="006567CF">
      <w:pPr>
        <w:spacing w:after="0" w:line="260" w:lineRule="auto"/>
      </w:pPr>
      <w:r>
        <w:tab/>
        <w:t>V 19. členu se v tretjem odstavku v napovednem stavku besedilo »Za namene 54. člena« nadomesti z besedilom »Za namene 35. člena, 54. člena«.</w:t>
      </w:r>
    </w:p>
    <w:p w14:paraId="61C8CA1A" w14:textId="77777777" w:rsidR="00BC6257" w:rsidRDefault="00BC6257">
      <w:pPr>
        <w:spacing w:after="0" w:line="260" w:lineRule="auto"/>
        <w:rPr>
          <w:rFonts w:cs="Arial"/>
        </w:rPr>
      </w:pPr>
    </w:p>
    <w:p w14:paraId="61C8CA1B" w14:textId="77777777" w:rsidR="00BC6257" w:rsidRDefault="006567CF">
      <w:pPr>
        <w:spacing w:after="0" w:line="260" w:lineRule="auto"/>
      </w:pPr>
      <w:r>
        <w:tab/>
        <w:t>V 13. točki se pika na koncu stavka nadomesti s podpičjem ter doda nova 14. točka, ki se glasi:</w:t>
      </w:r>
    </w:p>
    <w:p w14:paraId="61C8CA1C" w14:textId="77777777" w:rsidR="00BC6257" w:rsidRDefault="00BC6257">
      <w:pPr>
        <w:spacing w:after="0" w:line="260" w:lineRule="auto"/>
        <w:rPr>
          <w:rFonts w:cs="Arial"/>
        </w:rPr>
      </w:pPr>
    </w:p>
    <w:p w14:paraId="61C8CA1D" w14:textId="77777777" w:rsidR="00BC6257" w:rsidRDefault="006567CF">
      <w:pPr>
        <w:spacing w:after="0" w:line="240" w:lineRule="auto"/>
        <w:jc w:val="left"/>
      </w:pPr>
      <w:r>
        <w:tab/>
        <w:t>»14. zmanjša izpostavljenost do centralne nasprotne stranke ali znova uskladi izpostavljenost na svojih klirinških računih v skladu s 7a členom Uredbe 648/2012/EU, kadar agencija meni, da obstaja prekomerno tveganje koncentracije, ki izhaja iz izpostavljenosti do te centralne nasprotne stranke.«.</w:t>
      </w:r>
    </w:p>
    <w:p w14:paraId="61C8CA1E" w14:textId="77777777" w:rsidR="00BC6257" w:rsidRDefault="00BC6257">
      <w:pPr>
        <w:pStyle w:val="tevilnatoka"/>
        <w:spacing w:after="0" w:line="260" w:lineRule="auto"/>
      </w:pPr>
    </w:p>
    <w:p w14:paraId="61C8CA1F" w14:textId="77777777" w:rsidR="00BC6257" w:rsidRDefault="006567CF">
      <w:pPr>
        <w:pStyle w:val="len"/>
        <w:spacing w:line="260" w:lineRule="auto"/>
      </w:pPr>
      <w:r>
        <w:t>6. člen</w:t>
      </w:r>
    </w:p>
    <w:p w14:paraId="61C8CA20" w14:textId="77777777" w:rsidR="00BC6257" w:rsidRDefault="00BC6257">
      <w:pPr>
        <w:spacing w:after="0" w:line="260" w:lineRule="auto"/>
        <w:rPr>
          <w:rFonts w:cs="Arial"/>
        </w:rPr>
      </w:pPr>
    </w:p>
    <w:p w14:paraId="61C8CA21" w14:textId="77777777" w:rsidR="00BC6257" w:rsidRDefault="006567CF">
      <w:pPr>
        <w:spacing w:after="0" w:line="260" w:lineRule="auto"/>
      </w:pPr>
      <w:r>
        <w:tab/>
        <w:t>V 28. členu se v prvem odstavku 2. točka spremeni tako, da se glasi:</w:t>
      </w:r>
    </w:p>
    <w:p w14:paraId="61C8CA22" w14:textId="77777777" w:rsidR="00BC6257" w:rsidRDefault="00BC6257">
      <w:pPr>
        <w:spacing w:after="0" w:line="260" w:lineRule="auto"/>
        <w:rPr>
          <w:rFonts w:cs="Arial"/>
        </w:rPr>
      </w:pPr>
    </w:p>
    <w:p w14:paraId="61C8CA23" w14:textId="77777777" w:rsidR="00BC6257" w:rsidRDefault="006567CF">
      <w:pPr>
        <w:spacing w:after="0" w:line="240" w:lineRule="auto"/>
        <w:jc w:val="left"/>
      </w:pPr>
      <w:r>
        <w:tab/>
        <w:t>»2. učinkovite procese za ugotavljanje, upravljanje, spremljanje in sporočanje tveganj, ki jim je ali bi jim lahko bila izpostavljena borznoposredniška družba ali ki jih ta povzroča, ali tveganj, ki bi jih borznoposredniška družba lahko povzročala drugim, vključno s tveganjem koncentracije, ki izhaja iz izpostavljenosti do centralnih nasprotnih strank, ob upoštevanju pogojev iz 7a člena Uredbe 648/2012/EU;«.</w:t>
      </w:r>
    </w:p>
    <w:p w14:paraId="61C8CA24" w14:textId="77777777" w:rsidR="00BC6257" w:rsidRDefault="00BC6257">
      <w:pPr>
        <w:pStyle w:val="tevilnatoka"/>
        <w:spacing w:after="0" w:line="260" w:lineRule="auto"/>
      </w:pPr>
    </w:p>
    <w:p w14:paraId="61C8CA25" w14:textId="77777777" w:rsidR="00BC6257" w:rsidRDefault="006567CF">
      <w:pPr>
        <w:pStyle w:val="len"/>
        <w:spacing w:line="260" w:lineRule="auto"/>
      </w:pPr>
      <w:r>
        <w:t>7. člen</w:t>
      </w:r>
    </w:p>
    <w:p w14:paraId="61C8CA26" w14:textId="77777777" w:rsidR="00BC6257" w:rsidRDefault="00BC6257">
      <w:pPr>
        <w:spacing w:after="0" w:line="260" w:lineRule="auto"/>
        <w:rPr>
          <w:rFonts w:cs="Arial"/>
        </w:rPr>
      </w:pPr>
    </w:p>
    <w:p w14:paraId="61C8CA27" w14:textId="77777777" w:rsidR="00BC6257" w:rsidRDefault="006567CF">
      <w:pPr>
        <w:spacing w:after="0" w:line="260" w:lineRule="auto"/>
      </w:pPr>
      <w:r>
        <w:tab/>
        <w:t>V 35. členu se v prvem odstavku v 4. točki pika na koncu nadomesti s podpičjem in doda nova 5. točka, ki se glasi:</w:t>
      </w:r>
    </w:p>
    <w:p w14:paraId="61C8CA28" w14:textId="77777777" w:rsidR="00BC6257" w:rsidRDefault="00BC6257">
      <w:pPr>
        <w:spacing w:after="0" w:line="260" w:lineRule="auto"/>
        <w:rPr>
          <w:rFonts w:cs="Arial"/>
        </w:rPr>
      </w:pPr>
    </w:p>
    <w:p w14:paraId="61C8CA29" w14:textId="77777777" w:rsidR="00BC6257" w:rsidRDefault="006567CF">
      <w:pPr>
        <w:pStyle w:val="tevilnatoka"/>
        <w:spacing w:after="0" w:line="260" w:lineRule="auto"/>
      </w:pPr>
      <w:r>
        <w:tab/>
        <w:t>»5. pomembnih virov in učinkov tveganja koncentracije, ki izhaja iz izpostavljenosti do centralnih nasprotnih strank, ter vseh pomembnih vplivov na kapital.«.</w:t>
      </w:r>
    </w:p>
    <w:p w14:paraId="61C8CA2A" w14:textId="77777777" w:rsidR="00BC6257" w:rsidRDefault="00BC6257">
      <w:pPr>
        <w:spacing w:after="0" w:line="260" w:lineRule="auto"/>
        <w:rPr>
          <w:rFonts w:cs="Arial"/>
        </w:rPr>
      </w:pPr>
    </w:p>
    <w:p w14:paraId="61C8CA2B" w14:textId="77777777" w:rsidR="00BC6257" w:rsidRDefault="006567CF">
      <w:pPr>
        <w:spacing w:after="0" w:line="260" w:lineRule="auto"/>
      </w:pPr>
      <w:r>
        <w:tab/>
        <w:t>Za petim odstavkom se doda nov šesti odstavek, ki se glasi:</w:t>
      </w:r>
    </w:p>
    <w:p w14:paraId="61C8CA2C" w14:textId="77777777" w:rsidR="00BC6257" w:rsidRDefault="00BC6257">
      <w:pPr>
        <w:spacing w:after="0" w:line="260" w:lineRule="auto"/>
        <w:rPr>
          <w:rFonts w:cs="Arial"/>
        </w:rPr>
      </w:pPr>
    </w:p>
    <w:p w14:paraId="61C8CA2D" w14:textId="77777777" w:rsidR="00BC6257" w:rsidRDefault="00BC6257">
      <w:pPr>
        <w:spacing w:after="0" w:line="260" w:lineRule="auto"/>
        <w:rPr>
          <w:rFonts w:cs="Arial"/>
        </w:rPr>
      </w:pPr>
    </w:p>
    <w:p w14:paraId="61C8CA2E" w14:textId="77777777" w:rsidR="00BC6257" w:rsidRDefault="006567CF">
      <w:pPr>
        <w:spacing w:after="0" w:line="240" w:lineRule="auto"/>
        <w:jc w:val="left"/>
      </w:pPr>
      <w:r>
        <w:tab/>
        <w:t xml:space="preserve">»(6) Borznoposredniška družba mora za namene 5. točke prvega odstavka tega člena zagotoviti, da upravljalni organ pripravi konkretne načrte in merljive cilje v skladu z zahtevami iz 7a člena Uredbe 648/2012/EU za spremljanje in obravnavanje tveganja koncentracije, ki izhaja iz izpostavljenosti do </w:t>
      </w:r>
      <w:r>
        <w:lastRenderedPageBreak/>
        <w:t>centralnih nasprotnih strank, ki ponujajo storitve znatnega sistemskega pomena za Unijo ali eno ali več njenih držav članic.«.</w:t>
      </w:r>
    </w:p>
    <w:p w14:paraId="61C8CA2F" w14:textId="77777777" w:rsidR="00BC6257" w:rsidRDefault="00BC6257">
      <w:pPr>
        <w:spacing w:after="0" w:line="260" w:lineRule="auto"/>
      </w:pPr>
    </w:p>
    <w:p w14:paraId="61C8CA30" w14:textId="77777777" w:rsidR="00BC6257" w:rsidRDefault="00BC6257">
      <w:pPr>
        <w:spacing w:after="0" w:line="260" w:lineRule="auto"/>
        <w:rPr>
          <w:rFonts w:cs="Arial"/>
        </w:rPr>
      </w:pPr>
    </w:p>
    <w:p w14:paraId="61C8CA31" w14:textId="77777777" w:rsidR="00BC6257" w:rsidRDefault="006567CF">
      <w:pPr>
        <w:spacing w:after="0" w:line="260" w:lineRule="auto"/>
      </w:pPr>
      <w:r>
        <w:tab/>
        <w:t>Dosedanji šesti do deveti odstavek postanejo sedmi do deseti odstavek.</w:t>
      </w:r>
    </w:p>
    <w:p w14:paraId="61C8CA32" w14:textId="77777777" w:rsidR="00BC6257" w:rsidRDefault="00BC6257">
      <w:pPr>
        <w:spacing w:after="0" w:line="260" w:lineRule="auto"/>
        <w:rPr>
          <w:rFonts w:cs="Arial"/>
        </w:rPr>
      </w:pPr>
    </w:p>
    <w:p w14:paraId="61C8CA33" w14:textId="77777777" w:rsidR="00BC6257" w:rsidRDefault="006567CF">
      <w:pPr>
        <w:pStyle w:val="len"/>
        <w:spacing w:line="260" w:lineRule="auto"/>
      </w:pPr>
      <w:r>
        <w:t>8. člen</w:t>
      </w:r>
    </w:p>
    <w:p w14:paraId="61C8CA34" w14:textId="77777777" w:rsidR="00BC6257" w:rsidRDefault="00BC6257">
      <w:pPr>
        <w:spacing w:after="0" w:line="260" w:lineRule="auto"/>
        <w:rPr>
          <w:rFonts w:cs="Arial"/>
        </w:rPr>
      </w:pPr>
    </w:p>
    <w:p w14:paraId="61C8CA35" w14:textId="77777777" w:rsidR="00BC6257" w:rsidRDefault="006567CF">
      <w:pPr>
        <w:spacing w:after="0" w:line="260" w:lineRule="auto"/>
      </w:pPr>
      <w:r>
        <w:tab/>
        <w:t>V 54. členu se za sedmim odstavkom doda nov osmi odstavek, ki se glasi:</w:t>
      </w:r>
    </w:p>
    <w:p w14:paraId="61C8CA36" w14:textId="77777777" w:rsidR="00BC6257" w:rsidRDefault="00BC6257">
      <w:pPr>
        <w:spacing w:after="0" w:line="260" w:lineRule="auto"/>
        <w:rPr>
          <w:rFonts w:cs="Arial"/>
        </w:rPr>
      </w:pPr>
    </w:p>
    <w:p w14:paraId="61C8CA37" w14:textId="77777777" w:rsidR="00BC6257" w:rsidRDefault="00BC6257">
      <w:pPr>
        <w:spacing w:after="0" w:line="260" w:lineRule="auto"/>
        <w:rPr>
          <w:rFonts w:cs="Arial"/>
        </w:rPr>
      </w:pPr>
    </w:p>
    <w:p w14:paraId="61C8CA38" w14:textId="77777777" w:rsidR="00BC6257" w:rsidRDefault="006567CF">
      <w:pPr>
        <w:spacing w:after="0" w:line="240" w:lineRule="auto"/>
        <w:jc w:val="left"/>
      </w:pPr>
      <w:r>
        <w:tab/>
        <w:t>»(8) Za namene 1. točke prvega odstavka tega člena agencija oceni in spremlja razvoj na področju praks borznoposredniških družb v zvezi z upravljanjem tveganja koncentracije, ki izhaja iz izpostavljenosti do centralnih nasprotnih strank, vključno z načrti, pripravljenimi v skladu s šestim odstavkom 35. člena tega zakona, ter napredek pri prilagajanju njihovih poslovnih modelov zahtevam iz 7a člena Uredbe 648/2012/EU.«.</w:t>
      </w:r>
    </w:p>
    <w:p w14:paraId="61C8CA39" w14:textId="77777777" w:rsidR="00BC6257" w:rsidRDefault="00BC6257">
      <w:pPr>
        <w:spacing w:after="0" w:line="260" w:lineRule="auto"/>
      </w:pPr>
    </w:p>
    <w:p w14:paraId="61C8CA3A" w14:textId="77777777" w:rsidR="00BC6257" w:rsidRDefault="006567CF">
      <w:pPr>
        <w:pStyle w:val="len"/>
        <w:spacing w:line="260" w:lineRule="auto"/>
      </w:pPr>
      <w:r>
        <w:t>9. člen</w:t>
      </w:r>
    </w:p>
    <w:p w14:paraId="61C8CA3B" w14:textId="77777777" w:rsidR="00BC6257" w:rsidRDefault="00BC6257">
      <w:pPr>
        <w:spacing w:after="0" w:line="260" w:lineRule="auto"/>
        <w:rPr>
          <w:rFonts w:cs="Arial"/>
        </w:rPr>
      </w:pPr>
    </w:p>
    <w:p w14:paraId="61C8CA3C" w14:textId="77777777" w:rsidR="00BC6257" w:rsidRDefault="006567CF">
      <w:pPr>
        <w:spacing w:after="0" w:line="260" w:lineRule="auto"/>
      </w:pPr>
      <w:r>
        <w:tab/>
        <w:t>V 75. členu se v prvem odstavku v 4. točki besedilo »40. člena ZBan-3« nadomesti z besedilom »47. člena ZBan-4«.</w:t>
      </w:r>
    </w:p>
    <w:p w14:paraId="61C8CA3D" w14:textId="77777777" w:rsidR="00BC6257" w:rsidRDefault="00BC6257">
      <w:pPr>
        <w:spacing w:after="0" w:line="260" w:lineRule="auto"/>
        <w:rPr>
          <w:rFonts w:cs="Arial"/>
        </w:rPr>
      </w:pPr>
    </w:p>
    <w:p w14:paraId="61C8CA3E" w14:textId="77777777" w:rsidR="00BC6257" w:rsidRDefault="006567CF">
      <w:pPr>
        <w:pStyle w:val="Poglavje"/>
        <w:spacing w:line="260" w:lineRule="auto"/>
      </w:pPr>
      <w:r>
        <w:t>KONČNA DOLOČBA</w:t>
      </w:r>
    </w:p>
    <w:p w14:paraId="61C8CA3F" w14:textId="77777777" w:rsidR="00BC6257" w:rsidRDefault="006567CF">
      <w:pPr>
        <w:pStyle w:val="len"/>
        <w:spacing w:line="260" w:lineRule="auto"/>
      </w:pPr>
      <w:r>
        <w:t>10. člen</w:t>
      </w:r>
    </w:p>
    <w:p w14:paraId="61C8CA40" w14:textId="77777777" w:rsidR="00BC6257" w:rsidRDefault="006567CF">
      <w:pPr>
        <w:pStyle w:val="lennaslov"/>
        <w:spacing w:line="260" w:lineRule="auto"/>
      </w:pPr>
      <w:r>
        <w:t>(začetek veljavnosti)</w:t>
      </w:r>
    </w:p>
    <w:p w14:paraId="61C8CA41" w14:textId="77777777" w:rsidR="00BC6257" w:rsidRDefault="00BC6257">
      <w:pPr>
        <w:spacing w:after="0" w:line="260" w:lineRule="auto"/>
        <w:rPr>
          <w:rFonts w:cs="Arial"/>
        </w:rPr>
      </w:pPr>
    </w:p>
    <w:p w14:paraId="61C8CA42" w14:textId="77777777" w:rsidR="00BC6257" w:rsidRDefault="006567CF">
      <w:pPr>
        <w:spacing w:after="0" w:line="260" w:lineRule="auto"/>
      </w:pPr>
      <w:r>
        <w:tab/>
        <w:t>Ta zakon začne veljati petnajsti dan po objavi v Uradnem listu Republike Slovenije.</w:t>
      </w:r>
    </w:p>
    <w:p w14:paraId="61C8CA43" w14:textId="77777777" w:rsidR="00BC6257" w:rsidRDefault="006567CF">
      <w:r>
        <w:br w:type="page"/>
      </w:r>
    </w:p>
    <w:p w14:paraId="61C8CA44" w14:textId="77777777" w:rsidR="00BC6257" w:rsidRDefault="006567CF">
      <w:pPr>
        <w:pStyle w:val="Odebeljeno"/>
        <w:spacing w:line="260" w:lineRule="auto"/>
      </w:pPr>
      <w:r>
        <w:lastRenderedPageBreak/>
        <w:t>III.</w:t>
      </w:r>
      <w:r>
        <w:tab/>
        <w:t>OBRAZLOŽITEV</w:t>
      </w:r>
    </w:p>
    <w:p w14:paraId="61C8CA45" w14:textId="77777777" w:rsidR="00BC6257" w:rsidRDefault="00BC6257">
      <w:pPr>
        <w:spacing w:after="0" w:line="260" w:lineRule="auto"/>
        <w:rPr>
          <w:rFonts w:cs="Arial"/>
        </w:rPr>
      </w:pPr>
    </w:p>
    <w:p w14:paraId="61C8CA46" w14:textId="77777777" w:rsidR="00BC6257" w:rsidRDefault="006567CF">
      <w:pPr>
        <w:pStyle w:val="Odebeljeno"/>
        <w:spacing w:line="260" w:lineRule="auto"/>
      </w:pPr>
      <w:r>
        <w:t>K 1. členu:</w:t>
      </w:r>
    </w:p>
    <w:p w14:paraId="61C8CA47" w14:textId="77777777" w:rsidR="00BC6257" w:rsidRDefault="006567CF">
      <w:pPr>
        <w:spacing w:after="0" w:line="240" w:lineRule="auto"/>
      </w:pPr>
      <w:r>
        <w:t>Razlog za spremembo prvega odstavka 3. člena ZBNIP je prenos Direktive 2024/2994/EU v pravni red Republike Slovenije v delu, v katerem ta spreminja Direktivo 2019/2034/EU. Direktiva 2024/2994/EU uvaja zahteve glede obravnave tveganja koncentracije, ki izhaja iz izpostavljenosti investicijskih podjetij do centralnih nasprotnih strank, in tveganja nasprotne stranke pri poslih z izvedenimi finančnimi instrumenti s centralnim kliringom. Te vsebinske zahteve se v pravni red Republike Slovenije prenašajo z drugimi členi tega zakona, zlasti s 5., 6., 7. in 8. členom, ki spreminjajo 19., 28., 35. in 54. člen ZBNIP.</w:t>
      </w:r>
    </w:p>
    <w:p w14:paraId="61C8CA48" w14:textId="77777777" w:rsidR="00BC6257" w:rsidRDefault="006567CF">
      <w:pPr>
        <w:spacing w:after="0" w:line="240" w:lineRule="auto"/>
      </w:pPr>
      <w:r>
        <w:t xml:space="preserve"> </w:t>
      </w:r>
    </w:p>
    <w:p w14:paraId="61C8CA49" w14:textId="77777777" w:rsidR="00BC6257" w:rsidRDefault="006567CF">
      <w:pPr>
        <w:spacing w:after="0" w:line="240" w:lineRule="auto"/>
      </w:pPr>
      <w:r>
        <w:t>Direktiva 2024/2994/EU je bila sprejeta v okviru zakonodajnega svežnja pregleda Uredbe 648/2012/EU (t. i. EMIR 3), in sicer skupaj z Uredbo 2024/2987/EU, ki navedeno uredbo spreminja. Njen namen je zmanjšati tveganja za finančno stabilnost Unije, ki izhajajo iz prekomernega zanašanja na sistemsko pomembne centralne nasprotne stranke iz tretjih držav, ter investicijska podjetja spodbuditi k prilagoditvi njihovih poslovnih modelov novim zahtevam za kliring, uvedenim z navedeno uredbo. V ta namen se obstoječi sklop nadzornih ukrepov in pooblastil dopolni z bolj specifičnimi orodji v zvezi s tveganjem prekomerne koncentracije, ki izhaja iz izpostavljenosti do centralnih nasprotnih strank.</w:t>
      </w:r>
    </w:p>
    <w:p w14:paraId="61C8CA4A" w14:textId="77777777" w:rsidR="00BC6257" w:rsidRDefault="006567CF">
      <w:pPr>
        <w:spacing w:after="0" w:line="240" w:lineRule="auto"/>
      </w:pPr>
      <w:r>
        <w:t xml:space="preserve"> </w:t>
      </w:r>
    </w:p>
    <w:p w14:paraId="61C8CA4B" w14:textId="77777777" w:rsidR="00BC6257" w:rsidRDefault="006567CF">
      <w:pPr>
        <w:spacing w:after="0" w:line="240" w:lineRule="auto"/>
      </w:pPr>
      <w:r>
        <w:t>Skladno z ustaljeno nomotehnično prakso se prenos direktive v zakonu izkazuje z navedbo direktive v uvodnem členu, ki ureja prenos predpisov Evropske unije. Zato se v prvem odstavku 3. člena ZBNIP navedba Direktive 2019/2034/EU dopolni z navedbo Direktive 2024/2994/EU kot njene zadnje spremembe. Posodobitev navedbe je nomotehnična posledica prenosa in ne njegov namen.</w:t>
      </w:r>
    </w:p>
    <w:p w14:paraId="61C8CA4C" w14:textId="77777777" w:rsidR="00BC6257" w:rsidRDefault="00BC6257">
      <w:pPr>
        <w:spacing w:after="0" w:line="260" w:lineRule="auto"/>
        <w:rPr>
          <w:rFonts w:cs="Arial"/>
        </w:rPr>
      </w:pPr>
    </w:p>
    <w:p w14:paraId="61C8CA4D" w14:textId="77777777" w:rsidR="00BC6257" w:rsidRDefault="006567CF">
      <w:pPr>
        <w:pStyle w:val="Odebeljeno"/>
        <w:spacing w:line="260" w:lineRule="auto"/>
      </w:pPr>
      <w:r>
        <w:t>K 2. členu:</w:t>
      </w:r>
    </w:p>
    <w:p w14:paraId="61C8CA4E" w14:textId="77777777" w:rsidR="00BC6257" w:rsidRDefault="006567CF">
      <w:pPr>
        <w:spacing w:after="0" w:line="240" w:lineRule="auto"/>
      </w:pPr>
      <w:r>
        <w:t>S tem členom se spreminja 4. člen ZBNIP, ki opredeljuje pomen izrazov. Posegi so dveh vrst: uskladitev sklicevanj na zakon, ki ureja bančništvo, in na predpise Evropske unije z veljavnim pravnim redom ter prenos opredelitev dveh novih izrazov iz Direktive 2024/2994/EU.</w:t>
      </w:r>
    </w:p>
    <w:p w14:paraId="61C8CA4F" w14:textId="77777777" w:rsidR="00BC6257" w:rsidRDefault="006567CF">
      <w:pPr>
        <w:spacing w:after="0" w:line="240" w:lineRule="auto"/>
      </w:pPr>
      <w:r>
        <w:t xml:space="preserve"> </w:t>
      </w:r>
    </w:p>
    <w:p w14:paraId="61C8CA50" w14:textId="77777777" w:rsidR="00BC6257" w:rsidRDefault="006567CF">
      <w:pPr>
        <w:spacing w:after="0" w:line="240" w:lineRule="auto"/>
      </w:pPr>
      <w:r>
        <w:t>V 6. točki se posodablja navedba zadnje spremembe Uredbe 575/2013/EU. Dosedanja navedba se nadomesti z navedbo zadnje spremembe, tj. Delegirane uredbe 2025/1496/EU. Gre za redakcijsko uskladitev navedbe neposredno uporabljive uredbe z veljavnim pravnim redom.</w:t>
      </w:r>
    </w:p>
    <w:p w14:paraId="61C8CA51" w14:textId="77777777" w:rsidR="00BC6257" w:rsidRDefault="006567CF">
      <w:pPr>
        <w:spacing w:after="0" w:line="240" w:lineRule="auto"/>
      </w:pPr>
      <w:r>
        <w:t xml:space="preserve"> </w:t>
      </w:r>
    </w:p>
    <w:p w14:paraId="61C8CA52" w14:textId="77777777" w:rsidR="00BC6257" w:rsidRDefault="006567CF">
      <w:pPr>
        <w:spacing w:after="0" w:line="240" w:lineRule="auto"/>
      </w:pPr>
      <w:r>
        <w:t>V 9. točki se navedba Zakona o bančništvu in kratica »ZBan-3« nadomestita z navedbo novega Zakona o bančništvu (ZBan-4), ki je nadomestil ZBan-3. Opredelitev banke in hranilnice v 4. členu ZBan-4 je vsebinsko enaka opredelitvi v 4. členu ZBan-3.</w:t>
      </w:r>
    </w:p>
    <w:p w14:paraId="61C8CA53" w14:textId="77777777" w:rsidR="00BC6257" w:rsidRDefault="006567CF">
      <w:pPr>
        <w:spacing w:after="0" w:line="240" w:lineRule="auto"/>
      </w:pPr>
      <w:r>
        <w:t xml:space="preserve"> </w:t>
      </w:r>
    </w:p>
    <w:p w14:paraId="61C8CA54" w14:textId="77777777" w:rsidR="00BC6257" w:rsidRDefault="006567CF">
      <w:pPr>
        <w:spacing w:after="0" w:line="240" w:lineRule="auto"/>
      </w:pPr>
      <w:r>
        <w:t>V 10. točki se posodablja navedba zadnje spremembe Uredbe 600/2014/EU; navedba dosedanje zadnje spremembe se nadomesti z navedbo Uredbe 2024/2809/EU. Gre za redakcijsko uskladitev navedbe neposredno uporabljive uredbe z veljavnim pravnim redom.</w:t>
      </w:r>
    </w:p>
    <w:p w14:paraId="61C8CA55" w14:textId="77777777" w:rsidR="00BC6257" w:rsidRDefault="006567CF">
      <w:pPr>
        <w:spacing w:after="0" w:line="240" w:lineRule="auto"/>
      </w:pPr>
      <w:r>
        <w:t xml:space="preserve"> </w:t>
      </w:r>
    </w:p>
    <w:p w14:paraId="61C8CA56" w14:textId="77777777" w:rsidR="00BC6257" w:rsidRDefault="006567CF">
      <w:pPr>
        <w:spacing w:after="0" w:line="240" w:lineRule="auto"/>
      </w:pPr>
      <w:r>
        <w:t>V 12. točki se posodablja sklicevanje na opredelitev izraza »politika prejemkov, nevtralna glede na spol«, ki je v ZBan-4 uvrščena v 27. točko prvega odstavka 7. člena.</w:t>
      </w:r>
    </w:p>
    <w:p w14:paraId="61C8CA57" w14:textId="77777777" w:rsidR="00BC6257" w:rsidRDefault="006567CF">
      <w:pPr>
        <w:spacing w:after="0" w:line="240" w:lineRule="auto"/>
      </w:pPr>
      <w:r>
        <w:t xml:space="preserve"> </w:t>
      </w:r>
    </w:p>
    <w:p w14:paraId="61C8CA58" w14:textId="77777777" w:rsidR="00BC6257" w:rsidRDefault="006567CF">
      <w:pPr>
        <w:spacing w:after="0" w:line="240" w:lineRule="auto"/>
      </w:pPr>
      <w:r>
        <w:t>V 13. točki se navedba Zakona o finančnih konglomeratih dopolni z navedbo spremembe, uveljavljene z Zakonom o spremembah in dopolnitvah določenih zakonov glede vzpostavitve in delovanja evropske enotne točke dostopa (ZdZEETD).</w:t>
      </w:r>
    </w:p>
    <w:p w14:paraId="61C8CA59" w14:textId="77777777" w:rsidR="00BC6257" w:rsidRDefault="006567CF">
      <w:pPr>
        <w:spacing w:after="0" w:line="240" w:lineRule="auto"/>
      </w:pPr>
      <w:r>
        <w:t xml:space="preserve"> </w:t>
      </w:r>
    </w:p>
    <w:p w14:paraId="61C8CA5A" w14:textId="77777777" w:rsidR="00BC6257" w:rsidRDefault="006567CF">
      <w:pPr>
        <w:spacing w:after="0" w:line="240" w:lineRule="auto"/>
      </w:pPr>
      <w:r>
        <w:t>V 32. točki se posodablja sklicevanje na opredelitev izraza »sistemsko tveganje«, ki je v ZBan-4 uvrščena v 12. točko drugega odstavka 8. člena, saj je ZBan-4 opredelitve izrazov, prevzetih iz Uredbe 575/2013/EU, združil v poseben člen.</w:t>
      </w:r>
    </w:p>
    <w:p w14:paraId="61C8CA5B" w14:textId="77777777" w:rsidR="00BC6257" w:rsidRDefault="006567CF">
      <w:pPr>
        <w:spacing w:after="0" w:line="240" w:lineRule="auto"/>
      </w:pPr>
      <w:r>
        <w:t xml:space="preserve"> </w:t>
      </w:r>
    </w:p>
    <w:p w14:paraId="61C8CA5C" w14:textId="77777777" w:rsidR="00BC6257" w:rsidRDefault="006567CF">
      <w:pPr>
        <w:spacing w:after="0" w:line="240" w:lineRule="auto"/>
      </w:pPr>
      <w:r>
        <w:t>V 36. točki se posodablja sklicevanje na opredelitev izraza »ožji družinski član«, ki je v ZBan-4 uvrščena v 24. točko prvega odstavka 7. člena.</w:t>
      </w:r>
    </w:p>
    <w:p w14:paraId="61C8CA5D" w14:textId="77777777" w:rsidR="00BC6257" w:rsidRDefault="006567CF">
      <w:pPr>
        <w:spacing w:after="0" w:line="240" w:lineRule="auto"/>
      </w:pPr>
      <w:r>
        <w:t xml:space="preserve"> </w:t>
      </w:r>
    </w:p>
    <w:p w14:paraId="61C8CA5E" w14:textId="77777777" w:rsidR="00BC6257" w:rsidRDefault="006567CF">
      <w:pPr>
        <w:spacing w:after="0" w:line="240" w:lineRule="auto"/>
      </w:pPr>
      <w:r>
        <w:t xml:space="preserve">Zaradi prenosa 1. točke 3. člena Direktive 2024/2994/EU se v 4. členu ZBNIP dodata opredelitvi dveh novih izrazov, ki sta potrebna za izvajanje novih zahtev, ki jih ta zakon vnaša v ZBNIP. Nova 40. točka </w:t>
      </w:r>
      <w:r>
        <w:lastRenderedPageBreak/>
        <w:t>opredeljuje izraz »centralna nasprotna stranka« oziroma »CNS« s sklicevanjem na opredelitev iz Uredbe 648/2012/EU, nova 41. točka pa izraz »kvalificirana centralna nasprotna stranka« oziroma »KCNS« s sklicevanjem na Uredbo 575/2013/EU. Ker se Uredba 648/2012/EU v noveliranem ZBNIP prvič samostojno navaja v novi 40. točki, se na tem mestu uvede tudi njena kratica, hkrati pa se navede njen zadnji poseg (Delegirana uredba 2026/305/EU).</w:t>
      </w:r>
    </w:p>
    <w:p w14:paraId="61C8CA5F" w14:textId="77777777" w:rsidR="00BC6257" w:rsidRDefault="00BC6257">
      <w:pPr>
        <w:spacing w:after="0" w:line="260" w:lineRule="auto"/>
        <w:rPr>
          <w:rFonts w:cs="Arial"/>
        </w:rPr>
      </w:pPr>
    </w:p>
    <w:p w14:paraId="61C8CA60" w14:textId="77777777" w:rsidR="00BC6257" w:rsidRDefault="006567CF">
      <w:pPr>
        <w:pStyle w:val="Odebeljeno"/>
        <w:spacing w:line="260" w:lineRule="auto"/>
      </w:pPr>
      <w:r>
        <w:t>K 3. členu:</w:t>
      </w:r>
    </w:p>
    <w:p w14:paraId="61C8CA61" w14:textId="77777777" w:rsidR="00BC6257" w:rsidRDefault="006567CF">
      <w:pPr>
        <w:spacing w:after="0" w:line="240" w:lineRule="auto"/>
      </w:pPr>
      <w:r>
        <w:t>S tem členom se spreminja 9. člen ZBNIP, ki ureja sodelovanje agencije v okviru Evropskega sistema finančnega nadzora.</w:t>
      </w:r>
    </w:p>
    <w:p w14:paraId="61C8CA62" w14:textId="77777777" w:rsidR="00BC6257" w:rsidRDefault="006567CF">
      <w:pPr>
        <w:spacing w:after="0" w:line="240" w:lineRule="auto"/>
      </w:pPr>
      <w:r>
        <w:t xml:space="preserve"> </w:t>
      </w:r>
    </w:p>
    <w:p w14:paraId="61C8CA63" w14:textId="77777777" w:rsidR="00BC6257" w:rsidRDefault="006567CF">
      <w:pPr>
        <w:spacing w:after="0" w:line="240" w:lineRule="auto"/>
      </w:pPr>
      <w:r>
        <w:t>V 2. točki drugega odstavka se posodablja sklicevanje na določbo o kolegiju nadzornikov. Veljavni 9. člen ZBNIP napotuje na 328. člen ZBan-3; vsebinsko enaka ureditev kolegija pristojnih organov je v ZBan-4 določena v 415. členu, zato se sklicevanje ustrezno posodobi.</w:t>
      </w:r>
    </w:p>
    <w:p w14:paraId="61C8CA64" w14:textId="77777777" w:rsidR="00BC6257" w:rsidRDefault="006567CF">
      <w:pPr>
        <w:spacing w:after="0" w:line="240" w:lineRule="auto"/>
      </w:pPr>
      <w:r>
        <w:t xml:space="preserve"> </w:t>
      </w:r>
    </w:p>
    <w:p w14:paraId="61C8CA65" w14:textId="77777777" w:rsidR="00BC6257" w:rsidRDefault="006567CF">
      <w:pPr>
        <w:spacing w:after="0" w:line="240" w:lineRule="auto"/>
      </w:pPr>
      <w:r>
        <w:t>V 3. točki drugega odstavka se posodabljata navedbi zadnjih sprememb Uredbe 1093/2010/EU in Uredbe 1092/2010/EU. Obe uredbi sta bili zadnjič spremenjeni z Uredbo 2025/2088/EU, zato se dosedanji navedbi nadomestita z navedbo te uredbe. Gre za redakcijsko uskladitev navedb neposredno uporabljivih uredb z veljavnim pravnim redom.</w:t>
      </w:r>
    </w:p>
    <w:p w14:paraId="61C8CA66" w14:textId="77777777" w:rsidR="00BC6257" w:rsidRDefault="00BC6257">
      <w:pPr>
        <w:spacing w:after="0" w:line="260" w:lineRule="auto"/>
        <w:rPr>
          <w:rFonts w:cs="Arial"/>
        </w:rPr>
      </w:pPr>
    </w:p>
    <w:p w14:paraId="61C8CA67" w14:textId="77777777" w:rsidR="00BC6257" w:rsidRDefault="006567CF">
      <w:pPr>
        <w:pStyle w:val="Odebeljeno"/>
        <w:spacing w:line="260" w:lineRule="auto"/>
      </w:pPr>
      <w:r>
        <w:t>K 4. členu:</w:t>
      </w:r>
    </w:p>
    <w:p w14:paraId="61C8CA68" w14:textId="77777777" w:rsidR="00BC6257" w:rsidRDefault="006567CF">
      <w:pPr>
        <w:spacing w:after="0" w:line="240" w:lineRule="auto"/>
      </w:pPr>
      <w:r>
        <w:t>S tem členom se spreminja 17. člen ZBNIP, ki ureja sodelovanje agencije z nadzornimi organi tretjih držav. Veljavni 17. člen ZBNIP vsebuje polno navedbo Uredbe 648/2012/EU z navedbo njene zadnje spremembe. Ker se ista uredba v noveliranem ZBNIP prvič samostojno navede že v novi 40. točki 4. člena ZBNIP (2. člen tega zakona), kjer se uvede tudi njena kratica in navede njena zadnja sprememba, se v 17. členu polna navedba nadomesti s kratico »Uredba 648/2012/EU«. S tem se odpravi podvojena polna navedba istega akta in zagotovi notranja doslednost zakona, hkrati pa se navedba uskladi z zadnjo spremembo te uredbe.</w:t>
      </w:r>
    </w:p>
    <w:p w14:paraId="61C8CA69" w14:textId="77777777" w:rsidR="00BC6257" w:rsidRDefault="00BC6257">
      <w:pPr>
        <w:spacing w:after="0" w:line="260" w:lineRule="auto"/>
        <w:rPr>
          <w:rFonts w:cs="Arial"/>
        </w:rPr>
      </w:pPr>
    </w:p>
    <w:p w14:paraId="61C8CA6A" w14:textId="77777777" w:rsidR="00BC6257" w:rsidRDefault="006567CF">
      <w:pPr>
        <w:pStyle w:val="Odebeljeno"/>
        <w:spacing w:line="260" w:lineRule="auto"/>
      </w:pPr>
      <w:r>
        <w:t>K 5. členu:</w:t>
      </w:r>
    </w:p>
    <w:p w14:paraId="61C8CA6B" w14:textId="77777777" w:rsidR="00BC6257" w:rsidRDefault="006567CF">
      <w:pPr>
        <w:spacing w:after="0" w:line="240" w:lineRule="auto"/>
      </w:pPr>
      <w:r>
        <w:t>S tem členom se zaradi prenosa 5. točke 3. člena Direktive 2024/2994/EU spreminja tretji odstavek 19. člena ZBNIP, ki ureja nadzorne ukrepe agencije.</w:t>
      </w:r>
    </w:p>
    <w:p w14:paraId="61C8CA6C" w14:textId="77777777" w:rsidR="00BC6257" w:rsidRDefault="006567CF">
      <w:pPr>
        <w:spacing w:after="0" w:line="240" w:lineRule="auto"/>
      </w:pPr>
      <w:r>
        <w:t xml:space="preserve"> </w:t>
      </w:r>
    </w:p>
    <w:p w14:paraId="61C8CA6D" w14:textId="77777777" w:rsidR="00BC6257" w:rsidRDefault="006567CF">
      <w:pPr>
        <w:spacing w:after="0" w:line="240" w:lineRule="auto"/>
      </w:pPr>
      <w:r>
        <w:t>V napovednem stavku tretjega odstavka se med namene, za katere lahko agencija borznoposredniški družbi naloži ukrepe, doda tudi 35. člen ZBNIP. S tem se zagotovi, da agencija razpolaga z nadzornimi pooblastili tudi za namene obravnave tveganja koncentracije, ki izhaja iz izpostavljenosti do centralnih nasprotnih strank in se na novo ureja v 35. členu ZBNIP (7. člen tega zakona).</w:t>
      </w:r>
    </w:p>
    <w:p w14:paraId="61C8CA6E" w14:textId="77777777" w:rsidR="00BC6257" w:rsidRDefault="006567CF">
      <w:pPr>
        <w:spacing w:after="0" w:line="240" w:lineRule="auto"/>
      </w:pPr>
      <w:r>
        <w:t xml:space="preserve"> </w:t>
      </w:r>
    </w:p>
    <w:p w14:paraId="61C8CA6F" w14:textId="77777777" w:rsidR="00BC6257" w:rsidRDefault="006567CF">
      <w:pPr>
        <w:spacing w:after="0" w:line="240" w:lineRule="auto"/>
      </w:pPr>
      <w:r>
        <w:t>Doda se nova 14. točka, ki agenciji daje pooblastilo, da od borznoposredniške družbe zahteva zmanjšanje izpostavljenosti do centralne nasprotne stranke ali ponovno uskladitev izpostavljenosti na njenih klirinških računih v skladu s 7a členom Uredbe 648/2012/EU, kadar agencija oceni, da obstaja prekomerno tveganje koncentracije. Pooblastilo je neposredno povezano z zahtevo glede aktivnega računa, uvedeno z Uredbo 2024/2987/EU (EMIR 3), in agenciji omogoča učinkovito obravnavo prekomerne koncentracije izpostavljenosti do centralnih nasprotnih strank.</w:t>
      </w:r>
    </w:p>
    <w:p w14:paraId="61C8CA70" w14:textId="77777777" w:rsidR="00BC6257" w:rsidRDefault="00BC6257">
      <w:pPr>
        <w:spacing w:after="0" w:line="260" w:lineRule="auto"/>
        <w:rPr>
          <w:rFonts w:cs="Arial"/>
        </w:rPr>
      </w:pPr>
    </w:p>
    <w:p w14:paraId="61C8CA71" w14:textId="77777777" w:rsidR="00BC6257" w:rsidRDefault="006567CF">
      <w:pPr>
        <w:pStyle w:val="Odebeljeno"/>
        <w:spacing w:line="260" w:lineRule="auto"/>
      </w:pPr>
      <w:r>
        <w:t>K 6. členu:</w:t>
      </w:r>
    </w:p>
    <w:p w14:paraId="61C8CA72" w14:textId="77777777" w:rsidR="00BC6257" w:rsidRDefault="006567CF">
      <w:pPr>
        <w:spacing w:after="0" w:line="240" w:lineRule="auto"/>
      </w:pPr>
      <w:r>
        <w:t>S tem členom se zaradi prenosa 2. točke 3. člena Direktive 2024/2994/EU spreminja 2. točka prvega odstavka 28. člena ZBNIP, ki ureja notranje upravljanje borznoposredniške družbe.</w:t>
      </w:r>
    </w:p>
    <w:p w14:paraId="61C8CA73" w14:textId="77777777" w:rsidR="00BC6257" w:rsidRDefault="006567CF">
      <w:pPr>
        <w:spacing w:after="0" w:line="240" w:lineRule="auto"/>
      </w:pPr>
      <w:r>
        <w:t xml:space="preserve"> </w:t>
      </w:r>
    </w:p>
    <w:p w14:paraId="61C8CA74" w14:textId="77777777" w:rsidR="00BC6257" w:rsidRDefault="006567CF">
      <w:pPr>
        <w:spacing w:after="0" w:line="240" w:lineRule="auto"/>
      </w:pPr>
      <w:r>
        <w:t>Sprememba zagotavlja, da procesi za ugotavljanje, upravljanje, spremljanje in sporočanje tveganj, ki jih mora imeti borznoposredniška družba v okviru ureditve notranjega upravljanja, izrecno vključujejo tudi tveganje koncentracije, ki izhaja iz izpostavljenosti do centralnih nasprotnih strank, ob upoštevanju pogojev iz 7a člena Uredbe 648/2012/EU. S tem se obvladovanje tega tveganja umesti v sistem notranjega upravljanja borznoposredniške družbe.</w:t>
      </w:r>
    </w:p>
    <w:p w14:paraId="61C8CA75" w14:textId="77777777" w:rsidR="00BC6257" w:rsidRDefault="00BC6257">
      <w:pPr>
        <w:spacing w:after="0" w:line="260" w:lineRule="auto"/>
        <w:rPr>
          <w:rFonts w:cs="Arial"/>
        </w:rPr>
      </w:pPr>
    </w:p>
    <w:p w14:paraId="61C8CA76" w14:textId="77777777" w:rsidR="00BC6257" w:rsidRDefault="006567CF">
      <w:pPr>
        <w:pStyle w:val="Odebeljeno"/>
        <w:spacing w:line="260" w:lineRule="auto"/>
      </w:pPr>
      <w:r>
        <w:t>K 7. členu:</w:t>
      </w:r>
    </w:p>
    <w:p w14:paraId="61C8CA77" w14:textId="77777777" w:rsidR="00BC6257" w:rsidRDefault="006567CF">
      <w:pPr>
        <w:spacing w:after="0" w:line="240" w:lineRule="auto"/>
      </w:pPr>
      <w:r>
        <w:lastRenderedPageBreak/>
        <w:t>S tem členom se zaradi prenosa 3. točke 3. člena Direktive 2024/2994/EU spreminja 35. člen ZBNIP, ki ureja obravnavo tveganj.</w:t>
      </w:r>
    </w:p>
    <w:p w14:paraId="61C8CA78" w14:textId="77777777" w:rsidR="00BC6257" w:rsidRDefault="006567CF">
      <w:pPr>
        <w:spacing w:after="0" w:line="240" w:lineRule="auto"/>
      </w:pPr>
      <w:r>
        <w:t xml:space="preserve"> </w:t>
      </w:r>
    </w:p>
    <w:p w14:paraId="61C8CA79" w14:textId="77777777" w:rsidR="00BC6257" w:rsidRDefault="006567CF">
      <w:pPr>
        <w:spacing w:after="0" w:line="240" w:lineRule="auto"/>
      </w:pPr>
      <w:r>
        <w:t>V prvem odstavku se doda nova 5. točka, ki med tveganja, za katera mora borznoposredniška družba vzpostaviti zanesljive strategije, politike, postopke in sisteme, izrecno uvršča tudi tveganje koncentracije, ki izhaja iz izpostavljenosti do centralnih nasprotnih strank.</w:t>
      </w:r>
    </w:p>
    <w:p w14:paraId="61C8CA7A" w14:textId="77777777" w:rsidR="00BC6257" w:rsidRDefault="006567CF">
      <w:pPr>
        <w:spacing w:after="0" w:line="240" w:lineRule="auto"/>
      </w:pPr>
      <w:r>
        <w:t xml:space="preserve"> </w:t>
      </w:r>
    </w:p>
    <w:p w14:paraId="61C8CA7B" w14:textId="77777777" w:rsidR="00BC6257" w:rsidRDefault="006567CF">
      <w:pPr>
        <w:spacing w:after="0" w:line="240" w:lineRule="auto"/>
      </w:pPr>
      <w:r>
        <w:t>Doda se nov šesti odstavek, ki določa obveznost borznoposredniške družbe, da njen upravljalni organ pripravi konkretne načrte in merljive cilje v skladu z zahtevami iz 7a člena Uredbe 648/2012/EU za spremljanje in obravnavanje navedenega tveganja koncentracije v razmerju do centralnih nasprotnih strank, ki ponujajo storitve znatnega sistemskega pomena za Unijo ali za eno ali več njenih držav članic. Določba je usmerjena zlasti v obvladovanje izpostavljenosti do sistemsko pomembnih centralnih nasprotnih strank iz tretjih držav in spodbuja prilagoditev poslovnih modelov novim zahtevam za kliring. Vsebinsko je povezana s 5. členom tega zakona (nadzorna pooblastila agencije) in z 8. členom tega zakona (nadzorniško pregledovanje in ovrednotenje teh načrtov).</w:t>
      </w:r>
    </w:p>
    <w:p w14:paraId="61C8CA7C" w14:textId="77777777" w:rsidR="00BC6257" w:rsidRDefault="006567CF">
      <w:pPr>
        <w:spacing w:after="0" w:line="240" w:lineRule="auto"/>
      </w:pPr>
      <w:r>
        <w:t xml:space="preserve"> </w:t>
      </w:r>
    </w:p>
    <w:p w14:paraId="61C8CA7D" w14:textId="77777777" w:rsidR="00BC6257" w:rsidRDefault="006567CF">
      <w:pPr>
        <w:spacing w:after="0" w:line="240" w:lineRule="auto"/>
      </w:pPr>
      <w:r>
        <w:t>Zaradi dodanega novega šestega odstavka se dosedanji šesti do deveti odstavek 35. člena ZBNIP ustrezno preštevilčijo v sedmi do deseti odstavek.</w:t>
      </w:r>
    </w:p>
    <w:p w14:paraId="61C8CA7E" w14:textId="77777777" w:rsidR="00BC6257" w:rsidRDefault="00BC6257">
      <w:pPr>
        <w:spacing w:after="0" w:line="260" w:lineRule="auto"/>
        <w:rPr>
          <w:rFonts w:cs="Arial"/>
        </w:rPr>
      </w:pPr>
    </w:p>
    <w:p w14:paraId="61C8CA7F" w14:textId="77777777" w:rsidR="00BC6257" w:rsidRDefault="006567CF">
      <w:pPr>
        <w:pStyle w:val="Odebeljeno"/>
        <w:spacing w:line="260" w:lineRule="auto"/>
      </w:pPr>
      <w:r>
        <w:t>K 8. členu:</w:t>
      </w:r>
    </w:p>
    <w:p w14:paraId="61C8CA80" w14:textId="77777777" w:rsidR="00BC6257" w:rsidRDefault="006567CF">
      <w:pPr>
        <w:spacing w:after="0" w:line="240" w:lineRule="auto"/>
      </w:pPr>
      <w:r>
        <w:t>S tem členom se zaradi prenosa 4. točke 3. člena Direktive 2024/2994/EU v 54. členu ZBNIP, ki ureja nadzorniško pregledovanje in ovrednotenje, doda nov osmi odstavek.</w:t>
      </w:r>
    </w:p>
    <w:p w14:paraId="61C8CA81" w14:textId="77777777" w:rsidR="00BC6257" w:rsidRDefault="006567CF">
      <w:pPr>
        <w:spacing w:after="0" w:line="240" w:lineRule="auto"/>
      </w:pPr>
      <w:r>
        <w:t xml:space="preserve"> </w:t>
      </w:r>
    </w:p>
    <w:p w14:paraId="61C8CA82" w14:textId="77777777" w:rsidR="00BC6257" w:rsidRDefault="006567CF">
      <w:pPr>
        <w:spacing w:after="0" w:line="240" w:lineRule="auto"/>
      </w:pPr>
      <w:r>
        <w:t>Nova določba agenciji nalaga, da oceni in spremlja razvoj na področju praks borznoposredniških družb v zvezi z upravljanjem tveganja koncentracije, ki izhaja iz izpostavljenosti do centralnih nasprotnih strank, vključno z načrti, pripravljenimi v skladu s šestim odstavkom 35. člena ZBNIP, ter napredek pri prilagajanju njihovih poslovnih modelov zahtevam iz 7a člena Uredbe 648/2012/EU. Določba je neposredno povezana s 7. členom tega zakona, saj agencija v okviru nadzorniškega pregledovanja in ovrednotenja spremlja izvajanje obveznosti, ki se s 7. členom tega zakona uvajajo v 35. člen ZBNIP.</w:t>
      </w:r>
    </w:p>
    <w:p w14:paraId="61C8CA83" w14:textId="77777777" w:rsidR="00BC6257" w:rsidRDefault="00BC6257">
      <w:pPr>
        <w:spacing w:after="0" w:line="260" w:lineRule="auto"/>
        <w:rPr>
          <w:rFonts w:cs="Arial"/>
        </w:rPr>
      </w:pPr>
    </w:p>
    <w:p w14:paraId="61C8CA84" w14:textId="77777777" w:rsidR="00BC6257" w:rsidRDefault="006567CF">
      <w:pPr>
        <w:pStyle w:val="Odebeljeno"/>
        <w:spacing w:line="260" w:lineRule="auto"/>
      </w:pPr>
      <w:r>
        <w:t>K 9. členu:</w:t>
      </w:r>
    </w:p>
    <w:p w14:paraId="61C8CA85" w14:textId="77777777" w:rsidR="00BC6257" w:rsidRDefault="006567CF">
      <w:pPr>
        <w:spacing w:after="0" w:line="240" w:lineRule="auto"/>
      </w:pPr>
      <w:r>
        <w:t>S tem členom se spreminja 4. točka prvega odstavka 75. člena ZBNIP, ki določa prekršek investicijskega holdinga, mešanega finančnega holdinga ali mešanega poslovnega holdinga. Veljavni 75. člen ZBNIP napotuje na zahteve za člane upravljalnega organa iz 40. člena ZBan-3; vsebinsko enaka ureditev pogojev za imenovanje člana uprave je v ZBan-4 določena v 47. členu, zato se sklicevanje ustrezno posodobi.</w:t>
      </w:r>
    </w:p>
    <w:p w14:paraId="61C8CA86" w14:textId="77777777" w:rsidR="00BC6257" w:rsidRDefault="00BC6257">
      <w:pPr>
        <w:spacing w:after="0" w:line="260" w:lineRule="auto"/>
        <w:rPr>
          <w:rFonts w:cs="Arial"/>
        </w:rPr>
      </w:pPr>
    </w:p>
    <w:p w14:paraId="61C8CA87" w14:textId="77777777" w:rsidR="00BC6257" w:rsidRDefault="006567CF">
      <w:pPr>
        <w:pStyle w:val="Odebeljeno"/>
        <w:spacing w:line="260" w:lineRule="auto"/>
      </w:pPr>
      <w:r>
        <w:t>K 10. členu:</w:t>
      </w:r>
    </w:p>
    <w:p w14:paraId="61C8CA88" w14:textId="77777777" w:rsidR="00BC6257" w:rsidRDefault="006567CF">
      <w:pPr>
        <w:spacing w:after="0" w:line="240" w:lineRule="auto"/>
      </w:pPr>
      <w:r>
        <w:t>Člen določa začetek veljavnosti zakona. Skladno s 154. členom Ustave Republike Slovenije zakon začne veljati petnajsti dan po objavi v Uradnem listu Republike Slovenije.</w:t>
      </w:r>
    </w:p>
    <w:p w14:paraId="61C8CA89" w14:textId="77777777" w:rsidR="00BC6257" w:rsidRDefault="00BC6257">
      <w:pPr>
        <w:spacing w:after="0" w:line="260" w:lineRule="auto"/>
        <w:rPr>
          <w:rFonts w:cs="Arial"/>
        </w:rPr>
      </w:pPr>
    </w:p>
    <w:p w14:paraId="61C8CA8A" w14:textId="77777777" w:rsidR="00BC6257" w:rsidRDefault="006567CF">
      <w:r>
        <w:br w:type="page"/>
      </w:r>
    </w:p>
    <w:p w14:paraId="61C8CA8B" w14:textId="77777777" w:rsidR="00BC6257" w:rsidRPr="00DB50BC" w:rsidRDefault="006567CF">
      <w:pPr>
        <w:pStyle w:val="Odebeljeno"/>
        <w:spacing w:line="260" w:lineRule="auto"/>
      </w:pPr>
      <w:r w:rsidRPr="00DB50BC">
        <w:lastRenderedPageBreak/>
        <w:t>IV.</w:t>
      </w:r>
      <w:r w:rsidRPr="00DB50BC">
        <w:tab/>
        <w:t>BESEDILO ČLENOV, KI SE SPREMINJAJO</w:t>
      </w:r>
    </w:p>
    <w:p w14:paraId="61C8CA8C" w14:textId="77777777" w:rsidR="00BC6257" w:rsidRPr="00DB50BC" w:rsidRDefault="00BC6257">
      <w:pPr>
        <w:spacing w:after="0" w:line="260" w:lineRule="auto"/>
        <w:rPr>
          <w:rFonts w:cs="Arial"/>
        </w:rPr>
      </w:pPr>
    </w:p>
    <w:p w14:paraId="61C8CA8D" w14:textId="77777777" w:rsidR="00BC6257" w:rsidRPr="00DB50BC" w:rsidRDefault="006567CF">
      <w:pPr>
        <w:pStyle w:val="Odebeljeno"/>
        <w:spacing w:line="260" w:lineRule="auto"/>
      </w:pPr>
      <w:r w:rsidRPr="00DB50BC">
        <w:t>Zakon o bonitetnem nadzoru investicijskih podjetij</w:t>
      </w:r>
    </w:p>
    <w:p w14:paraId="61C8CA8E" w14:textId="77777777" w:rsidR="00BC6257" w:rsidRPr="00DB50BC" w:rsidRDefault="006567CF">
      <w:pPr>
        <w:spacing w:after="0" w:line="260" w:lineRule="auto"/>
      </w:pPr>
      <w:r w:rsidRPr="00DB50BC">
        <w:t>(Uradni list RS, št. 123/21 in 10/26 – ZdZEETD)</w:t>
      </w:r>
    </w:p>
    <w:p w14:paraId="61C8CA8F" w14:textId="77777777" w:rsidR="00BC6257" w:rsidRPr="00DB50BC" w:rsidRDefault="00BC6257">
      <w:pPr>
        <w:spacing w:after="0" w:line="260" w:lineRule="auto"/>
        <w:rPr>
          <w:rFonts w:cs="Arial"/>
        </w:rPr>
      </w:pPr>
    </w:p>
    <w:p w14:paraId="61C8CA90" w14:textId="77777777" w:rsidR="00BC6257" w:rsidRPr="00DB50BC" w:rsidRDefault="006567CF">
      <w:pPr>
        <w:pStyle w:val="center"/>
        <w:spacing w:after="210"/>
        <w:rPr>
          <w:rFonts w:cs="Arial"/>
          <w:b/>
          <w:sz w:val="21"/>
        </w:rPr>
      </w:pPr>
      <w:r w:rsidRPr="00DB50BC">
        <w:rPr>
          <w:rFonts w:cs="Arial"/>
          <w:b/>
          <w:sz w:val="21"/>
        </w:rPr>
        <w:t>3. člen</w:t>
      </w:r>
    </w:p>
    <w:p w14:paraId="61C8CA91" w14:textId="77777777" w:rsidR="00BC6257" w:rsidRPr="00DB50BC" w:rsidRDefault="006567CF">
      <w:pPr>
        <w:pStyle w:val="center"/>
        <w:spacing w:before="210" w:after="210"/>
        <w:rPr>
          <w:rFonts w:cs="Arial"/>
          <w:b/>
          <w:sz w:val="21"/>
        </w:rPr>
      </w:pPr>
      <w:r w:rsidRPr="00DB50BC">
        <w:rPr>
          <w:rFonts w:cs="Arial"/>
          <w:b/>
          <w:sz w:val="21"/>
        </w:rPr>
        <w:t>(prenos in izvajanje predpisov Evropske unije)</w:t>
      </w:r>
    </w:p>
    <w:p w14:paraId="61C8CA92" w14:textId="381F5011" w:rsidR="00BC6257" w:rsidRPr="00DB50BC" w:rsidRDefault="006567CF">
      <w:pPr>
        <w:spacing w:before="210" w:after="210"/>
        <w:rPr>
          <w:rFonts w:cs="Arial"/>
          <w:sz w:val="21"/>
        </w:rPr>
      </w:pPr>
      <w:r w:rsidRPr="00DB50BC">
        <w:rPr>
          <w:rFonts w:cs="Arial"/>
        </w:rPr>
        <w:t>(1) S tem zakonom se v pravni red Republike Slovenije prenaša</w:t>
      </w:r>
      <w:r w:rsidR="0004694D" w:rsidRPr="00DB50BC">
        <w:rPr>
          <w:rFonts w:cs="Arial"/>
        </w:rPr>
        <w:t xml:space="preserve"> </w:t>
      </w:r>
      <w:r w:rsidRPr="00DB50BC">
        <w:rPr>
          <w:rFonts w:cs="Arial"/>
          <w:color w:val="000000"/>
        </w:rPr>
        <w:t>Direktiva</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2019/2034</w:t>
      </w:r>
      <w:r w:rsidR="0004694D" w:rsidRPr="00DB50BC">
        <w:rPr>
          <w:rFonts w:cs="Arial"/>
        </w:rPr>
        <w:t xml:space="preserve"> </w:t>
      </w:r>
      <w:r w:rsidRPr="00DB50BC">
        <w:rPr>
          <w:rFonts w:cs="Arial"/>
        </w:rPr>
        <w:t>Evropskega parlamenta in Sveta z dne 27. novembra 2019 o bonitetnem nadzoru investicijskih podjetij ter o spremembi</w:t>
      </w:r>
      <w:r w:rsidR="0004694D" w:rsidRPr="00DB50BC">
        <w:rPr>
          <w:rFonts w:cs="Arial"/>
        </w:rPr>
        <w:t xml:space="preserve"> </w:t>
      </w:r>
      <w:r w:rsidRPr="00DB50BC">
        <w:rPr>
          <w:rFonts w:cs="Arial"/>
          <w:color w:val="000000"/>
        </w:rPr>
        <w:t>direktiv</w:t>
      </w:r>
      <w:r w:rsidRPr="00DB50BC">
        <w:rPr>
          <w:rFonts w:cs="Arial"/>
          <w:color w:val="0000EE"/>
        </w:rPr>
        <w:t xml:space="preserve"> </w:t>
      </w:r>
      <w:r w:rsidRPr="00DB50BC">
        <w:rPr>
          <w:rFonts w:cs="Arial"/>
          <w:color w:val="000000"/>
        </w:rPr>
        <w:t>2002/87/ES,</w:t>
      </w:r>
      <w:r w:rsidR="0004694D" w:rsidRPr="00DB50BC">
        <w:rPr>
          <w:rFonts w:cs="Arial"/>
        </w:rPr>
        <w:t xml:space="preserve"> </w:t>
      </w:r>
      <w:r w:rsidRPr="00DB50BC">
        <w:rPr>
          <w:rFonts w:cs="Arial"/>
          <w:color w:val="000000"/>
        </w:rPr>
        <w:t>2009/65/ES,</w:t>
      </w:r>
      <w:r w:rsidR="0004694D" w:rsidRPr="00DB50BC">
        <w:rPr>
          <w:rFonts w:cs="Arial"/>
        </w:rPr>
        <w:t xml:space="preserve"> </w:t>
      </w:r>
      <w:r w:rsidRPr="00DB50BC">
        <w:rPr>
          <w:rFonts w:cs="Arial"/>
          <w:color w:val="000000"/>
        </w:rPr>
        <w:t>2011/61/EU,</w:t>
      </w:r>
      <w:r w:rsidR="0004694D" w:rsidRPr="00DB50BC">
        <w:rPr>
          <w:rFonts w:cs="Arial"/>
        </w:rPr>
        <w:t xml:space="preserve"> </w:t>
      </w:r>
      <w:r w:rsidRPr="00DB50BC">
        <w:rPr>
          <w:rFonts w:cs="Arial"/>
          <w:color w:val="000000"/>
        </w:rPr>
        <w:t>2013/36/EU,</w:t>
      </w:r>
      <w:r w:rsidR="0004694D" w:rsidRPr="00DB50BC">
        <w:rPr>
          <w:rFonts w:cs="Arial"/>
        </w:rPr>
        <w:t xml:space="preserve"> </w:t>
      </w:r>
      <w:r w:rsidRPr="00DB50BC">
        <w:rPr>
          <w:rFonts w:cs="Arial"/>
          <w:color w:val="000000"/>
        </w:rPr>
        <w:t>2014/59/EU</w:t>
      </w:r>
      <w:r w:rsidR="0004694D" w:rsidRPr="00DB50BC">
        <w:rPr>
          <w:rFonts w:cs="Arial"/>
        </w:rPr>
        <w:t xml:space="preserve"> </w:t>
      </w:r>
      <w:r w:rsidRPr="00DB50BC">
        <w:rPr>
          <w:rFonts w:cs="Arial"/>
        </w:rPr>
        <w:t>in</w:t>
      </w:r>
      <w:r w:rsidR="0004694D" w:rsidRPr="00DB50BC">
        <w:rPr>
          <w:rFonts w:cs="Arial"/>
        </w:rPr>
        <w:t xml:space="preserve"> </w:t>
      </w:r>
      <w:r w:rsidRPr="00DB50BC">
        <w:rPr>
          <w:rFonts w:cs="Arial"/>
          <w:color w:val="000000"/>
        </w:rPr>
        <w:t>2014/65/EU</w:t>
      </w:r>
      <w:r w:rsidR="0004694D" w:rsidRPr="00DB50BC">
        <w:rPr>
          <w:rFonts w:cs="Arial"/>
        </w:rPr>
        <w:t xml:space="preserve"> </w:t>
      </w:r>
      <w:r w:rsidRPr="00DB50BC">
        <w:rPr>
          <w:rFonts w:cs="Arial"/>
        </w:rPr>
        <w:t>(UL L št. 314 z dne 5. 12. 2019, str. 64), zadnjič spremenjena z</w:t>
      </w:r>
      <w:r w:rsidR="0004694D" w:rsidRPr="00DB50BC">
        <w:rPr>
          <w:rFonts w:cs="Arial"/>
        </w:rPr>
        <w:t xml:space="preserve"> </w:t>
      </w:r>
      <w:r w:rsidRPr="00DB50BC">
        <w:rPr>
          <w:rFonts w:cs="Arial"/>
          <w:color w:val="000000"/>
        </w:rPr>
        <w:t>Direktivo</w:t>
      </w:r>
      <w:r w:rsidRPr="00DB50BC">
        <w:rPr>
          <w:rFonts w:cs="Arial"/>
          <w:color w:val="0000EE"/>
        </w:rPr>
        <w:t xml:space="preserve"> </w:t>
      </w:r>
      <w:r w:rsidRPr="00DB50BC">
        <w:rPr>
          <w:rFonts w:cs="Arial"/>
          <w:color w:val="000000"/>
        </w:rPr>
        <w:t>2023/2864/EU</w:t>
      </w:r>
      <w:r w:rsidR="0004694D" w:rsidRPr="00DB50BC">
        <w:rPr>
          <w:rFonts w:cs="Arial"/>
        </w:rPr>
        <w:t xml:space="preserve"> </w:t>
      </w:r>
      <w:r w:rsidRPr="00DB50BC">
        <w:rPr>
          <w:rFonts w:cs="Arial"/>
        </w:rPr>
        <w:t>Evropskega parlamenta in Sveta z dne 13. decembra 2023 o spremembi nekaterih direktiv glede vzpostavitve in delovanja evropske enotne točke dostopa (UL L št. 2023/2864 z dne 20. 12. 2023), (v nadaljnjem besedilu:</w:t>
      </w:r>
      <w:r w:rsidR="0004694D" w:rsidRPr="00DB50BC">
        <w:rPr>
          <w:rFonts w:cs="Arial"/>
        </w:rPr>
        <w:t xml:space="preserve"> </w:t>
      </w:r>
      <w:r w:rsidRPr="00DB50BC">
        <w:rPr>
          <w:rFonts w:cs="Arial"/>
          <w:color w:val="000000"/>
        </w:rPr>
        <w:t>Direktiva</w:t>
      </w:r>
      <w:r w:rsidRPr="00DB50BC">
        <w:rPr>
          <w:rFonts w:cs="Arial"/>
          <w:color w:val="0000EE"/>
        </w:rPr>
        <w:t xml:space="preserve"> </w:t>
      </w:r>
      <w:r w:rsidRPr="00DB50BC">
        <w:rPr>
          <w:rFonts w:cs="Arial"/>
          <w:color w:val="000000"/>
        </w:rPr>
        <w:t>2019/2034/EU).</w:t>
      </w:r>
    </w:p>
    <w:p w14:paraId="61C8CA93" w14:textId="1416AFAB" w:rsidR="00BC6257" w:rsidRPr="00DB50BC" w:rsidRDefault="006567CF">
      <w:pPr>
        <w:spacing w:before="210" w:after="210"/>
        <w:rPr>
          <w:rFonts w:cs="Arial"/>
          <w:sz w:val="21"/>
        </w:rPr>
      </w:pPr>
      <w:r w:rsidRPr="00DB50BC">
        <w:rPr>
          <w:rFonts w:cs="Arial"/>
        </w:rPr>
        <w:t>(2) S tem zakonom se podrobneje ureja izvajanje</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94" w14:textId="77777777" w:rsidR="00BC6257" w:rsidRPr="00DB50BC" w:rsidRDefault="006567CF">
      <w:pPr>
        <w:pStyle w:val="center"/>
        <w:spacing w:before="210" w:after="210"/>
        <w:rPr>
          <w:rFonts w:cs="Arial"/>
          <w:b/>
          <w:sz w:val="21"/>
        </w:rPr>
      </w:pPr>
      <w:r w:rsidRPr="00DB50BC">
        <w:rPr>
          <w:rFonts w:cs="Arial"/>
          <w:b/>
          <w:sz w:val="21"/>
        </w:rPr>
        <w:t>4. člen</w:t>
      </w:r>
    </w:p>
    <w:p w14:paraId="61C8CA95" w14:textId="77777777" w:rsidR="00BC6257" w:rsidRPr="00DB50BC" w:rsidRDefault="006567CF">
      <w:pPr>
        <w:pStyle w:val="center"/>
        <w:spacing w:before="210" w:after="210"/>
        <w:rPr>
          <w:rFonts w:cs="Arial"/>
          <w:b/>
          <w:sz w:val="21"/>
        </w:rPr>
      </w:pPr>
      <w:r w:rsidRPr="00DB50BC">
        <w:rPr>
          <w:rFonts w:cs="Arial"/>
          <w:b/>
          <w:sz w:val="21"/>
        </w:rPr>
        <w:t>(pomen izrazov)</w:t>
      </w:r>
    </w:p>
    <w:p w14:paraId="61C8CA96" w14:textId="77777777" w:rsidR="00BC6257" w:rsidRPr="00DB50BC" w:rsidRDefault="006567CF">
      <w:pPr>
        <w:spacing w:before="210" w:after="210"/>
        <w:rPr>
          <w:rFonts w:cs="Arial"/>
          <w:sz w:val="21"/>
        </w:rPr>
      </w:pPr>
      <w:r w:rsidRPr="00DB50BC">
        <w:rPr>
          <w:rFonts w:cs="Arial"/>
        </w:rPr>
        <w:t>Izrazi, uporabljeni v tem zakonu, pomenijo:</w:t>
      </w:r>
    </w:p>
    <w:p w14:paraId="61C8CA97" w14:textId="77777777" w:rsidR="00BC6257" w:rsidRPr="00DB50BC" w:rsidRDefault="006567CF">
      <w:pPr>
        <w:spacing w:before="210" w:after="210"/>
        <w:rPr>
          <w:rFonts w:cs="Arial"/>
          <w:sz w:val="21"/>
        </w:rPr>
      </w:pPr>
      <w:r w:rsidRPr="00DB50BC">
        <w:rPr>
          <w:rFonts w:cs="Arial"/>
        </w:rPr>
        <w:t>1. »podjetje za pomožne storitve« pomeni podjetje, katerega osnovna dejavnost je lastništvo ali upravljanje premoženja, izvajanje storitev obdelave podatkov ali podobna dejavnost, ki je pomožna glede na osnovno dejavnost enega ali več investicijskih podjetij;</w:t>
      </w:r>
    </w:p>
    <w:p w14:paraId="61C8CA98" w14:textId="77777777" w:rsidR="00BC6257" w:rsidRPr="00DB50BC" w:rsidRDefault="006567CF">
      <w:pPr>
        <w:spacing w:before="210" w:after="210"/>
        <w:rPr>
          <w:rFonts w:cs="Arial"/>
          <w:sz w:val="21"/>
        </w:rPr>
      </w:pPr>
      <w:r w:rsidRPr="00DB50BC">
        <w:rPr>
          <w:rFonts w:cs="Arial"/>
        </w:rPr>
        <w:t>2. »dovoljenje« pomeni dovoljenje investicijskega podjetja v skladu z 59. členom zakona, ki ureja trg finančnih instrumentov (v nadaljnjem besedilu: ZTFI-1);</w:t>
      </w:r>
    </w:p>
    <w:p w14:paraId="61C8CA99" w14:textId="77777777" w:rsidR="00BC6257" w:rsidRPr="00DB50BC" w:rsidRDefault="006567CF">
      <w:pPr>
        <w:spacing w:before="210" w:after="210"/>
        <w:rPr>
          <w:rFonts w:cs="Arial"/>
          <w:sz w:val="21"/>
        </w:rPr>
      </w:pPr>
      <w:r w:rsidRPr="00DB50BC">
        <w:rPr>
          <w:rFonts w:cs="Arial"/>
        </w:rPr>
        <w:t>3. »podružnica« pomeni podružnico, kakor je opredeljena 22. členu ZTFI-1;</w:t>
      </w:r>
    </w:p>
    <w:p w14:paraId="61C8CA9A" w14:textId="77777777" w:rsidR="00BC6257" w:rsidRPr="00DB50BC" w:rsidRDefault="006567CF">
      <w:pPr>
        <w:spacing w:before="210" w:after="210"/>
        <w:rPr>
          <w:rFonts w:cs="Arial"/>
          <w:sz w:val="21"/>
        </w:rPr>
      </w:pPr>
      <w:r w:rsidRPr="00DB50BC">
        <w:rPr>
          <w:rFonts w:cs="Arial"/>
        </w:rPr>
        <w:t>4. »tesna povezanost« pomeni tesno povezanost, kakor je opredeljena v 25. členu ZTFI-1;</w:t>
      </w:r>
    </w:p>
    <w:p w14:paraId="61C8CA9B" w14:textId="3E644D41" w:rsidR="00BC6257" w:rsidRPr="00DB50BC" w:rsidRDefault="006567CF">
      <w:pPr>
        <w:spacing w:before="210" w:after="210"/>
        <w:rPr>
          <w:rFonts w:cs="Arial"/>
          <w:sz w:val="21"/>
        </w:rPr>
      </w:pPr>
      <w:r w:rsidRPr="00DB50BC">
        <w:rPr>
          <w:rFonts w:cs="Arial"/>
        </w:rPr>
        <w:t>5. »pristojni organ« pomeni javni organ ali organ države članice, ki je v skladu z nacionalnim pravom uradno priznan in pooblaščen za nadzor investicijskih podjetij v skladu z nacionalnimi predpisi, ki prenašajo</w:t>
      </w:r>
      <w:r w:rsidR="0004694D" w:rsidRPr="00DB50BC">
        <w:rPr>
          <w:rFonts w:cs="Arial"/>
        </w:rPr>
        <w:t xml:space="preserve"> </w:t>
      </w:r>
      <w:r w:rsidRPr="00DB50BC">
        <w:rPr>
          <w:rFonts w:cs="Arial"/>
          <w:color w:val="000000"/>
        </w:rPr>
        <w:t>Direktivo</w:t>
      </w:r>
      <w:r w:rsidRPr="00DB50BC">
        <w:rPr>
          <w:rFonts w:cs="Arial"/>
          <w:color w:val="0000EE"/>
        </w:rPr>
        <w:t xml:space="preserve"> </w:t>
      </w:r>
      <w:r w:rsidRPr="00DB50BC">
        <w:rPr>
          <w:rFonts w:cs="Arial"/>
          <w:color w:val="000000"/>
        </w:rPr>
        <w:t>2019/2034/EU</w:t>
      </w:r>
      <w:r w:rsidR="0004694D" w:rsidRPr="00DB50BC">
        <w:rPr>
          <w:rFonts w:cs="Arial"/>
        </w:rPr>
        <w:t xml:space="preserve"> </w:t>
      </w:r>
      <w:r w:rsidRPr="00DB50BC">
        <w:rPr>
          <w:rFonts w:cs="Arial"/>
        </w:rPr>
        <w:t>v okviru sistema nadzora, delujočega v tej državi članici, in v Republiki Sloveniji pomeni agencijo;</w:t>
      </w:r>
    </w:p>
    <w:p w14:paraId="61C8CA9C" w14:textId="273FFD73" w:rsidR="00BC6257" w:rsidRPr="00DB50BC" w:rsidRDefault="006567CF">
      <w:pPr>
        <w:spacing w:before="210" w:after="210"/>
        <w:rPr>
          <w:rFonts w:cs="Arial"/>
          <w:sz w:val="21"/>
        </w:rPr>
      </w:pPr>
      <w:r w:rsidRPr="00DB50BC">
        <w:rPr>
          <w:rFonts w:cs="Arial"/>
        </w:rPr>
        <w:t>6. »trgovec z blagom in pravicami do emisij« pomeni trgovca z blagom in pravicami do emisij, kakor je opredeljen v 150.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575/2013</w:t>
      </w:r>
      <w:r w:rsidR="0004694D" w:rsidRPr="00DB50BC">
        <w:rPr>
          <w:rFonts w:cs="Arial"/>
        </w:rPr>
        <w:t xml:space="preserve"> </w:t>
      </w:r>
      <w:r w:rsidRPr="00DB50BC">
        <w:rPr>
          <w:rFonts w:cs="Arial"/>
        </w:rPr>
        <w:t>Evropskega parlamenta in Sveta z dne 26. junija 2013 o bonitetnih zahtevah za kreditne institucije in investicijska podjetja ter o spremembi</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648/2012</w:t>
      </w:r>
      <w:r w:rsidR="0004694D" w:rsidRPr="00DB50BC">
        <w:rPr>
          <w:rFonts w:cs="Arial"/>
        </w:rPr>
        <w:t xml:space="preserve"> </w:t>
      </w:r>
      <w:r w:rsidRPr="00DB50BC">
        <w:rPr>
          <w:rFonts w:cs="Arial"/>
        </w:rPr>
        <w:t>(UL L št. 176 z dne 27. 6. 2013, str. 1), zadnjič spremenjene z</w:t>
      </w:r>
      <w:r w:rsidR="0004694D" w:rsidRPr="00DB50BC">
        <w:rPr>
          <w:rFonts w:cs="Arial"/>
        </w:rPr>
        <w:t xml:space="preserve"> </w:t>
      </w:r>
      <w:r w:rsidRPr="00DB50BC">
        <w:rPr>
          <w:rFonts w:cs="Arial"/>
          <w:color w:val="000000"/>
        </w:rPr>
        <w:t>Delegirano</w:t>
      </w:r>
      <w:r w:rsidRPr="00DB50BC">
        <w:rPr>
          <w:rFonts w:cs="Arial"/>
          <w:color w:val="0000EE"/>
        </w:rPr>
        <w:t xml:space="preserve"> </w:t>
      </w:r>
      <w:r w:rsidRPr="00DB50BC">
        <w:rPr>
          <w:rFonts w:cs="Arial"/>
          <w:color w:val="000000"/>
        </w:rPr>
        <w:t>uredba</w:t>
      </w:r>
      <w:r w:rsidRPr="00DB50BC">
        <w:rPr>
          <w:rFonts w:cs="Arial"/>
          <w:color w:val="0000EE"/>
        </w:rPr>
        <w:t xml:space="preserve"> </w:t>
      </w:r>
      <w:r w:rsidRPr="00DB50BC">
        <w:rPr>
          <w:rFonts w:cs="Arial"/>
          <w:color w:val="000000"/>
        </w:rPr>
        <w:t>Komisije</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2021/931</w:t>
      </w:r>
      <w:r w:rsidR="0004694D" w:rsidRPr="00DB50BC">
        <w:rPr>
          <w:rFonts w:cs="Arial"/>
        </w:rPr>
        <w:t xml:space="preserve"> </w:t>
      </w:r>
      <w:r w:rsidRPr="00DB50BC">
        <w:rPr>
          <w:rFonts w:cs="Arial"/>
        </w:rPr>
        <w:t>z dne 1. marca 2021 o dopolnitvi</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575/2013</w:t>
      </w:r>
      <w:r w:rsidR="0004694D" w:rsidRPr="00DB50BC">
        <w:rPr>
          <w:rFonts w:cs="Arial"/>
        </w:rPr>
        <w:t xml:space="preserve"> </w:t>
      </w:r>
      <w:r w:rsidRPr="00DB50BC">
        <w:rPr>
          <w:rFonts w:cs="Arial"/>
        </w:rPr>
        <w:t xml:space="preserve">Evropskega parlamenta in Sveta v zvezi z regulativnimi tehničnimi standardi, ki določajo metodo za opredelitev poslov z izvedenimi finančnimi instrumenti z enim ali več pomembnimi povzročitelji tveganja za namene člena 277(5), formulo za izračun nadzorniške delte nakupnih in prodajnih opcij, razporejenih v kategorijo obrestnega tveganja, in metodo za določanje, ali je posel dolga ali kratka pozicija v primarnem povzročitelju tveganja ali v najpomembnejšem povzročitelju tveganja v dani kategoriji tveganja za namene </w:t>
      </w:r>
      <w:r w:rsidRPr="00DB50BC">
        <w:rPr>
          <w:rFonts w:cs="Arial"/>
        </w:rPr>
        <w:lastRenderedPageBreak/>
        <w:t>člena 279a(3)(a) in (b) v okviru standardiziranega pristopa za kreditno tveganje nasprotne stranke (UL L št. 204 z dne 10. 6. 2021, str. 7), (v nadaljnjem besedilu:</w:t>
      </w:r>
      <w:r w:rsidR="0004694D" w:rsidRPr="00DB50BC">
        <w:rPr>
          <w:rFonts w:cs="Arial"/>
        </w:rPr>
        <w:t xml:space="preserve"> </w:t>
      </w:r>
      <w:r w:rsidRPr="00DB50BC">
        <w:rPr>
          <w:rFonts w:cs="Arial"/>
          <w:color w:val="000000"/>
        </w:rPr>
        <w:t>Uredba</w:t>
      </w:r>
      <w:r w:rsidRPr="00DB50BC">
        <w:rPr>
          <w:rFonts w:cs="Arial"/>
          <w:color w:val="0000EE"/>
        </w:rPr>
        <w:t xml:space="preserve"> </w:t>
      </w:r>
      <w:r w:rsidRPr="00DB50BC">
        <w:rPr>
          <w:rFonts w:cs="Arial"/>
          <w:color w:val="000000"/>
        </w:rPr>
        <w:t>575/2013/EU);</w:t>
      </w:r>
    </w:p>
    <w:p w14:paraId="61C8CA9D" w14:textId="77777777" w:rsidR="00BC6257" w:rsidRPr="00DB50BC" w:rsidRDefault="006567CF">
      <w:pPr>
        <w:spacing w:before="210" w:after="210"/>
        <w:rPr>
          <w:rFonts w:cs="Arial"/>
          <w:sz w:val="21"/>
        </w:rPr>
      </w:pPr>
      <w:r w:rsidRPr="00DB50BC">
        <w:rPr>
          <w:rFonts w:cs="Arial"/>
        </w:rPr>
        <w:t>7. »obvladovanje« pomeni razmerje med obvladujočim podjetjem in odvisnim podjetjem, kakor je opredeljeno v 2. točki 25. člena ZTFI-1, ali podobno razmerje med fizično ali pravno osebo in podjetjem;</w:t>
      </w:r>
    </w:p>
    <w:p w14:paraId="61C8CA9E" w14:textId="3BB8A1C8" w:rsidR="00BC6257" w:rsidRPr="00DB50BC" w:rsidRDefault="006567CF">
      <w:pPr>
        <w:spacing w:before="210" w:after="210"/>
        <w:rPr>
          <w:rFonts w:cs="Arial"/>
          <w:sz w:val="21"/>
        </w:rPr>
      </w:pPr>
      <w:r w:rsidRPr="00DB50BC">
        <w:rPr>
          <w:rFonts w:cs="Arial"/>
        </w:rPr>
        <w:t>8. »izpolnjevanje zahtev preskusa kapitala skupine« pomeni skladnost obvladujočega podjetja v skupini investicijskih podjetij z zahtevami 8.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9F" w14:textId="25BC17AD" w:rsidR="00BC6257" w:rsidRPr="00DB50BC" w:rsidRDefault="006567CF">
      <w:pPr>
        <w:spacing w:before="210" w:after="210"/>
        <w:rPr>
          <w:rFonts w:cs="Arial"/>
          <w:sz w:val="21"/>
        </w:rPr>
      </w:pPr>
      <w:r w:rsidRPr="00DB50BC">
        <w:rPr>
          <w:rFonts w:cs="Arial"/>
        </w:rPr>
        <w:t>9. »kreditna institucija« pomeni kreditno institucijo, kakor je opredeljena v 1.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575/2013/EU,</w:t>
      </w:r>
      <w:r w:rsidRPr="00DB50BC">
        <w:rPr>
          <w:rFonts w:cs="Arial"/>
        </w:rPr>
        <w:t xml:space="preserve"> in če ima sedež v Republiki Sloveniji, pomeni banko ali hranilnico, kakor sta opredeljeni v 4. členu Zakona o bančništvu (Uradni list RS, št. 92/21; v nadaljnjem besedilu: ZBan-3);</w:t>
      </w:r>
    </w:p>
    <w:p w14:paraId="61C8CAA0" w14:textId="692E0153" w:rsidR="00BC6257" w:rsidRPr="00DB50BC" w:rsidRDefault="006567CF">
      <w:pPr>
        <w:spacing w:before="210" w:after="210"/>
        <w:rPr>
          <w:rFonts w:cs="Arial"/>
          <w:sz w:val="21"/>
        </w:rPr>
      </w:pPr>
      <w:r w:rsidRPr="00DB50BC">
        <w:rPr>
          <w:rFonts w:cs="Arial"/>
        </w:rPr>
        <w:t>10. »izvedeni finančni instrumenti« pomeni izvedene finančne instrumente, kakor so opredeljeni v 29. točki prvega odstavka 2.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600/2014</w:t>
      </w:r>
      <w:r w:rsidR="0004694D" w:rsidRPr="00DB50BC">
        <w:rPr>
          <w:rFonts w:cs="Arial"/>
        </w:rPr>
        <w:t xml:space="preserve"> </w:t>
      </w:r>
      <w:r w:rsidRPr="00DB50BC">
        <w:rPr>
          <w:rFonts w:cs="Arial"/>
        </w:rPr>
        <w:t>Evropskega parlamenta in Sveta z dne 15. maja 2014 o trgih finančnih instrumentov in spremembi</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648/2012</w:t>
      </w:r>
      <w:r w:rsidR="0004694D" w:rsidRPr="00DB50BC">
        <w:rPr>
          <w:rFonts w:cs="Arial"/>
        </w:rPr>
        <w:t xml:space="preserve"> </w:t>
      </w:r>
      <w:r w:rsidRPr="00DB50BC">
        <w:rPr>
          <w:rFonts w:cs="Arial"/>
        </w:rPr>
        <w:t>(UL L št. 173 z dne 12. 6. 2014, str. 84), zadnjič spremenjene z</w:t>
      </w:r>
      <w:r w:rsidR="0004694D" w:rsidRPr="00DB50BC">
        <w:rPr>
          <w:rFonts w:cs="Arial"/>
        </w:rPr>
        <w:t xml:space="preserve"> </w:t>
      </w:r>
      <w:r w:rsidRPr="00DB50BC">
        <w:rPr>
          <w:rFonts w:cs="Arial"/>
          <w:color w:val="000000"/>
        </w:rPr>
        <w:t>Uredbo</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2021/23</w:t>
      </w:r>
      <w:r w:rsidR="0004694D" w:rsidRPr="00DB50BC">
        <w:rPr>
          <w:rFonts w:cs="Arial"/>
        </w:rPr>
        <w:t xml:space="preserve"> </w:t>
      </w:r>
      <w:r w:rsidRPr="00DB50BC">
        <w:rPr>
          <w:rFonts w:cs="Arial"/>
        </w:rPr>
        <w:t>Evropskega parlamenta in Sveta z dne 16. decembra 2020 o okviru za sanacijo in reševanje centralnih nasprotnih strank ter spremembi</w:t>
      </w:r>
      <w:r w:rsidR="0004694D" w:rsidRPr="00DB50BC">
        <w:rPr>
          <w:rFonts w:cs="Arial"/>
        </w:rPr>
        <w:t xml:space="preserve"> </w:t>
      </w:r>
      <w:r w:rsidRPr="00DB50BC">
        <w:rPr>
          <w:rFonts w:cs="Arial"/>
          <w:color w:val="000000"/>
        </w:rPr>
        <w:t>uredb</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1095/2010,</w:t>
      </w:r>
      <w:r w:rsidR="0004694D" w:rsidRPr="00DB50BC">
        <w:rPr>
          <w:rFonts w:cs="Arial"/>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648/2012,</w:t>
      </w:r>
      <w:r w:rsidR="0004694D" w:rsidRPr="00DB50BC">
        <w:rPr>
          <w:rFonts w:cs="Arial"/>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600/2014,</w:t>
      </w:r>
      <w:r w:rsidR="0004694D" w:rsidRPr="00DB50BC">
        <w:rPr>
          <w:rFonts w:cs="Arial"/>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806/2014</w:t>
      </w:r>
      <w:r w:rsidR="0004694D" w:rsidRPr="00DB50BC">
        <w:rPr>
          <w:rFonts w:cs="Arial"/>
        </w:rPr>
        <w:t xml:space="preserve"> </w:t>
      </w:r>
      <w:r w:rsidRPr="00DB50BC">
        <w:rPr>
          <w:rFonts w:cs="Arial"/>
        </w:rPr>
        <w:t>in</w:t>
      </w:r>
      <w:r w:rsidR="0004694D" w:rsidRPr="00DB50BC">
        <w:rPr>
          <w:rFonts w:cs="Arial"/>
        </w:rPr>
        <w:t xml:space="preserve"> </w:t>
      </w:r>
      <w:r w:rsidRPr="00DB50BC">
        <w:rPr>
          <w:rFonts w:cs="Arial"/>
          <w:color w:val="000000"/>
        </w:rPr>
        <w:t>(EU)</w:t>
      </w:r>
      <w:r w:rsidRPr="00DB50BC">
        <w:rPr>
          <w:rFonts w:cs="Arial"/>
          <w:color w:val="0000EE"/>
        </w:rPr>
        <w:t xml:space="preserve"> </w:t>
      </w:r>
      <w:r w:rsidRPr="00DB50BC">
        <w:rPr>
          <w:rFonts w:cs="Arial"/>
          <w:color w:val="000000"/>
        </w:rPr>
        <w:t>2015/2365</w:t>
      </w:r>
      <w:r w:rsidR="0004694D" w:rsidRPr="00DB50BC">
        <w:rPr>
          <w:rFonts w:cs="Arial"/>
        </w:rPr>
        <w:t xml:space="preserve"> </w:t>
      </w:r>
      <w:r w:rsidRPr="00DB50BC">
        <w:rPr>
          <w:rFonts w:cs="Arial"/>
        </w:rPr>
        <w:t>ter</w:t>
      </w:r>
      <w:r w:rsidR="0004694D" w:rsidRPr="00DB50BC">
        <w:rPr>
          <w:rFonts w:cs="Arial"/>
        </w:rPr>
        <w:t xml:space="preserve"> </w:t>
      </w:r>
      <w:r w:rsidRPr="00DB50BC">
        <w:rPr>
          <w:rFonts w:cs="Arial"/>
          <w:color w:val="000000"/>
        </w:rPr>
        <w:t>direktiv</w:t>
      </w:r>
      <w:r w:rsidRPr="00DB50BC">
        <w:rPr>
          <w:rFonts w:cs="Arial"/>
          <w:color w:val="0000EE"/>
        </w:rPr>
        <w:t xml:space="preserve"> </w:t>
      </w:r>
      <w:r w:rsidRPr="00DB50BC">
        <w:rPr>
          <w:rFonts w:cs="Arial"/>
          <w:color w:val="000000"/>
        </w:rPr>
        <w:t>2002/47/ES,</w:t>
      </w:r>
      <w:r w:rsidR="0004694D" w:rsidRPr="00DB50BC">
        <w:rPr>
          <w:rFonts w:cs="Arial"/>
        </w:rPr>
        <w:t xml:space="preserve"> </w:t>
      </w:r>
      <w:r w:rsidRPr="00DB50BC">
        <w:rPr>
          <w:rFonts w:cs="Arial"/>
          <w:color w:val="000000"/>
        </w:rPr>
        <w:t>2004/25/ES,</w:t>
      </w:r>
      <w:r w:rsidR="0004694D" w:rsidRPr="00DB50BC">
        <w:rPr>
          <w:rFonts w:cs="Arial"/>
        </w:rPr>
        <w:t xml:space="preserve"> </w:t>
      </w:r>
      <w:r w:rsidRPr="00DB50BC">
        <w:rPr>
          <w:rFonts w:cs="Arial"/>
          <w:color w:val="000000"/>
        </w:rPr>
        <w:t>2007/36/ES,</w:t>
      </w:r>
      <w:r w:rsidR="0004694D" w:rsidRPr="00DB50BC">
        <w:rPr>
          <w:rFonts w:cs="Arial"/>
        </w:rPr>
        <w:t xml:space="preserve"> </w:t>
      </w:r>
      <w:r w:rsidRPr="00DB50BC">
        <w:rPr>
          <w:rFonts w:cs="Arial"/>
          <w:color w:val="000000"/>
        </w:rPr>
        <w:t>2014/59/EU</w:t>
      </w:r>
      <w:r w:rsidR="0004694D" w:rsidRPr="00DB50BC">
        <w:rPr>
          <w:rFonts w:cs="Arial"/>
        </w:rPr>
        <w:t xml:space="preserve"> </w:t>
      </w:r>
      <w:r w:rsidRPr="00DB50BC">
        <w:rPr>
          <w:rFonts w:cs="Arial"/>
        </w:rPr>
        <w:t>in</w:t>
      </w:r>
      <w:r w:rsidR="0004694D" w:rsidRPr="00DB50BC">
        <w:rPr>
          <w:rFonts w:cs="Arial"/>
        </w:rPr>
        <w:t xml:space="preserve"> </w:t>
      </w:r>
      <w:r w:rsidRPr="00DB50BC">
        <w:rPr>
          <w:rFonts w:cs="Arial"/>
          <w:color w:val="000000"/>
        </w:rPr>
        <w:t>(EU)</w:t>
      </w:r>
      <w:r w:rsidRPr="00DB50BC">
        <w:rPr>
          <w:rFonts w:cs="Arial"/>
          <w:color w:val="0000EE"/>
        </w:rPr>
        <w:t xml:space="preserve"> </w:t>
      </w:r>
      <w:r w:rsidRPr="00DB50BC">
        <w:rPr>
          <w:rFonts w:cs="Arial"/>
          <w:color w:val="000000"/>
        </w:rPr>
        <w:t>2017/1132</w:t>
      </w:r>
      <w:r w:rsidR="0004694D" w:rsidRPr="00DB50BC">
        <w:rPr>
          <w:rFonts w:cs="Arial"/>
        </w:rPr>
        <w:t xml:space="preserve"> </w:t>
      </w:r>
      <w:r w:rsidRPr="00DB50BC">
        <w:rPr>
          <w:rFonts w:cs="Arial"/>
        </w:rPr>
        <w:t>(UL L št. 22 z dne 22. 1. 2021, str. 1), (v nadaljnjem besedilu:</w:t>
      </w:r>
      <w:r w:rsidR="0004694D" w:rsidRPr="00DB50BC">
        <w:rPr>
          <w:rFonts w:cs="Arial"/>
        </w:rPr>
        <w:t xml:space="preserve"> </w:t>
      </w:r>
      <w:r w:rsidRPr="00DB50BC">
        <w:rPr>
          <w:rFonts w:cs="Arial"/>
          <w:color w:val="000000"/>
        </w:rPr>
        <w:t>Uredba</w:t>
      </w:r>
      <w:r w:rsidRPr="00DB50BC">
        <w:rPr>
          <w:rFonts w:cs="Arial"/>
          <w:color w:val="0000EE"/>
        </w:rPr>
        <w:t xml:space="preserve"> </w:t>
      </w:r>
      <w:r w:rsidRPr="00DB50BC">
        <w:rPr>
          <w:rFonts w:cs="Arial"/>
          <w:color w:val="000000"/>
        </w:rPr>
        <w:t>600/2014/EU);</w:t>
      </w:r>
    </w:p>
    <w:p w14:paraId="61C8CAA1" w14:textId="00F71A39" w:rsidR="00BC6257" w:rsidRPr="00DB50BC" w:rsidRDefault="006567CF">
      <w:pPr>
        <w:spacing w:before="210" w:after="210"/>
        <w:rPr>
          <w:rFonts w:cs="Arial"/>
          <w:sz w:val="21"/>
        </w:rPr>
      </w:pPr>
      <w:r w:rsidRPr="00DB50BC">
        <w:rPr>
          <w:rFonts w:cs="Arial"/>
        </w:rPr>
        <w:t>11. »finančna institucija« pomeni finančno institucijo, kakor je opredeljena v 14.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A2" w14:textId="77777777" w:rsidR="00BC6257" w:rsidRPr="00DB50BC" w:rsidRDefault="006567CF">
      <w:pPr>
        <w:spacing w:before="210" w:after="210"/>
        <w:rPr>
          <w:rFonts w:cs="Arial"/>
          <w:sz w:val="21"/>
        </w:rPr>
      </w:pPr>
      <w:r w:rsidRPr="00DB50BC">
        <w:rPr>
          <w:rFonts w:cs="Arial"/>
        </w:rPr>
        <w:t>12. »politika prejemkov, nevtralna glede na spol« pomeni politiko prejemkov, nevtralno glede na spol, kakor je opredeljena v 24. točki prvega odstavka 7. člena ZBan-3;</w:t>
      </w:r>
    </w:p>
    <w:p w14:paraId="61C8CAA3" w14:textId="77777777" w:rsidR="00BC6257" w:rsidRPr="00DB50BC" w:rsidRDefault="006567CF">
      <w:pPr>
        <w:spacing w:before="210" w:after="210"/>
        <w:rPr>
          <w:rFonts w:cs="Arial"/>
          <w:sz w:val="21"/>
        </w:rPr>
      </w:pPr>
      <w:r w:rsidRPr="00DB50BC">
        <w:rPr>
          <w:rFonts w:cs="Arial"/>
        </w:rPr>
        <w:t>13. »skupina« pomeni skupino, kakor je opredeljena v 14. točki 2. člena Zakona o finančnih konglomeratih (Uradni list RS, št. 43/06, 87/11 in 56/13; v nadaljnjem besedilu: ZFK);</w:t>
      </w:r>
    </w:p>
    <w:p w14:paraId="61C8CAA4" w14:textId="2EDE90A1" w:rsidR="00BC6257" w:rsidRPr="00DB50BC" w:rsidRDefault="006567CF">
      <w:pPr>
        <w:spacing w:before="210" w:after="210"/>
        <w:rPr>
          <w:rFonts w:cs="Arial"/>
          <w:sz w:val="21"/>
        </w:rPr>
      </w:pPr>
      <w:r w:rsidRPr="00DB50BC">
        <w:rPr>
          <w:rFonts w:cs="Arial"/>
        </w:rPr>
        <w:t>14. »konsolidirani položaj« pomeni konsolidirani položaj, kakor je opredeljen v 11.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A5" w14:textId="77777777" w:rsidR="00BC6257" w:rsidRPr="00DB50BC" w:rsidRDefault="006567CF">
      <w:pPr>
        <w:spacing w:before="210" w:after="210"/>
        <w:rPr>
          <w:rFonts w:cs="Arial"/>
          <w:sz w:val="21"/>
        </w:rPr>
      </w:pPr>
      <w:r w:rsidRPr="00DB50BC">
        <w:rPr>
          <w:rFonts w:cs="Arial"/>
        </w:rPr>
        <w:t>15. »nadzornik skupine« pomeni pristojni organ, odgovoren za nadzor nad izpolnjevanjem zahtev preskusa kapitala skupine obvladujočih investicijskih podjetij Unije in investicijskih podjetij pod nadzorom obvladujočih investicijskih holdingov Unije ali obvladujočih mešanih finančnih holdingov Unije;</w:t>
      </w:r>
    </w:p>
    <w:p w14:paraId="61C8CAA6" w14:textId="77777777" w:rsidR="00BC6257" w:rsidRPr="00DB50BC" w:rsidRDefault="006567CF">
      <w:pPr>
        <w:spacing w:before="210" w:after="210"/>
        <w:rPr>
          <w:rFonts w:cs="Arial"/>
          <w:sz w:val="21"/>
        </w:rPr>
      </w:pPr>
      <w:r w:rsidRPr="00DB50BC">
        <w:rPr>
          <w:rFonts w:cs="Arial"/>
        </w:rPr>
        <w:t>16. »matična država članica« pomeni matično državo članico, kakor je opredeljena v prvem odstavku 21. člena ZTFI-1;</w:t>
      </w:r>
    </w:p>
    <w:p w14:paraId="61C8CAA7" w14:textId="77777777" w:rsidR="00BC6257" w:rsidRPr="00DB50BC" w:rsidRDefault="006567CF">
      <w:pPr>
        <w:spacing w:before="210" w:after="210"/>
        <w:rPr>
          <w:rFonts w:cs="Arial"/>
          <w:sz w:val="21"/>
        </w:rPr>
      </w:pPr>
      <w:r w:rsidRPr="00DB50BC">
        <w:rPr>
          <w:rFonts w:cs="Arial"/>
        </w:rPr>
        <w:t>17. »država članica gostiteljica« pomeni državo članico gostiteljico, kakor je opredeljena v drugem odstavku 21. člena ZTFI-1;</w:t>
      </w:r>
    </w:p>
    <w:p w14:paraId="61C8CAA8" w14:textId="77777777" w:rsidR="00BC6257" w:rsidRPr="00DB50BC" w:rsidRDefault="006567CF">
      <w:pPr>
        <w:spacing w:before="210" w:after="210"/>
        <w:rPr>
          <w:rFonts w:cs="Arial"/>
          <w:sz w:val="21"/>
        </w:rPr>
      </w:pPr>
      <w:r w:rsidRPr="00DB50BC">
        <w:rPr>
          <w:rFonts w:cs="Arial"/>
        </w:rPr>
        <w:t>18. »ustanovni kapital« pomeni kapital, ki se zahteva za odobritev kot investicijsko podjetje in katerega znesek in sestava sta določena v 11. in 12. členu tega zakona;</w:t>
      </w:r>
    </w:p>
    <w:p w14:paraId="61C8CAA9" w14:textId="77777777" w:rsidR="00BC6257" w:rsidRPr="00DB50BC" w:rsidRDefault="006567CF">
      <w:pPr>
        <w:spacing w:before="210" w:after="210"/>
        <w:rPr>
          <w:rFonts w:cs="Arial"/>
          <w:sz w:val="21"/>
        </w:rPr>
      </w:pPr>
      <w:r w:rsidRPr="00DB50BC">
        <w:rPr>
          <w:rFonts w:cs="Arial"/>
        </w:rPr>
        <w:t>19. »investicijsko podjetje« pomeni investicijsko podjetje, kakor je opredeljeno v prvem odstavku 20. člena ZTFI-1;</w:t>
      </w:r>
    </w:p>
    <w:p w14:paraId="61C8CAAA" w14:textId="77777777" w:rsidR="00BC6257" w:rsidRPr="00DB50BC" w:rsidRDefault="006567CF">
      <w:pPr>
        <w:spacing w:before="210" w:after="210"/>
        <w:rPr>
          <w:rFonts w:cs="Arial"/>
          <w:sz w:val="21"/>
        </w:rPr>
      </w:pPr>
      <w:r w:rsidRPr="00DB50BC">
        <w:rPr>
          <w:rFonts w:cs="Arial"/>
        </w:rPr>
        <w:t>20. »borznoposredniška družba« pomeni družbo, kakor je opredeljena v drugem odstavku 20. člena ZTFI-1;</w:t>
      </w:r>
    </w:p>
    <w:p w14:paraId="61C8CAAB" w14:textId="7EE33A95" w:rsidR="00BC6257" w:rsidRPr="00DB50BC" w:rsidRDefault="006567CF">
      <w:pPr>
        <w:spacing w:before="210" w:after="210"/>
        <w:rPr>
          <w:rFonts w:cs="Arial"/>
          <w:sz w:val="21"/>
        </w:rPr>
      </w:pPr>
      <w:r w:rsidRPr="00DB50BC">
        <w:rPr>
          <w:rFonts w:cs="Arial"/>
        </w:rPr>
        <w:lastRenderedPageBreak/>
        <w:t>21. »skupina investicijskih podjetij« pomeni skupino investicijskih podjetij, kakor je opredeljena v 25.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AC" w14:textId="5A2AD48F" w:rsidR="00BC6257" w:rsidRPr="00DB50BC" w:rsidRDefault="006567CF">
      <w:pPr>
        <w:spacing w:before="210" w:after="210"/>
        <w:rPr>
          <w:rFonts w:cs="Arial"/>
          <w:sz w:val="21"/>
        </w:rPr>
      </w:pPr>
      <w:r w:rsidRPr="00DB50BC">
        <w:rPr>
          <w:rFonts w:cs="Arial"/>
        </w:rPr>
        <w:t>22. »investicijski holding« pomeni investicijski holding, kakor je opredeljen v 23.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AD" w14:textId="77777777" w:rsidR="00BC6257" w:rsidRPr="00DB50BC" w:rsidRDefault="006567CF">
      <w:pPr>
        <w:spacing w:before="210" w:after="210"/>
        <w:rPr>
          <w:rFonts w:cs="Arial"/>
          <w:sz w:val="21"/>
        </w:rPr>
      </w:pPr>
      <w:r w:rsidRPr="00DB50BC">
        <w:rPr>
          <w:rFonts w:cs="Arial"/>
        </w:rPr>
        <w:t>23. »investicijske storitve in posli« so investicijske storitve in posli, kakor so opredeljeni v 11. členu ZTFI-1;</w:t>
      </w:r>
    </w:p>
    <w:p w14:paraId="61C8CAAE" w14:textId="77777777" w:rsidR="00BC6257" w:rsidRPr="00DB50BC" w:rsidRDefault="006567CF">
      <w:pPr>
        <w:spacing w:before="210" w:after="210"/>
        <w:rPr>
          <w:rFonts w:cs="Arial"/>
          <w:sz w:val="21"/>
        </w:rPr>
      </w:pPr>
      <w:r w:rsidRPr="00DB50BC">
        <w:rPr>
          <w:rFonts w:cs="Arial"/>
        </w:rPr>
        <w:t>24. »upravljalni organ« pomeni upravljalni organ, kakor je opredeljen v triindvajsetem odstavku 5. člena ZTFI-1;</w:t>
      </w:r>
    </w:p>
    <w:p w14:paraId="61C8CAAF" w14:textId="77777777" w:rsidR="00BC6257" w:rsidRPr="00DB50BC" w:rsidRDefault="006567CF">
      <w:pPr>
        <w:spacing w:before="210" w:after="210"/>
        <w:rPr>
          <w:rFonts w:cs="Arial"/>
          <w:sz w:val="21"/>
        </w:rPr>
      </w:pPr>
      <w:r w:rsidRPr="00DB50BC">
        <w:rPr>
          <w:rFonts w:cs="Arial"/>
        </w:rPr>
        <w:t>25. »upravljalni organ v nadzorni funkciji« pomeni upravljalni organ pravne osebe, ki je pristojen in odgovoren za nadzor in spremljanje vodenja poslov te pravne osebe, in v borznoposredniški družbi pomeni neizvršne direktorje v enotirnem sistemu oziroma nadzorni svet v dvotirnem sistemu upravljanja;</w:t>
      </w:r>
    </w:p>
    <w:p w14:paraId="61C8CAB0" w14:textId="77777777" w:rsidR="00BC6257" w:rsidRPr="00DB50BC" w:rsidRDefault="006567CF">
      <w:pPr>
        <w:spacing w:before="210" w:after="210"/>
        <w:rPr>
          <w:rFonts w:cs="Arial"/>
          <w:sz w:val="21"/>
        </w:rPr>
      </w:pPr>
      <w:r w:rsidRPr="00DB50BC">
        <w:rPr>
          <w:rFonts w:cs="Arial"/>
        </w:rPr>
        <w:t>26. »upravljalni organ v vodstveni funkciji« pomeni organ pravne osebe, ki je pristojen in odgovoren za vodenje poslov pravne osebe, in v borznoposredniški družbi pomeni izvršne direktorje v enotirnem sistemu oziroma upravo v dvotirnem sistemu upravljanja;</w:t>
      </w:r>
    </w:p>
    <w:p w14:paraId="61C8CAB1" w14:textId="77777777" w:rsidR="00BC6257" w:rsidRPr="00DB50BC" w:rsidRDefault="006567CF">
      <w:pPr>
        <w:spacing w:before="210" w:after="210"/>
        <w:rPr>
          <w:rFonts w:cs="Arial"/>
          <w:sz w:val="21"/>
        </w:rPr>
      </w:pPr>
      <w:r w:rsidRPr="00DB50BC">
        <w:rPr>
          <w:rFonts w:cs="Arial"/>
        </w:rPr>
        <w:t>27. »mešani finančni holding« pomeni mešani finančni holding, kakor je opredeljen v 7. členu ZFK;</w:t>
      </w:r>
    </w:p>
    <w:p w14:paraId="61C8CAB2" w14:textId="77777777" w:rsidR="00BC6257" w:rsidRPr="00DB50BC" w:rsidRDefault="006567CF">
      <w:pPr>
        <w:spacing w:before="210" w:after="210"/>
        <w:rPr>
          <w:rFonts w:cs="Arial"/>
          <w:sz w:val="21"/>
        </w:rPr>
      </w:pPr>
      <w:r w:rsidRPr="00DB50BC">
        <w:rPr>
          <w:rFonts w:cs="Arial"/>
        </w:rPr>
        <w:t>28. »mešani poslovni holding« pomeni obvladujoče podjetje, ki ni finančni holding, investicijski holding, kreditna institucija, investicijsko podjetje ali mešani finančni holding v smislu ZFK, katerega odvisna podjetja obsegajo najmanj eno investicijsko podjetje;</w:t>
      </w:r>
    </w:p>
    <w:p w14:paraId="61C8CAB3" w14:textId="77777777" w:rsidR="00BC6257" w:rsidRPr="00DB50BC" w:rsidRDefault="006567CF">
      <w:pPr>
        <w:spacing w:before="210" w:after="210"/>
        <w:rPr>
          <w:rFonts w:cs="Arial"/>
          <w:sz w:val="21"/>
        </w:rPr>
      </w:pPr>
      <w:r w:rsidRPr="00DB50BC">
        <w:rPr>
          <w:rFonts w:cs="Arial"/>
        </w:rPr>
        <w:t>29. »višje vodstvo« pomeni višje vodstvo, kakor je opredeljeno v štiriindvajsetem odstavku 5. člena ZTFI-1;</w:t>
      </w:r>
    </w:p>
    <w:p w14:paraId="61C8CAB4" w14:textId="77777777" w:rsidR="00BC6257" w:rsidRPr="00DB50BC" w:rsidRDefault="006567CF">
      <w:pPr>
        <w:spacing w:before="210" w:after="210"/>
        <w:rPr>
          <w:rFonts w:cs="Arial"/>
          <w:sz w:val="21"/>
        </w:rPr>
      </w:pPr>
      <w:r w:rsidRPr="00DB50BC">
        <w:rPr>
          <w:rFonts w:cs="Arial"/>
        </w:rPr>
        <w:t>30. »obvladujoče podjetje« pomeni obvladujočo družbo, kakor je opredeljena v sedemnajstem odstavku 5. člena ZTFI-1;</w:t>
      </w:r>
    </w:p>
    <w:p w14:paraId="61C8CAB5" w14:textId="77777777" w:rsidR="00BC6257" w:rsidRPr="00DB50BC" w:rsidRDefault="006567CF">
      <w:pPr>
        <w:spacing w:before="210" w:after="210"/>
        <w:rPr>
          <w:rFonts w:cs="Arial"/>
          <w:sz w:val="21"/>
        </w:rPr>
      </w:pPr>
      <w:r w:rsidRPr="00DB50BC">
        <w:rPr>
          <w:rFonts w:cs="Arial"/>
        </w:rPr>
        <w:t>31. »odvisno podjetje« pomeni odvisno družbo, kakor je opredeljena v osemnajstem odstavku 5. člena ZTFI-1;</w:t>
      </w:r>
    </w:p>
    <w:p w14:paraId="61C8CAB6" w14:textId="77777777" w:rsidR="00BC6257" w:rsidRPr="00DB50BC" w:rsidRDefault="006567CF">
      <w:pPr>
        <w:spacing w:before="210" w:after="210"/>
        <w:rPr>
          <w:rFonts w:cs="Arial"/>
          <w:sz w:val="21"/>
        </w:rPr>
      </w:pPr>
      <w:r w:rsidRPr="00DB50BC">
        <w:rPr>
          <w:rFonts w:cs="Arial"/>
        </w:rPr>
        <w:t>32. »sistemsko tveganje« pomeni sistemsko tveganje, kakor je opredeljeno v 29. točki prvega odstavka 7. člena ZBan-3;</w:t>
      </w:r>
    </w:p>
    <w:p w14:paraId="61C8CAB7" w14:textId="259D7B6A" w:rsidR="00BC6257" w:rsidRPr="00DB50BC" w:rsidRDefault="006567CF">
      <w:pPr>
        <w:spacing w:before="210" w:after="210"/>
        <w:rPr>
          <w:rFonts w:cs="Arial"/>
          <w:sz w:val="21"/>
        </w:rPr>
      </w:pPr>
      <w:r w:rsidRPr="00DB50BC">
        <w:rPr>
          <w:rFonts w:cs="Arial"/>
        </w:rPr>
        <w:t>33. »obvladujoče investicijsko podjetje Unije« pomeni obvladujoče investicijsko podjetje Unije, kakor je opredeljeno v 56.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B8" w14:textId="49181051" w:rsidR="00BC6257" w:rsidRPr="00DB50BC" w:rsidRDefault="006567CF">
      <w:pPr>
        <w:spacing w:before="210" w:after="210"/>
        <w:rPr>
          <w:rFonts w:cs="Arial"/>
          <w:sz w:val="21"/>
        </w:rPr>
      </w:pPr>
      <w:r w:rsidRPr="00DB50BC">
        <w:rPr>
          <w:rFonts w:cs="Arial"/>
        </w:rPr>
        <w:t>34. »obvladujoči investicijski holding Unije« pomeni obvladujoči investicijski holding Unije, kakor je opredeljen v 57.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B9" w14:textId="3ED54DBD" w:rsidR="00BC6257" w:rsidRPr="00DB50BC" w:rsidRDefault="006567CF">
      <w:pPr>
        <w:spacing w:before="210" w:after="210"/>
        <w:rPr>
          <w:rFonts w:cs="Arial"/>
          <w:sz w:val="21"/>
        </w:rPr>
      </w:pPr>
      <w:r w:rsidRPr="00DB50BC">
        <w:rPr>
          <w:rFonts w:cs="Arial"/>
        </w:rPr>
        <w:t>35. »obvladujoči mešani finančni holding Unije« pomeni obvladujoči mešani finančni holding Unije, kakor je opredeljen v 58.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BA" w14:textId="77777777" w:rsidR="00BC6257" w:rsidRPr="00DB50BC" w:rsidRDefault="006567CF">
      <w:pPr>
        <w:spacing w:before="210" w:after="210"/>
        <w:rPr>
          <w:rFonts w:cs="Arial"/>
          <w:sz w:val="21"/>
        </w:rPr>
      </w:pPr>
      <w:r w:rsidRPr="00DB50BC">
        <w:rPr>
          <w:rFonts w:cs="Arial"/>
        </w:rPr>
        <w:t>36. »ožji družinski član« pomeni osebo, kakor je opredeljena v 23. točki prvega odstavka 7. člena ZBan-3;</w:t>
      </w:r>
    </w:p>
    <w:p w14:paraId="61C8CABB" w14:textId="5953E122" w:rsidR="00BC6257" w:rsidRPr="00DB50BC" w:rsidRDefault="006567CF">
      <w:pPr>
        <w:spacing w:before="210" w:after="210"/>
        <w:rPr>
          <w:rFonts w:cs="Arial"/>
          <w:sz w:val="21"/>
        </w:rPr>
      </w:pPr>
      <w:r w:rsidRPr="00DB50BC">
        <w:rPr>
          <w:rFonts w:cs="Arial"/>
        </w:rPr>
        <w:t>37. »kvalificirani delež« pomeni kvalificirani delež, kakor je opredeljen v 36.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575/2013/EU;</w:t>
      </w:r>
    </w:p>
    <w:p w14:paraId="61C8CABC" w14:textId="0D54D03F" w:rsidR="00BC6257" w:rsidRPr="00DB50BC" w:rsidRDefault="006567CF">
      <w:pPr>
        <w:spacing w:before="210" w:after="210"/>
        <w:rPr>
          <w:rFonts w:cs="Arial"/>
          <w:sz w:val="21"/>
        </w:rPr>
      </w:pPr>
      <w:r w:rsidRPr="00DB50BC">
        <w:rPr>
          <w:rFonts w:cs="Arial"/>
        </w:rPr>
        <w:lastRenderedPageBreak/>
        <w:t>38. »trgovalna knjiga« pomeni vse pozicije v finančnih instrumentih in blagu, ki jih ima investicijsko podjetje ali borznoposredniška družba za namene trgovanja ali varovanje pozicij, ki jih ima za namene trgovanja, v skladu s 104. členom</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575/2013/EU;</w:t>
      </w:r>
    </w:p>
    <w:p w14:paraId="61C8CABD" w14:textId="77777777" w:rsidR="00BC6257" w:rsidRPr="00DB50BC" w:rsidRDefault="006567CF">
      <w:pPr>
        <w:spacing w:before="210" w:after="210"/>
        <w:rPr>
          <w:rFonts w:cs="Arial"/>
          <w:sz w:val="21"/>
        </w:rPr>
      </w:pPr>
      <w:r w:rsidRPr="00DB50BC">
        <w:rPr>
          <w:rFonts w:cs="Arial"/>
        </w:rPr>
        <w:t>39. »pozicije, namenjene trgovanju« pomenijo kar koli od naslednjega:</w:t>
      </w:r>
    </w:p>
    <w:p w14:paraId="61C8CABE" w14:textId="77777777" w:rsidR="00BC6257" w:rsidRPr="00DB50BC" w:rsidRDefault="006567CF">
      <w:pPr>
        <w:spacing w:before="210" w:after="210"/>
        <w:rPr>
          <w:rFonts w:cs="Arial"/>
          <w:sz w:val="21"/>
        </w:rPr>
      </w:pPr>
      <w:r w:rsidRPr="00DB50BC">
        <w:rPr>
          <w:rFonts w:cs="Arial"/>
        </w:rPr>
        <w:t>- pozicije za lastni račun in pozicije, ki izhajajo iz servisiranja strank in vzdrževanja trga;</w:t>
      </w:r>
    </w:p>
    <w:p w14:paraId="61C8CABF" w14:textId="77777777" w:rsidR="00BC6257" w:rsidRPr="00DB50BC" w:rsidRDefault="006567CF">
      <w:pPr>
        <w:spacing w:before="210" w:after="210"/>
        <w:rPr>
          <w:rFonts w:cs="Arial"/>
          <w:sz w:val="21"/>
        </w:rPr>
      </w:pPr>
      <w:r w:rsidRPr="00DB50BC">
        <w:rPr>
          <w:rFonts w:cs="Arial"/>
        </w:rPr>
        <w:t>- pozicije, ki naj bi se kratkoročno ponovno prodale;</w:t>
      </w:r>
    </w:p>
    <w:p w14:paraId="61C8CAC0" w14:textId="77777777" w:rsidR="00BC6257" w:rsidRPr="00DB50BC" w:rsidRDefault="006567CF">
      <w:pPr>
        <w:spacing w:before="210" w:after="210"/>
        <w:rPr>
          <w:rFonts w:cs="Arial"/>
          <w:sz w:val="21"/>
        </w:rPr>
      </w:pPr>
      <w:r w:rsidRPr="00DB50BC">
        <w:rPr>
          <w:rFonts w:cs="Arial"/>
        </w:rPr>
        <w:t>- pozicije, ki naj bi omogočile kratkoročni zaslužek na račun dejanskih ali pričakovanih razlik med njihovo prodajno in nakupno ceno ali na račun sprememb drugih cen ali obrestne mere.</w:t>
      </w:r>
    </w:p>
    <w:p w14:paraId="61C8CAC1" w14:textId="77777777" w:rsidR="00BC6257" w:rsidRPr="00DB50BC" w:rsidRDefault="006567CF">
      <w:pPr>
        <w:pStyle w:val="center"/>
        <w:spacing w:before="210" w:after="210"/>
        <w:rPr>
          <w:rFonts w:cs="Arial"/>
          <w:b/>
          <w:sz w:val="21"/>
        </w:rPr>
      </w:pPr>
      <w:r w:rsidRPr="00DB50BC">
        <w:rPr>
          <w:rFonts w:cs="Arial"/>
          <w:b/>
          <w:sz w:val="21"/>
        </w:rPr>
        <w:t>4. člen</w:t>
      </w:r>
    </w:p>
    <w:p w14:paraId="61C8CAC2" w14:textId="77777777" w:rsidR="00BC6257" w:rsidRPr="00DB50BC" w:rsidRDefault="006567CF">
      <w:pPr>
        <w:pStyle w:val="center"/>
        <w:spacing w:before="210" w:after="210"/>
        <w:rPr>
          <w:rFonts w:cs="Arial"/>
          <w:b/>
          <w:sz w:val="21"/>
        </w:rPr>
      </w:pPr>
      <w:r w:rsidRPr="00DB50BC">
        <w:rPr>
          <w:rFonts w:cs="Arial"/>
          <w:b/>
          <w:sz w:val="21"/>
        </w:rPr>
        <w:t>(pomen izrazov)</w:t>
      </w:r>
    </w:p>
    <w:p w14:paraId="61C8CAC3" w14:textId="77777777" w:rsidR="00BC6257" w:rsidRPr="00DB50BC" w:rsidRDefault="006567CF">
      <w:pPr>
        <w:spacing w:before="210" w:after="210"/>
        <w:rPr>
          <w:rFonts w:cs="Arial"/>
          <w:sz w:val="21"/>
        </w:rPr>
      </w:pPr>
      <w:r w:rsidRPr="00DB50BC">
        <w:rPr>
          <w:rFonts w:cs="Arial"/>
        </w:rPr>
        <w:t>Izrazi, uporabljeni v tem zakonu, pomenijo:</w:t>
      </w:r>
    </w:p>
    <w:p w14:paraId="61C8CAC4" w14:textId="77777777" w:rsidR="00BC6257" w:rsidRPr="00DB50BC" w:rsidRDefault="006567CF">
      <w:pPr>
        <w:spacing w:before="210" w:after="210"/>
        <w:rPr>
          <w:rFonts w:cs="Arial"/>
          <w:sz w:val="21"/>
        </w:rPr>
      </w:pPr>
      <w:r w:rsidRPr="00DB50BC">
        <w:rPr>
          <w:rFonts w:cs="Arial"/>
        </w:rPr>
        <w:t>1. »podjetje za pomožne storitve« pomeni podjetje, katerega osnovna dejavnost je lastništvo ali upravljanje premoženja, izvajanje storitev obdelave podatkov ali podobna dejavnost, ki je pomožna glede na osnovno dejavnost enega ali več investicijskih podjetij;</w:t>
      </w:r>
    </w:p>
    <w:p w14:paraId="61C8CAC5" w14:textId="77777777" w:rsidR="00BC6257" w:rsidRPr="00DB50BC" w:rsidRDefault="006567CF">
      <w:pPr>
        <w:spacing w:before="210" w:after="210"/>
        <w:rPr>
          <w:rFonts w:cs="Arial"/>
          <w:sz w:val="21"/>
        </w:rPr>
      </w:pPr>
      <w:r w:rsidRPr="00DB50BC">
        <w:rPr>
          <w:rFonts w:cs="Arial"/>
        </w:rPr>
        <w:t>2. »dovoljenje« pomeni dovoljenje investicijskega podjetja v skladu z 59. členom zakona, ki ureja trg finančnih instrumentov (v nadaljnjem besedilu: ZTFI-1);</w:t>
      </w:r>
    </w:p>
    <w:p w14:paraId="61C8CAC6" w14:textId="77777777" w:rsidR="00BC6257" w:rsidRPr="00DB50BC" w:rsidRDefault="006567CF">
      <w:pPr>
        <w:spacing w:before="210" w:after="210"/>
        <w:rPr>
          <w:rFonts w:cs="Arial"/>
          <w:sz w:val="21"/>
        </w:rPr>
      </w:pPr>
      <w:r w:rsidRPr="00DB50BC">
        <w:rPr>
          <w:rFonts w:cs="Arial"/>
        </w:rPr>
        <w:t>3. »podružnica« pomeni podružnico, kakor je opredeljena 22. členu ZTFI-1;</w:t>
      </w:r>
    </w:p>
    <w:p w14:paraId="61C8CAC7" w14:textId="77777777" w:rsidR="00BC6257" w:rsidRPr="00DB50BC" w:rsidRDefault="006567CF">
      <w:pPr>
        <w:spacing w:before="210" w:after="210"/>
        <w:rPr>
          <w:rFonts w:cs="Arial"/>
          <w:sz w:val="21"/>
        </w:rPr>
      </w:pPr>
      <w:r w:rsidRPr="00DB50BC">
        <w:rPr>
          <w:rFonts w:cs="Arial"/>
        </w:rPr>
        <w:t>4. »tesna povezanost« pomeni tesno povezanost, kakor je opredeljena v 25. členu ZTFI-1;</w:t>
      </w:r>
    </w:p>
    <w:p w14:paraId="61C8CAC8" w14:textId="02152BE7" w:rsidR="00BC6257" w:rsidRPr="00DB50BC" w:rsidRDefault="006567CF">
      <w:pPr>
        <w:spacing w:before="210" w:after="210"/>
        <w:rPr>
          <w:rFonts w:cs="Arial"/>
          <w:sz w:val="21"/>
        </w:rPr>
      </w:pPr>
      <w:r w:rsidRPr="00DB50BC">
        <w:rPr>
          <w:rFonts w:cs="Arial"/>
        </w:rPr>
        <w:t>5. »pristojni organ« pomeni javni organ ali organ države članice, ki je v skladu z nacionalnim pravom uradno priznan in pooblaščen za nadzor investicijskih podjetij v skladu z nacionalnimi predpisi, ki prenašajo</w:t>
      </w:r>
      <w:r w:rsidR="0004694D" w:rsidRPr="00DB50BC">
        <w:rPr>
          <w:rFonts w:cs="Arial"/>
        </w:rPr>
        <w:t xml:space="preserve"> </w:t>
      </w:r>
      <w:r w:rsidRPr="00DB50BC">
        <w:rPr>
          <w:rFonts w:cs="Arial"/>
          <w:color w:val="000000"/>
        </w:rPr>
        <w:t>Direktivo</w:t>
      </w:r>
      <w:r w:rsidRPr="00DB50BC">
        <w:rPr>
          <w:rFonts w:cs="Arial"/>
          <w:color w:val="0000EE"/>
        </w:rPr>
        <w:t xml:space="preserve"> </w:t>
      </w:r>
      <w:r w:rsidRPr="00DB50BC">
        <w:rPr>
          <w:rFonts w:cs="Arial"/>
          <w:color w:val="000000"/>
        </w:rPr>
        <w:t>2019/2034/EU</w:t>
      </w:r>
      <w:r w:rsidR="0004694D" w:rsidRPr="00DB50BC">
        <w:rPr>
          <w:rFonts w:cs="Arial"/>
        </w:rPr>
        <w:t xml:space="preserve"> </w:t>
      </w:r>
      <w:r w:rsidRPr="00DB50BC">
        <w:rPr>
          <w:rFonts w:cs="Arial"/>
        </w:rPr>
        <w:t>v okviru sistema nadzora, delujočega v tej državi članici, in v Republiki Sloveniji pomeni agencijo;</w:t>
      </w:r>
    </w:p>
    <w:p w14:paraId="61C8CAC9" w14:textId="109A8763" w:rsidR="00BC6257" w:rsidRPr="00DB50BC" w:rsidRDefault="006567CF">
      <w:pPr>
        <w:spacing w:before="210" w:after="210"/>
        <w:rPr>
          <w:rFonts w:cs="Arial"/>
          <w:sz w:val="21"/>
        </w:rPr>
      </w:pPr>
      <w:r w:rsidRPr="00DB50BC">
        <w:rPr>
          <w:rFonts w:cs="Arial"/>
        </w:rPr>
        <w:t>6. »trgovec z blagom in pravicami do emisij« pomeni trgovca z blagom in pravicami do emisij, kakor je opredeljen v 150.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575/2013</w:t>
      </w:r>
      <w:r w:rsidR="0004694D" w:rsidRPr="00DB50BC">
        <w:rPr>
          <w:rFonts w:cs="Arial"/>
        </w:rPr>
        <w:t xml:space="preserve"> </w:t>
      </w:r>
      <w:r w:rsidRPr="00DB50BC">
        <w:rPr>
          <w:rFonts w:cs="Arial"/>
        </w:rPr>
        <w:t>Evropskega parlamenta in Sveta z dne 26. junija 2013 o bonitetnih zahtevah za kreditne institucije in investicijska podjetja ter o spremembi</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648/2012</w:t>
      </w:r>
      <w:r w:rsidR="0004694D" w:rsidRPr="00DB50BC">
        <w:rPr>
          <w:rFonts w:cs="Arial"/>
        </w:rPr>
        <w:t xml:space="preserve"> </w:t>
      </w:r>
      <w:r w:rsidRPr="00DB50BC">
        <w:rPr>
          <w:rFonts w:cs="Arial"/>
        </w:rPr>
        <w:t>(UL L št. 176 z dne 27. 6. 2013, str. 1), zadnjič spremenjene z</w:t>
      </w:r>
      <w:r w:rsidR="0004694D" w:rsidRPr="00DB50BC">
        <w:rPr>
          <w:rFonts w:cs="Arial"/>
        </w:rPr>
        <w:t xml:space="preserve"> </w:t>
      </w:r>
      <w:r w:rsidRPr="00DB50BC">
        <w:rPr>
          <w:rFonts w:cs="Arial"/>
          <w:color w:val="000000"/>
        </w:rPr>
        <w:t>Delegirano</w:t>
      </w:r>
      <w:r w:rsidRPr="00DB50BC">
        <w:rPr>
          <w:rFonts w:cs="Arial"/>
          <w:color w:val="0000EE"/>
        </w:rPr>
        <w:t xml:space="preserve"> </w:t>
      </w:r>
      <w:r w:rsidRPr="00DB50BC">
        <w:rPr>
          <w:rFonts w:cs="Arial"/>
          <w:color w:val="000000"/>
        </w:rPr>
        <w:t>uredba</w:t>
      </w:r>
      <w:r w:rsidRPr="00DB50BC">
        <w:rPr>
          <w:rFonts w:cs="Arial"/>
          <w:color w:val="0000EE"/>
        </w:rPr>
        <w:t xml:space="preserve"> </w:t>
      </w:r>
      <w:r w:rsidRPr="00DB50BC">
        <w:rPr>
          <w:rFonts w:cs="Arial"/>
          <w:color w:val="000000"/>
        </w:rPr>
        <w:t>Komisije</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2021/931</w:t>
      </w:r>
      <w:r w:rsidR="0004694D" w:rsidRPr="00DB50BC">
        <w:rPr>
          <w:rFonts w:cs="Arial"/>
        </w:rPr>
        <w:t xml:space="preserve"> </w:t>
      </w:r>
      <w:r w:rsidRPr="00DB50BC">
        <w:rPr>
          <w:rFonts w:cs="Arial"/>
        </w:rPr>
        <w:t>z dne 1. marca 2021 o dopolnitvi</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575/2013</w:t>
      </w:r>
      <w:r w:rsidR="0004694D" w:rsidRPr="00DB50BC">
        <w:rPr>
          <w:rFonts w:cs="Arial"/>
        </w:rPr>
        <w:t xml:space="preserve"> </w:t>
      </w:r>
      <w:r w:rsidRPr="00DB50BC">
        <w:rPr>
          <w:rFonts w:cs="Arial"/>
        </w:rPr>
        <w:t>Evropskega parlamenta in Sveta v zvezi z regulativnimi tehničnimi standardi, ki določajo metodo za opredelitev poslov z izvedenimi finančnimi instrumenti z enim ali več pomembnimi povzročitelji tveganja za namene člena 277(5), formulo za izračun nadzorniške delte nakupnih in prodajnih opcij, razporejenih v kategorijo obrestnega tveganja, in metodo za določanje, ali je posel dolga ali kratka pozicija v primarnem povzročitelju tveganja ali v najpomembnejšem povzročitelju tveganja v dani kategoriji tveganja za namene člena 279a(3)(a) in (b) v okviru standardiziranega pristopa za kreditno tveganje nasprotne stranke (UL L št. 204 z dne 10. 6. 2021, str. 7), (v nadaljnjem besedilu:</w:t>
      </w:r>
      <w:r w:rsidR="0004694D" w:rsidRPr="00DB50BC">
        <w:rPr>
          <w:rFonts w:cs="Arial"/>
        </w:rPr>
        <w:t xml:space="preserve"> </w:t>
      </w:r>
      <w:r w:rsidRPr="00DB50BC">
        <w:rPr>
          <w:rFonts w:cs="Arial"/>
          <w:color w:val="000000"/>
        </w:rPr>
        <w:t>Uredba</w:t>
      </w:r>
      <w:r w:rsidRPr="00DB50BC">
        <w:rPr>
          <w:rFonts w:cs="Arial"/>
          <w:color w:val="0000EE"/>
        </w:rPr>
        <w:t xml:space="preserve"> </w:t>
      </w:r>
      <w:r w:rsidRPr="00DB50BC">
        <w:rPr>
          <w:rFonts w:cs="Arial"/>
          <w:color w:val="000000"/>
        </w:rPr>
        <w:t>575/2013/EU);</w:t>
      </w:r>
    </w:p>
    <w:p w14:paraId="61C8CACA" w14:textId="77777777" w:rsidR="00BC6257" w:rsidRPr="00DB50BC" w:rsidRDefault="006567CF">
      <w:pPr>
        <w:spacing w:before="210" w:after="210"/>
        <w:rPr>
          <w:rFonts w:cs="Arial"/>
          <w:sz w:val="21"/>
        </w:rPr>
      </w:pPr>
      <w:r w:rsidRPr="00DB50BC">
        <w:rPr>
          <w:rFonts w:cs="Arial"/>
        </w:rPr>
        <w:t>7. »obvladovanje« pomeni razmerje med obvladujočim podjetjem in odvisnim podjetjem, kakor je opredeljeno v 2. točki 25. člena ZTFI-1, ali podobno razmerje med fizično ali pravno osebo in podjetjem;</w:t>
      </w:r>
    </w:p>
    <w:p w14:paraId="61C8CACB" w14:textId="63289C93" w:rsidR="00BC6257" w:rsidRPr="00DB50BC" w:rsidRDefault="006567CF">
      <w:pPr>
        <w:spacing w:before="210" w:after="210"/>
        <w:rPr>
          <w:rFonts w:cs="Arial"/>
          <w:sz w:val="21"/>
        </w:rPr>
      </w:pPr>
      <w:r w:rsidRPr="00DB50BC">
        <w:rPr>
          <w:rFonts w:cs="Arial"/>
        </w:rPr>
        <w:lastRenderedPageBreak/>
        <w:t>8. »izpolnjevanje zahtev preskusa kapitala skupine« pomeni skladnost obvladujočega podjetja v skupini investicijskih podjetij z zahtevami 8.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CC" w14:textId="5F7B2694" w:rsidR="00BC6257" w:rsidRPr="00DB50BC" w:rsidRDefault="006567CF">
      <w:pPr>
        <w:spacing w:before="210" w:after="210"/>
        <w:rPr>
          <w:rFonts w:cs="Arial"/>
          <w:sz w:val="21"/>
        </w:rPr>
      </w:pPr>
      <w:r w:rsidRPr="00DB50BC">
        <w:rPr>
          <w:rFonts w:cs="Arial"/>
        </w:rPr>
        <w:t>9. »kreditna institucija« pomeni kreditno institucijo, kakor je opredeljena v 1.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575/2013/EU,</w:t>
      </w:r>
      <w:r w:rsidRPr="00DB50BC">
        <w:rPr>
          <w:rFonts w:cs="Arial"/>
        </w:rPr>
        <w:t xml:space="preserve"> in če ima sedež v Republiki Sloveniji, pomeni banko ali hranilnico, kakor sta opredeljeni v 4. členu Zakona o bančništvu (Uradni list RS, št. 92/21; v nadaljnjem besedilu: ZBan-3);</w:t>
      </w:r>
    </w:p>
    <w:p w14:paraId="61C8CACD" w14:textId="1B2690F3" w:rsidR="00BC6257" w:rsidRPr="00DB50BC" w:rsidRDefault="006567CF">
      <w:pPr>
        <w:spacing w:before="210" w:after="210"/>
        <w:rPr>
          <w:rFonts w:cs="Arial"/>
          <w:sz w:val="21"/>
        </w:rPr>
      </w:pPr>
      <w:r w:rsidRPr="00DB50BC">
        <w:rPr>
          <w:rFonts w:cs="Arial"/>
        </w:rPr>
        <w:t>10. »izvedeni finančni instrumenti« pomeni izvedene finančne instrumente, kakor so opredeljeni v 29. točki prvega odstavka 2.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600/2014</w:t>
      </w:r>
      <w:r w:rsidR="0004694D" w:rsidRPr="00DB50BC">
        <w:rPr>
          <w:rFonts w:cs="Arial"/>
        </w:rPr>
        <w:t xml:space="preserve"> </w:t>
      </w:r>
      <w:r w:rsidRPr="00DB50BC">
        <w:rPr>
          <w:rFonts w:cs="Arial"/>
        </w:rPr>
        <w:t>Evropskega parlamenta in Sveta z dne 15. maja 2014 o trgih finančnih instrumentov in spremembi</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648/2012</w:t>
      </w:r>
      <w:r w:rsidR="0004694D" w:rsidRPr="00DB50BC">
        <w:rPr>
          <w:rFonts w:cs="Arial"/>
        </w:rPr>
        <w:t xml:space="preserve"> </w:t>
      </w:r>
      <w:r w:rsidRPr="00DB50BC">
        <w:rPr>
          <w:rFonts w:cs="Arial"/>
        </w:rPr>
        <w:t>(UL L št. 173 z dne 12. 6. 2014, str. 84), zadnjič spremenjene z</w:t>
      </w:r>
      <w:r w:rsidR="0004694D" w:rsidRPr="00DB50BC">
        <w:rPr>
          <w:rFonts w:cs="Arial"/>
        </w:rPr>
        <w:t xml:space="preserve"> </w:t>
      </w:r>
      <w:r w:rsidRPr="00DB50BC">
        <w:rPr>
          <w:rFonts w:cs="Arial"/>
          <w:color w:val="000000"/>
        </w:rPr>
        <w:t>Uredbo</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2021/23</w:t>
      </w:r>
      <w:r w:rsidR="0004694D" w:rsidRPr="00DB50BC">
        <w:rPr>
          <w:rFonts w:cs="Arial"/>
        </w:rPr>
        <w:t xml:space="preserve"> </w:t>
      </w:r>
      <w:r w:rsidRPr="00DB50BC">
        <w:rPr>
          <w:rFonts w:cs="Arial"/>
        </w:rPr>
        <w:t>Evropskega parlamenta in Sveta z dne 16. decembra 2020 o okviru za sanacijo in reševanje centralnih nasprotnih strank ter spremembi</w:t>
      </w:r>
      <w:r w:rsidR="0004694D" w:rsidRPr="00DB50BC">
        <w:rPr>
          <w:rFonts w:cs="Arial"/>
        </w:rPr>
        <w:t xml:space="preserve"> </w:t>
      </w:r>
      <w:r w:rsidRPr="00DB50BC">
        <w:rPr>
          <w:rFonts w:cs="Arial"/>
          <w:color w:val="000000"/>
        </w:rPr>
        <w:t>uredb</w:t>
      </w:r>
      <w:r w:rsidRPr="00DB50BC">
        <w:rPr>
          <w:rFonts w:cs="Arial"/>
          <w:color w:val="0000EE"/>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1095/2010,</w:t>
      </w:r>
      <w:r w:rsidR="0004694D" w:rsidRPr="00DB50BC">
        <w:rPr>
          <w:rFonts w:cs="Arial"/>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648/2012,</w:t>
      </w:r>
      <w:r w:rsidR="0004694D" w:rsidRPr="00DB50BC">
        <w:rPr>
          <w:rFonts w:cs="Arial"/>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600/2014,</w:t>
      </w:r>
      <w:r w:rsidR="0004694D" w:rsidRPr="00DB50BC">
        <w:rPr>
          <w:rFonts w:cs="Arial"/>
        </w:rPr>
        <w:t xml:space="preserve"> </w:t>
      </w:r>
      <w:r w:rsidRPr="00DB50BC">
        <w:rPr>
          <w:rFonts w:cs="Arial"/>
          <w:color w:val="000000"/>
        </w:rPr>
        <w:t>(EU)</w:t>
      </w:r>
      <w:r w:rsidRPr="00DB50BC">
        <w:rPr>
          <w:rFonts w:cs="Arial"/>
          <w:color w:val="0000EE"/>
        </w:rPr>
        <w:t xml:space="preserve"> </w:t>
      </w:r>
      <w:r w:rsidRPr="00DB50BC">
        <w:rPr>
          <w:rFonts w:cs="Arial"/>
          <w:color w:val="000000"/>
        </w:rPr>
        <w:t>št.</w:t>
      </w:r>
      <w:r w:rsidRPr="00DB50BC">
        <w:rPr>
          <w:rFonts w:cs="Arial"/>
          <w:color w:val="0000EE"/>
        </w:rPr>
        <w:t xml:space="preserve"> </w:t>
      </w:r>
      <w:r w:rsidRPr="00DB50BC">
        <w:rPr>
          <w:rFonts w:cs="Arial"/>
          <w:color w:val="000000"/>
        </w:rPr>
        <w:t>806/2014</w:t>
      </w:r>
      <w:r w:rsidR="0004694D" w:rsidRPr="00DB50BC">
        <w:rPr>
          <w:rFonts w:cs="Arial"/>
        </w:rPr>
        <w:t xml:space="preserve"> </w:t>
      </w:r>
      <w:r w:rsidRPr="00DB50BC">
        <w:rPr>
          <w:rFonts w:cs="Arial"/>
        </w:rPr>
        <w:t>in</w:t>
      </w:r>
      <w:r w:rsidR="0004694D" w:rsidRPr="00DB50BC">
        <w:rPr>
          <w:rFonts w:cs="Arial"/>
        </w:rPr>
        <w:t xml:space="preserve"> </w:t>
      </w:r>
      <w:r w:rsidRPr="00DB50BC">
        <w:rPr>
          <w:rFonts w:cs="Arial"/>
          <w:color w:val="000000"/>
        </w:rPr>
        <w:t>(EU)</w:t>
      </w:r>
      <w:r w:rsidRPr="00DB50BC">
        <w:rPr>
          <w:rFonts w:cs="Arial"/>
          <w:color w:val="0000EE"/>
        </w:rPr>
        <w:t xml:space="preserve"> </w:t>
      </w:r>
      <w:r w:rsidRPr="00DB50BC">
        <w:rPr>
          <w:rFonts w:cs="Arial"/>
          <w:color w:val="000000"/>
        </w:rPr>
        <w:t>2015/2365</w:t>
      </w:r>
      <w:r w:rsidR="0004694D" w:rsidRPr="00DB50BC">
        <w:rPr>
          <w:rFonts w:cs="Arial"/>
        </w:rPr>
        <w:t xml:space="preserve"> </w:t>
      </w:r>
      <w:r w:rsidRPr="00DB50BC">
        <w:rPr>
          <w:rFonts w:cs="Arial"/>
        </w:rPr>
        <w:t>ter</w:t>
      </w:r>
      <w:r w:rsidR="0004694D" w:rsidRPr="00DB50BC">
        <w:rPr>
          <w:rFonts w:cs="Arial"/>
        </w:rPr>
        <w:t xml:space="preserve"> </w:t>
      </w:r>
      <w:r w:rsidRPr="00DB50BC">
        <w:rPr>
          <w:rFonts w:cs="Arial"/>
          <w:color w:val="000000"/>
        </w:rPr>
        <w:t>direktiv</w:t>
      </w:r>
      <w:r w:rsidRPr="00DB50BC">
        <w:rPr>
          <w:rFonts w:cs="Arial"/>
          <w:color w:val="0000EE"/>
        </w:rPr>
        <w:t xml:space="preserve"> </w:t>
      </w:r>
      <w:r w:rsidRPr="00DB50BC">
        <w:rPr>
          <w:rFonts w:cs="Arial"/>
          <w:color w:val="000000"/>
        </w:rPr>
        <w:t>2002/47/ES,</w:t>
      </w:r>
      <w:r w:rsidR="0004694D" w:rsidRPr="00DB50BC">
        <w:rPr>
          <w:rFonts w:cs="Arial"/>
        </w:rPr>
        <w:t xml:space="preserve"> </w:t>
      </w:r>
      <w:r w:rsidRPr="00DB50BC">
        <w:rPr>
          <w:rFonts w:cs="Arial"/>
          <w:color w:val="000000"/>
        </w:rPr>
        <w:t>2004/25/ES,</w:t>
      </w:r>
      <w:r w:rsidR="0004694D" w:rsidRPr="00DB50BC">
        <w:rPr>
          <w:rFonts w:cs="Arial"/>
        </w:rPr>
        <w:t xml:space="preserve"> </w:t>
      </w:r>
      <w:r w:rsidRPr="00DB50BC">
        <w:rPr>
          <w:rFonts w:cs="Arial"/>
          <w:color w:val="000000"/>
        </w:rPr>
        <w:t>2007/36/ES,</w:t>
      </w:r>
      <w:r w:rsidR="0004694D" w:rsidRPr="00DB50BC">
        <w:rPr>
          <w:rFonts w:cs="Arial"/>
        </w:rPr>
        <w:t xml:space="preserve"> </w:t>
      </w:r>
      <w:r w:rsidRPr="00DB50BC">
        <w:rPr>
          <w:rFonts w:cs="Arial"/>
          <w:color w:val="000000"/>
        </w:rPr>
        <w:t>2014/59/EU</w:t>
      </w:r>
      <w:r w:rsidR="0004694D" w:rsidRPr="00DB50BC">
        <w:rPr>
          <w:rFonts w:cs="Arial"/>
        </w:rPr>
        <w:t xml:space="preserve"> </w:t>
      </w:r>
      <w:r w:rsidRPr="00DB50BC">
        <w:rPr>
          <w:rFonts w:cs="Arial"/>
        </w:rPr>
        <w:t>in</w:t>
      </w:r>
      <w:r w:rsidR="0004694D" w:rsidRPr="00DB50BC">
        <w:rPr>
          <w:rFonts w:cs="Arial"/>
        </w:rPr>
        <w:t xml:space="preserve"> </w:t>
      </w:r>
      <w:r w:rsidRPr="00DB50BC">
        <w:rPr>
          <w:rFonts w:cs="Arial"/>
          <w:color w:val="000000"/>
        </w:rPr>
        <w:t>(EU)</w:t>
      </w:r>
      <w:r w:rsidRPr="00DB50BC">
        <w:rPr>
          <w:rFonts w:cs="Arial"/>
          <w:color w:val="0000EE"/>
        </w:rPr>
        <w:t xml:space="preserve"> </w:t>
      </w:r>
      <w:r w:rsidRPr="00DB50BC">
        <w:rPr>
          <w:rFonts w:cs="Arial"/>
          <w:color w:val="000000"/>
        </w:rPr>
        <w:t>2017/1132</w:t>
      </w:r>
      <w:r w:rsidR="0004694D" w:rsidRPr="00DB50BC">
        <w:rPr>
          <w:rFonts w:cs="Arial"/>
        </w:rPr>
        <w:t xml:space="preserve"> </w:t>
      </w:r>
      <w:r w:rsidRPr="00DB50BC">
        <w:rPr>
          <w:rFonts w:cs="Arial"/>
        </w:rPr>
        <w:t>(UL L št. 22 z dne 22. 1. 2021, str. 1), (v nadaljnjem besedilu:</w:t>
      </w:r>
      <w:r w:rsidR="0004694D" w:rsidRPr="00DB50BC">
        <w:rPr>
          <w:rFonts w:cs="Arial"/>
        </w:rPr>
        <w:t xml:space="preserve"> </w:t>
      </w:r>
      <w:r w:rsidRPr="00DB50BC">
        <w:rPr>
          <w:rFonts w:cs="Arial"/>
          <w:color w:val="000000"/>
        </w:rPr>
        <w:t>Uredba</w:t>
      </w:r>
      <w:r w:rsidRPr="00DB50BC">
        <w:rPr>
          <w:rFonts w:cs="Arial"/>
          <w:color w:val="0000EE"/>
        </w:rPr>
        <w:t xml:space="preserve"> </w:t>
      </w:r>
      <w:r w:rsidRPr="00DB50BC">
        <w:rPr>
          <w:rFonts w:cs="Arial"/>
          <w:color w:val="000000"/>
        </w:rPr>
        <w:t>600/2014/EU);</w:t>
      </w:r>
    </w:p>
    <w:p w14:paraId="61C8CACE" w14:textId="020E3DF5" w:rsidR="00BC6257" w:rsidRPr="00DB50BC" w:rsidRDefault="006567CF">
      <w:pPr>
        <w:spacing w:before="210" w:after="210"/>
        <w:rPr>
          <w:rFonts w:cs="Arial"/>
          <w:sz w:val="21"/>
        </w:rPr>
      </w:pPr>
      <w:r w:rsidRPr="00DB50BC">
        <w:rPr>
          <w:rFonts w:cs="Arial"/>
        </w:rPr>
        <w:t>11. »finančna institucija« pomeni finančno institucijo, kakor je opredeljena v 14.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CF" w14:textId="77777777" w:rsidR="00BC6257" w:rsidRPr="00DB50BC" w:rsidRDefault="006567CF">
      <w:pPr>
        <w:spacing w:before="210" w:after="210"/>
        <w:rPr>
          <w:rFonts w:cs="Arial"/>
          <w:sz w:val="21"/>
        </w:rPr>
      </w:pPr>
      <w:r w:rsidRPr="00DB50BC">
        <w:rPr>
          <w:rFonts w:cs="Arial"/>
        </w:rPr>
        <w:t>12. »politika prejemkov, nevtralna glede na spol« pomeni politiko prejemkov, nevtralno glede na spol, kakor je opredeljena v 24. točki prvega odstavka 7. člena ZBan-3;</w:t>
      </w:r>
    </w:p>
    <w:p w14:paraId="61C8CAD0" w14:textId="77777777" w:rsidR="00BC6257" w:rsidRPr="00DB50BC" w:rsidRDefault="006567CF">
      <w:pPr>
        <w:spacing w:before="210" w:after="210"/>
        <w:rPr>
          <w:rFonts w:cs="Arial"/>
          <w:sz w:val="21"/>
        </w:rPr>
      </w:pPr>
      <w:r w:rsidRPr="00DB50BC">
        <w:rPr>
          <w:rFonts w:cs="Arial"/>
        </w:rPr>
        <w:t>13. »skupina« pomeni skupino, kakor je opredeljena v 14. točki 2. člena Zakona o finančnih konglomeratih (Uradni list RS, št. 43/06, 87/11 in 56/13; v nadaljnjem besedilu: ZFK);</w:t>
      </w:r>
    </w:p>
    <w:p w14:paraId="61C8CAD1" w14:textId="771C4F4D" w:rsidR="00BC6257" w:rsidRPr="00DB50BC" w:rsidRDefault="006567CF">
      <w:pPr>
        <w:spacing w:before="210" w:after="210"/>
        <w:rPr>
          <w:rFonts w:cs="Arial"/>
          <w:sz w:val="21"/>
        </w:rPr>
      </w:pPr>
      <w:r w:rsidRPr="00DB50BC">
        <w:rPr>
          <w:rFonts w:cs="Arial"/>
        </w:rPr>
        <w:t>14. »konsolidirani položaj« pomeni konsolidirani položaj, kakor je opredeljen v 11.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D2" w14:textId="77777777" w:rsidR="00BC6257" w:rsidRPr="00DB50BC" w:rsidRDefault="006567CF">
      <w:pPr>
        <w:spacing w:before="210" w:after="210"/>
        <w:rPr>
          <w:rFonts w:cs="Arial"/>
          <w:sz w:val="21"/>
        </w:rPr>
      </w:pPr>
      <w:r w:rsidRPr="00DB50BC">
        <w:rPr>
          <w:rFonts w:cs="Arial"/>
        </w:rPr>
        <w:t>15. »nadzornik skupine« pomeni pristojni organ, odgovoren za nadzor nad izpolnjevanjem zahtev preskusa kapitala skupine obvladujočih investicijskih podjetij Unije in investicijskih podjetij pod nadzorom obvladujočih investicijskih holdingov Unije ali obvladujočih mešanih finančnih holdingov Unije;</w:t>
      </w:r>
    </w:p>
    <w:p w14:paraId="61C8CAD3" w14:textId="77777777" w:rsidR="00BC6257" w:rsidRPr="00DB50BC" w:rsidRDefault="006567CF">
      <w:pPr>
        <w:spacing w:before="210" w:after="210"/>
        <w:rPr>
          <w:rFonts w:cs="Arial"/>
          <w:sz w:val="21"/>
        </w:rPr>
      </w:pPr>
      <w:r w:rsidRPr="00DB50BC">
        <w:rPr>
          <w:rFonts w:cs="Arial"/>
        </w:rPr>
        <w:t>16. »matična država članica« pomeni matično državo članico, kakor je opredeljena v prvem odstavku 21. člena ZTFI-1;</w:t>
      </w:r>
    </w:p>
    <w:p w14:paraId="61C8CAD4" w14:textId="77777777" w:rsidR="00BC6257" w:rsidRPr="00DB50BC" w:rsidRDefault="006567CF">
      <w:pPr>
        <w:spacing w:before="210" w:after="210"/>
        <w:rPr>
          <w:rFonts w:cs="Arial"/>
          <w:sz w:val="21"/>
        </w:rPr>
      </w:pPr>
      <w:r w:rsidRPr="00DB50BC">
        <w:rPr>
          <w:rFonts w:cs="Arial"/>
        </w:rPr>
        <w:t>17. »država članica gostiteljica« pomeni državo članico gostiteljico, kakor je opredeljena v drugem odstavku 21. člena ZTFI-1;</w:t>
      </w:r>
    </w:p>
    <w:p w14:paraId="61C8CAD5" w14:textId="77777777" w:rsidR="00BC6257" w:rsidRPr="00DB50BC" w:rsidRDefault="006567CF">
      <w:pPr>
        <w:spacing w:before="210" w:after="210"/>
        <w:rPr>
          <w:rFonts w:cs="Arial"/>
          <w:sz w:val="21"/>
        </w:rPr>
      </w:pPr>
      <w:r w:rsidRPr="00DB50BC">
        <w:rPr>
          <w:rFonts w:cs="Arial"/>
        </w:rPr>
        <w:t>18. »ustanovni kapital« pomeni kapital, ki se zahteva za odobritev kot investicijsko podjetje in katerega znesek in sestava sta določena v 11. in 12. členu tega zakona;</w:t>
      </w:r>
    </w:p>
    <w:p w14:paraId="61C8CAD6" w14:textId="77777777" w:rsidR="00BC6257" w:rsidRPr="00DB50BC" w:rsidRDefault="006567CF">
      <w:pPr>
        <w:spacing w:before="210" w:after="210"/>
        <w:rPr>
          <w:rFonts w:cs="Arial"/>
          <w:sz w:val="21"/>
        </w:rPr>
      </w:pPr>
      <w:r w:rsidRPr="00DB50BC">
        <w:rPr>
          <w:rFonts w:cs="Arial"/>
        </w:rPr>
        <w:t>19. »investicijsko podjetje« pomeni investicijsko podjetje, kakor je opredeljeno v prvem odstavku 20. člena ZTFI-1;</w:t>
      </w:r>
    </w:p>
    <w:p w14:paraId="61C8CAD7" w14:textId="77777777" w:rsidR="00BC6257" w:rsidRPr="00DB50BC" w:rsidRDefault="006567CF">
      <w:pPr>
        <w:spacing w:before="210" w:after="210"/>
        <w:rPr>
          <w:rFonts w:cs="Arial"/>
          <w:sz w:val="21"/>
        </w:rPr>
      </w:pPr>
      <w:r w:rsidRPr="00DB50BC">
        <w:rPr>
          <w:rFonts w:cs="Arial"/>
        </w:rPr>
        <w:t>20. »borznoposredniška družba« pomeni družbo, kakor je opredeljena v drugem odstavku 20. člena ZTFI-1;</w:t>
      </w:r>
    </w:p>
    <w:p w14:paraId="61C8CAD8" w14:textId="71C7D2F5" w:rsidR="00BC6257" w:rsidRPr="00DB50BC" w:rsidRDefault="006567CF">
      <w:pPr>
        <w:spacing w:before="210" w:after="210"/>
        <w:rPr>
          <w:rFonts w:cs="Arial"/>
          <w:sz w:val="21"/>
        </w:rPr>
      </w:pPr>
      <w:r w:rsidRPr="00DB50BC">
        <w:rPr>
          <w:rFonts w:cs="Arial"/>
        </w:rPr>
        <w:t>21. »skupina investicijskih podjetij« pomeni skupino investicijskih podjetij, kakor je opredeljena v 25.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D9" w14:textId="653F56F7" w:rsidR="00BC6257" w:rsidRPr="00DB50BC" w:rsidRDefault="006567CF">
      <w:pPr>
        <w:spacing w:before="210" w:after="210"/>
        <w:rPr>
          <w:rFonts w:cs="Arial"/>
          <w:sz w:val="21"/>
        </w:rPr>
      </w:pPr>
      <w:r w:rsidRPr="00DB50BC">
        <w:rPr>
          <w:rFonts w:cs="Arial"/>
        </w:rPr>
        <w:t>22. »investicijski holding« pomeni investicijski holding, kakor je opredeljen v 23.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DA" w14:textId="77777777" w:rsidR="00BC6257" w:rsidRPr="00DB50BC" w:rsidRDefault="006567CF">
      <w:pPr>
        <w:spacing w:before="210" w:after="210"/>
        <w:rPr>
          <w:rFonts w:cs="Arial"/>
          <w:sz w:val="21"/>
        </w:rPr>
      </w:pPr>
      <w:r w:rsidRPr="00DB50BC">
        <w:rPr>
          <w:rFonts w:cs="Arial"/>
        </w:rPr>
        <w:lastRenderedPageBreak/>
        <w:t>23. »investicijske storitve in posli« so investicijske storitve in posli, kakor so opredeljeni v 11. členu ZTFI-1;</w:t>
      </w:r>
    </w:p>
    <w:p w14:paraId="61C8CADB" w14:textId="77777777" w:rsidR="00BC6257" w:rsidRPr="00DB50BC" w:rsidRDefault="006567CF">
      <w:pPr>
        <w:spacing w:before="210" w:after="210"/>
        <w:rPr>
          <w:rFonts w:cs="Arial"/>
          <w:sz w:val="21"/>
        </w:rPr>
      </w:pPr>
      <w:r w:rsidRPr="00DB50BC">
        <w:rPr>
          <w:rFonts w:cs="Arial"/>
        </w:rPr>
        <w:t>24. »upravljalni organ« pomeni upravljalni organ, kakor je opredeljen v triindvajsetem odstavku 5. člena ZTFI-1;</w:t>
      </w:r>
    </w:p>
    <w:p w14:paraId="61C8CADC" w14:textId="77777777" w:rsidR="00BC6257" w:rsidRPr="00DB50BC" w:rsidRDefault="006567CF">
      <w:pPr>
        <w:spacing w:before="210" w:after="210"/>
        <w:rPr>
          <w:rFonts w:cs="Arial"/>
          <w:sz w:val="21"/>
        </w:rPr>
      </w:pPr>
      <w:r w:rsidRPr="00DB50BC">
        <w:rPr>
          <w:rFonts w:cs="Arial"/>
        </w:rPr>
        <w:t>25. »upravljalni organ v nadzorni funkciji« pomeni upravljalni organ pravne osebe, ki je pristojen in odgovoren za nadzor in spremljanje vodenja poslov te pravne osebe, in v borznoposredniški družbi pomeni neizvršne direktorje v enotirnem sistemu oziroma nadzorni svet v dvotirnem sistemu upravljanja;</w:t>
      </w:r>
    </w:p>
    <w:p w14:paraId="61C8CADD" w14:textId="77777777" w:rsidR="00BC6257" w:rsidRPr="00DB50BC" w:rsidRDefault="006567CF">
      <w:pPr>
        <w:spacing w:before="210" w:after="210"/>
        <w:rPr>
          <w:rFonts w:cs="Arial"/>
          <w:sz w:val="21"/>
        </w:rPr>
      </w:pPr>
      <w:r w:rsidRPr="00DB50BC">
        <w:rPr>
          <w:rFonts w:cs="Arial"/>
        </w:rPr>
        <w:t>26. »upravljalni organ v vodstveni funkciji« pomeni organ pravne osebe, ki je pristojen in odgovoren za vodenje poslov pravne osebe, in v borznoposredniški družbi pomeni izvršne direktorje v enotirnem sistemu oziroma upravo v dvotirnem sistemu upravljanja;</w:t>
      </w:r>
    </w:p>
    <w:p w14:paraId="61C8CADE" w14:textId="77777777" w:rsidR="00BC6257" w:rsidRPr="00DB50BC" w:rsidRDefault="006567CF">
      <w:pPr>
        <w:spacing w:before="210" w:after="210"/>
        <w:rPr>
          <w:rFonts w:cs="Arial"/>
          <w:sz w:val="21"/>
        </w:rPr>
      </w:pPr>
      <w:r w:rsidRPr="00DB50BC">
        <w:rPr>
          <w:rFonts w:cs="Arial"/>
        </w:rPr>
        <w:t>27. »mešani finančni holding« pomeni mešani finančni holding, kakor je opredeljen v 7. členu ZFK;</w:t>
      </w:r>
    </w:p>
    <w:p w14:paraId="61C8CADF" w14:textId="77777777" w:rsidR="00BC6257" w:rsidRPr="00DB50BC" w:rsidRDefault="006567CF">
      <w:pPr>
        <w:spacing w:before="210" w:after="210"/>
        <w:rPr>
          <w:rFonts w:cs="Arial"/>
          <w:sz w:val="21"/>
        </w:rPr>
      </w:pPr>
      <w:r w:rsidRPr="00DB50BC">
        <w:rPr>
          <w:rFonts w:cs="Arial"/>
        </w:rPr>
        <w:t>28. »mešani poslovni holding« pomeni obvladujoče podjetje, ki ni finančni holding, investicijski holding, kreditna institucija, investicijsko podjetje ali mešani finančni holding v smislu ZFK, katerega odvisna podjetja obsegajo najmanj eno investicijsko podjetje;</w:t>
      </w:r>
    </w:p>
    <w:p w14:paraId="61C8CAE0" w14:textId="77777777" w:rsidR="00BC6257" w:rsidRPr="00DB50BC" w:rsidRDefault="006567CF">
      <w:pPr>
        <w:spacing w:before="210" w:after="210"/>
        <w:rPr>
          <w:rFonts w:cs="Arial"/>
          <w:sz w:val="21"/>
        </w:rPr>
      </w:pPr>
      <w:r w:rsidRPr="00DB50BC">
        <w:rPr>
          <w:rFonts w:cs="Arial"/>
        </w:rPr>
        <w:t>29. »višje vodstvo« pomeni višje vodstvo, kakor je opredeljeno v štiriindvajsetem odstavku 5. člena ZTFI-1;</w:t>
      </w:r>
    </w:p>
    <w:p w14:paraId="61C8CAE1" w14:textId="77777777" w:rsidR="00BC6257" w:rsidRPr="00DB50BC" w:rsidRDefault="006567CF">
      <w:pPr>
        <w:spacing w:before="210" w:after="210"/>
        <w:rPr>
          <w:rFonts w:cs="Arial"/>
          <w:sz w:val="21"/>
        </w:rPr>
      </w:pPr>
      <w:r w:rsidRPr="00DB50BC">
        <w:rPr>
          <w:rFonts w:cs="Arial"/>
        </w:rPr>
        <w:t>30. »obvladujoče podjetje« pomeni obvladujočo družbo, kakor je opredeljena v sedemnajstem odstavku 5. člena ZTFI-1;</w:t>
      </w:r>
    </w:p>
    <w:p w14:paraId="61C8CAE2" w14:textId="77777777" w:rsidR="00BC6257" w:rsidRPr="00DB50BC" w:rsidRDefault="006567CF">
      <w:pPr>
        <w:spacing w:before="210" w:after="210"/>
        <w:rPr>
          <w:rFonts w:cs="Arial"/>
          <w:sz w:val="21"/>
        </w:rPr>
      </w:pPr>
      <w:r w:rsidRPr="00DB50BC">
        <w:rPr>
          <w:rFonts w:cs="Arial"/>
        </w:rPr>
        <w:t>31. »odvisno podjetje« pomeni odvisno družbo, kakor je opredeljena v osemnajstem odstavku 5. člena ZTFI-1;</w:t>
      </w:r>
    </w:p>
    <w:p w14:paraId="61C8CAE3" w14:textId="77777777" w:rsidR="00BC6257" w:rsidRPr="00DB50BC" w:rsidRDefault="006567CF">
      <w:pPr>
        <w:spacing w:before="210" w:after="210"/>
        <w:rPr>
          <w:rFonts w:cs="Arial"/>
          <w:sz w:val="21"/>
        </w:rPr>
      </w:pPr>
      <w:r w:rsidRPr="00DB50BC">
        <w:rPr>
          <w:rFonts w:cs="Arial"/>
        </w:rPr>
        <w:t>32. »sistemsko tveganje« pomeni sistemsko tveganje, kakor je opredeljeno v 29. točki prvega odstavka 7. člena ZBan-3;</w:t>
      </w:r>
    </w:p>
    <w:p w14:paraId="61C8CAE4" w14:textId="50600987" w:rsidR="00BC6257" w:rsidRPr="00DB50BC" w:rsidRDefault="006567CF">
      <w:pPr>
        <w:spacing w:before="210" w:after="210"/>
        <w:rPr>
          <w:rFonts w:cs="Arial"/>
          <w:sz w:val="21"/>
        </w:rPr>
      </w:pPr>
      <w:r w:rsidRPr="00DB50BC">
        <w:rPr>
          <w:rFonts w:cs="Arial"/>
        </w:rPr>
        <w:t>33. »obvladujoče investicijsko podjetje Unije« pomeni obvladujoče investicijsko podjetje Unije, kakor je opredeljeno v 56.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E5" w14:textId="17A46B5F" w:rsidR="00BC6257" w:rsidRPr="00DB50BC" w:rsidRDefault="006567CF">
      <w:pPr>
        <w:spacing w:before="210" w:after="210"/>
        <w:rPr>
          <w:rFonts w:cs="Arial"/>
          <w:sz w:val="21"/>
        </w:rPr>
      </w:pPr>
      <w:r w:rsidRPr="00DB50BC">
        <w:rPr>
          <w:rFonts w:cs="Arial"/>
        </w:rPr>
        <w:t>34. »obvladujoči investicijski holding Unije« pomeni obvladujoči investicijski holding Unije, kakor je opredeljen v 57.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E6" w14:textId="3E3B92AC" w:rsidR="00BC6257" w:rsidRPr="00DB50BC" w:rsidRDefault="006567CF">
      <w:pPr>
        <w:spacing w:before="210" w:after="210"/>
        <w:rPr>
          <w:rFonts w:cs="Arial"/>
          <w:sz w:val="21"/>
        </w:rPr>
      </w:pPr>
      <w:r w:rsidRPr="00DB50BC">
        <w:rPr>
          <w:rFonts w:cs="Arial"/>
        </w:rPr>
        <w:t>35. »obvladujoči mešani finančni holding Unije« pomeni obvladujoči mešani finančni holding Unije, kakor je opredeljen v 58.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E7" w14:textId="77777777" w:rsidR="00BC6257" w:rsidRPr="00DB50BC" w:rsidRDefault="006567CF">
      <w:pPr>
        <w:spacing w:before="210" w:after="210"/>
        <w:rPr>
          <w:rFonts w:cs="Arial"/>
          <w:sz w:val="21"/>
        </w:rPr>
      </w:pPr>
      <w:r w:rsidRPr="00DB50BC">
        <w:rPr>
          <w:rFonts w:cs="Arial"/>
        </w:rPr>
        <w:t>36. »ožji družinski član« pomeni osebo, kakor je opredeljena v 23. točki prvega odstavka 7. člena ZBan-3;</w:t>
      </w:r>
    </w:p>
    <w:p w14:paraId="61C8CAE8" w14:textId="7B3FCF00" w:rsidR="00BC6257" w:rsidRPr="00DB50BC" w:rsidRDefault="006567CF">
      <w:pPr>
        <w:spacing w:before="210" w:after="210"/>
        <w:rPr>
          <w:rFonts w:cs="Arial"/>
          <w:sz w:val="21"/>
        </w:rPr>
      </w:pPr>
      <w:r w:rsidRPr="00DB50BC">
        <w:rPr>
          <w:rFonts w:cs="Arial"/>
        </w:rPr>
        <w:t>37. »kvalificirani delež« pomeni kvalificirani delež, kakor je opredeljen v 36.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575/2013/EU;</w:t>
      </w:r>
    </w:p>
    <w:p w14:paraId="61C8CAE9" w14:textId="2CF6D805" w:rsidR="00BC6257" w:rsidRPr="00DB50BC" w:rsidRDefault="006567CF">
      <w:pPr>
        <w:spacing w:before="210" w:after="210"/>
        <w:rPr>
          <w:rFonts w:cs="Arial"/>
          <w:sz w:val="21"/>
        </w:rPr>
      </w:pPr>
      <w:r w:rsidRPr="00DB50BC">
        <w:rPr>
          <w:rFonts w:cs="Arial"/>
        </w:rPr>
        <w:t>38. »trgovalna knjiga« pomeni vse pozicije v finančnih instrumentih in blagu, ki jih ima investicijsko podjetje ali borznoposredniška družba za namene trgovanja ali varovanje pozicij, ki jih ima za namene trgovanja, v skladu s 104. členom</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575/2013/EU;</w:t>
      </w:r>
    </w:p>
    <w:p w14:paraId="61C8CAEA" w14:textId="77777777" w:rsidR="00BC6257" w:rsidRPr="00DB50BC" w:rsidRDefault="006567CF">
      <w:pPr>
        <w:spacing w:before="210" w:after="210"/>
        <w:rPr>
          <w:rFonts w:cs="Arial"/>
          <w:sz w:val="21"/>
        </w:rPr>
      </w:pPr>
      <w:r w:rsidRPr="00DB50BC">
        <w:rPr>
          <w:rFonts w:cs="Arial"/>
        </w:rPr>
        <w:t>39. »pozicije, namenjene trgovanju« pomenijo kar koli od naslednjega:</w:t>
      </w:r>
    </w:p>
    <w:p w14:paraId="61C8CAEB" w14:textId="77777777" w:rsidR="00BC6257" w:rsidRPr="00DB50BC" w:rsidRDefault="006567CF">
      <w:pPr>
        <w:spacing w:before="210" w:after="210"/>
        <w:rPr>
          <w:rFonts w:cs="Arial"/>
          <w:sz w:val="21"/>
        </w:rPr>
      </w:pPr>
      <w:r w:rsidRPr="00DB50BC">
        <w:rPr>
          <w:rFonts w:cs="Arial"/>
        </w:rPr>
        <w:t>- pozicije za lastni račun in pozicije, ki izhajajo iz servisiranja strank in vzdrževanja trga;</w:t>
      </w:r>
    </w:p>
    <w:p w14:paraId="61C8CAEC" w14:textId="77777777" w:rsidR="00BC6257" w:rsidRPr="00DB50BC" w:rsidRDefault="006567CF">
      <w:pPr>
        <w:spacing w:before="210" w:after="210"/>
        <w:rPr>
          <w:rFonts w:cs="Arial"/>
          <w:sz w:val="21"/>
        </w:rPr>
      </w:pPr>
      <w:r w:rsidRPr="00DB50BC">
        <w:rPr>
          <w:rFonts w:cs="Arial"/>
        </w:rPr>
        <w:lastRenderedPageBreak/>
        <w:t>- pozicije, ki naj bi se kratkoročno ponovno prodale;</w:t>
      </w:r>
    </w:p>
    <w:p w14:paraId="61C8CAED" w14:textId="77777777" w:rsidR="00BC6257" w:rsidRPr="00DB50BC" w:rsidRDefault="006567CF">
      <w:pPr>
        <w:spacing w:before="210" w:after="210"/>
        <w:rPr>
          <w:rFonts w:cs="Arial"/>
          <w:sz w:val="21"/>
        </w:rPr>
      </w:pPr>
      <w:r w:rsidRPr="00DB50BC">
        <w:rPr>
          <w:rFonts w:cs="Arial"/>
        </w:rPr>
        <w:t>- pozicije, ki naj bi omogočile kratkoročni zaslužek na račun dejanskih ali pričakovanih razlik med njihovo prodajno in nakupno ceno ali na račun sprememb drugih cen ali obrestne mere.</w:t>
      </w:r>
    </w:p>
    <w:p w14:paraId="61C8CAEE" w14:textId="22937F91" w:rsidR="00BC6257" w:rsidRPr="00DB50BC" w:rsidRDefault="006567CF">
      <w:pPr>
        <w:spacing w:before="210" w:after="210"/>
        <w:rPr>
          <w:rFonts w:cs="Arial"/>
          <w:sz w:val="21"/>
        </w:rPr>
      </w:pPr>
      <w:r w:rsidRPr="00DB50BC">
        <w:rPr>
          <w:rFonts w:cs="Arial"/>
        </w:rPr>
        <w:t>9. »kreditna institucija« pomeni kreditno institucijo, kakor je opredeljena v 1.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575/2013/EU,</w:t>
      </w:r>
      <w:r w:rsidRPr="00DB50BC">
        <w:rPr>
          <w:rFonts w:cs="Arial"/>
        </w:rPr>
        <w:t xml:space="preserve"> in če ima sedež v Republiki Sloveniji, pomeni banko ali hranilnico, kakor sta opredeljeni v 4. členu Zakona o bančništvu (Uradni list RS, št. 92/21; v nadaljnjem besedilu: ZBan-3);</w:t>
      </w:r>
    </w:p>
    <w:p w14:paraId="61C8CAEF" w14:textId="77777777" w:rsidR="00BC6257" w:rsidRPr="00DB50BC" w:rsidRDefault="006567CF">
      <w:pPr>
        <w:spacing w:before="210" w:after="210"/>
        <w:rPr>
          <w:rFonts w:cs="Arial"/>
          <w:sz w:val="21"/>
        </w:rPr>
      </w:pPr>
      <w:r w:rsidRPr="00DB50BC">
        <w:rPr>
          <w:rFonts w:cs="Arial"/>
        </w:rPr>
        <w:t>17. »država članica gostiteljica« pomeni državo članico gostiteljico, kakor je opredeljena v drugem odstavku 21. člena ZTFI-1;</w:t>
      </w:r>
    </w:p>
    <w:p w14:paraId="61C8CAF0" w14:textId="77777777" w:rsidR="00BC6257" w:rsidRPr="00DB50BC" w:rsidRDefault="006567CF">
      <w:pPr>
        <w:spacing w:before="210" w:after="210"/>
        <w:rPr>
          <w:rFonts w:cs="Arial"/>
          <w:sz w:val="21"/>
        </w:rPr>
      </w:pPr>
      <w:r w:rsidRPr="00DB50BC">
        <w:rPr>
          <w:rFonts w:cs="Arial"/>
        </w:rPr>
        <w:t>19. »investicijsko podjetje« pomeni investicijsko podjetje, kakor je opredeljeno v prvem odstavku 20. člena ZTFI-1;</w:t>
      </w:r>
    </w:p>
    <w:p w14:paraId="61C8CAF1" w14:textId="5ED93292" w:rsidR="00BC6257" w:rsidRPr="00DB50BC" w:rsidRDefault="006567CF">
      <w:pPr>
        <w:spacing w:before="210" w:after="210"/>
        <w:rPr>
          <w:rFonts w:cs="Arial"/>
          <w:sz w:val="21"/>
        </w:rPr>
      </w:pPr>
      <w:r w:rsidRPr="00DB50BC">
        <w:rPr>
          <w:rFonts w:cs="Arial"/>
        </w:rPr>
        <w:t>35. »obvladujoči mešani finančni holding Unije« pomeni obvladujoči mešani finančni holding Unije, kakor je opredeljen v 58. točki prvega odstavka 4.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p>
    <w:p w14:paraId="61C8CAF2" w14:textId="77777777" w:rsidR="00BC6257" w:rsidRPr="00DB50BC" w:rsidRDefault="006567CF">
      <w:pPr>
        <w:pStyle w:val="center"/>
        <w:spacing w:before="210" w:after="210"/>
        <w:rPr>
          <w:rFonts w:cs="Arial"/>
          <w:b/>
          <w:sz w:val="21"/>
        </w:rPr>
      </w:pPr>
      <w:r w:rsidRPr="00DB50BC">
        <w:rPr>
          <w:rFonts w:cs="Arial"/>
          <w:b/>
          <w:sz w:val="21"/>
        </w:rPr>
        <w:t>54. člen</w:t>
      </w:r>
    </w:p>
    <w:p w14:paraId="61C8CAF3" w14:textId="77777777" w:rsidR="00BC6257" w:rsidRPr="00DB50BC" w:rsidRDefault="006567CF">
      <w:pPr>
        <w:pStyle w:val="center"/>
        <w:spacing w:before="210" w:after="210"/>
        <w:rPr>
          <w:rFonts w:cs="Arial"/>
          <w:b/>
          <w:sz w:val="21"/>
        </w:rPr>
      </w:pPr>
      <w:r w:rsidRPr="00DB50BC">
        <w:rPr>
          <w:rFonts w:cs="Arial"/>
          <w:b/>
          <w:sz w:val="21"/>
        </w:rPr>
        <w:t>(nadzorniško pregledovanje in ovrednotenje)</w:t>
      </w:r>
    </w:p>
    <w:p w14:paraId="61C8CAF4" w14:textId="4166E00E" w:rsidR="00BC6257" w:rsidRPr="00DB50BC" w:rsidRDefault="006567CF">
      <w:pPr>
        <w:spacing w:before="210" w:after="210"/>
        <w:rPr>
          <w:rFonts w:cs="Arial"/>
          <w:sz w:val="21"/>
        </w:rPr>
      </w:pPr>
      <w:r w:rsidRPr="00DB50BC">
        <w:rPr>
          <w:rFonts w:cs="Arial"/>
        </w:rPr>
        <w:t>(1) Agencija, če je to ustrezno in potrebno ter ob upoštevanju velikosti, profila tveganja in poslovnega modela borznoposredniške družbe, pregleda ureditve, strategije, procese in mehanizme, ki jih izvaja borznoposredniška družba za zagotovitev skladnosti s tem zakonom in</w:t>
      </w:r>
      <w:r w:rsidR="0004694D" w:rsidRPr="00DB50BC">
        <w:rPr>
          <w:rFonts w:cs="Arial"/>
        </w:rPr>
        <w:t xml:space="preserve"> </w:t>
      </w:r>
      <w:r w:rsidRPr="00DB50BC">
        <w:rPr>
          <w:rFonts w:cs="Arial"/>
          <w:color w:val="000000"/>
        </w:rPr>
        <w:t>Uredbo</w:t>
      </w:r>
      <w:r w:rsidRPr="00DB50BC">
        <w:rPr>
          <w:rFonts w:cs="Arial"/>
          <w:color w:val="0000EE"/>
        </w:rPr>
        <w:t xml:space="preserve"> </w:t>
      </w:r>
      <w:r w:rsidRPr="00DB50BC">
        <w:rPr>
          <w:rFonts w:cs="Arial"/>
          <w:color w:val="000000"/>
        </w:rPr>
        <w:t>2019/2033/EU,</w:t>
      </w:r>
      <w:r w:rsidRPr="00DB50BC">
        <w:rPr>
          <w:rFonts w:cs="Arial"/>
        </w:rPr>
        <w:t xml:space="preserve"> ter za zagotovitev zanesljivega upravljanja in kritja tveganj ovrednoti:</w:t>
      </w:r>
    </w:p>
    <w:p w14:paraId="61C8CAF5" w14:textId="77777777" w:rsidR="00BC6257" w:rsidRPr="00DB50BC" w:rsidRDefault="006567CF">
      <w:pPr>
        <w:spacing w:before="210" w:after="210"/>
        <w:rPr>
          <w:rFonts w:cs="Arial"/>
          <w:sz w:val="21"/>
        </w:rPr>
      </w:pPr>
      <w:r w:rsidRPr="00DB50BC">
        <w:rPr>
          <w:rFonts w:cs="Arial"/>
        </w:rPr>
        <w:t>1. tveganja iz 35. člena tega zakona;</w:t>
      </w:r>
    </w:p>
    <w:p w14:paraId="61C8CAF6" w14:textId="77777777" w:rsidR="00BC6257" w:rsidRPr="00DB50BC" w:rsidRDefault="006567CF">
      <w:pPr>
        <w:spacing w:before="210" w:after="210"/>
        <w:rPr>
          <w:rFonts w:cs="Arial"/>
          <w:sz w:val="21"/>
        </w:rPr>
      </w:pPr>
      <w:r w:rsidRPr="00DB50BC">
        <w:rPr>
          <w:rFonts w:cs="Arial"/>
        </w:rPr>
        <w:t>2. geografsko lokacijo izpostavljenosti borznoposredniške družbe;</w:t>
      </w:r>
    </w:p>
    <w:p w14:paraId="61C8CAF7" w14:textId="77777777" w:rsidR="00BC6257" w:rsidRPr="00DB50BC" w:rsidRDefault="006567CF">
      <w:pPr>
        <w:spacing w:before="210" w:after="210"/>
        <w:rPr>
          <w:rFonts w:cs="Arial"/>
          <w:sz w:val="21"/>
        </w:rPr>
      </w:pPr>
      <w:r w:rsidRPr="00DB50BC">
        <w:rPr>
          <w:rFonts w:cs="Arial"/>
        </w:rPr>
        <w:t>3. poslovni model borznoposredniške družbe;</w:t>
      </w:r>
    </w:p>
    <w:p w14:paraId="61C8CAF8" w14:textId="12689A07" w:rsidR="00BC6257" w:rsidRPr="00DB50BC" w:rsidRDefault="006567CF">
      <w:pPr>
        <w:spacing w:before="210" w:after="210"/>
        <w:rPr>
          <w:rFonts w:cs="Arial"/>
          <w:sz w:val="21"/>
        </w:rPr>
      </w:pPr>
      <w:r w:rsidRPr="00DB50BC">
        <w:rPr>
          <w:rFonts w:cs="Arial"/>
        </w:rPr>
        <w:t>4. oceno sistemskega tveganja ob upoštevanju ugotavljanja in merjenja sistemskega tveganja na podlagi 23.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1093/2010/EU</w:t>
      </w:r>
      <w:r w:rsidR="0004694D" w:rsidRPr="00DB50BC">
        <w:rPr>
          <w:rFonts w:cs="Arial"/>
        </w:rPr>
        <w:t xml:space="preserve"> </w:t>
      </w:r>
      <w:r w:rsidRPr="00DB50BC">
        <w:rPr>
          <w:rFonts w:cs="Arial"/>
        </w:rPr>
        <w:t>ali priporočil ESRB;</w:t>
      </w:r>
    </w:p>
    <w:p w14:paraId="61C8CAF9" w14:textId="77777777" w:rsidR="00BC6257" w:rsidRPr="00DB50BC" w:rsidRDefault="006567CF">
      <w:pPr>
        <w:spacing w:before="210" w:after="210"/>
        <w:rPr>
          <w:rFonts w:cs="Arial"/>
          <w:sz w:val="21"/>
        </w:rPr>
      </w:pPr>
      <w:r w:rsidRPr="00DB50BC">
        <w:rPr>
          <w:rFonts w:cs="Arial"/>
        </w:rPr>
        <w:t>5. tveganja za varnost omrežij in informacijskih sistemov borznoposredniške družbe, da se zagotovijo zaupnost, celovitost in razpoložljivost njihovih postopkov, podatkov in sredstev;</w:t>
      </w:r>
    </w:p>
    <w:p w14:paraId="61C8CAFA" w14:textId="77777777" w:rsidR="00BC6257" w:rsidRPr="00DB50BC" w:rsidRDefault="006567CF">
      <w:pPr>
        <w:spacing w:before="210" w:after="210"/>
        <w:rPr>
          <w:rFonts w:cs="Arial"/>
          <w:sz w:val="21"/>
        </w:rPr>
      </w:pPr>
      <w:r w:rsidRPr="00DB50BC">
        <w:rPr>
          <w:rFonts w:cs="Arial"/>
        </w:rPr>
        <w:t>6. izpostavljenost borznoposredniške družbe tveganju spremembe obrestne mere, ki je posledica dejavnosti iz netrgovalne knjige, in</w:t>
      </w:r>
    </w:p>
    <w:p w14:paraId="61C8CAFB" w14:textId="77777777" w:rsidR="00BC6257" w:rsidRPr="00DB50BC" w:rsidRDefault="006567CF">
      <w:pPr>
        <w:spacing w:before="210" w:after="210"/>
        <w:rPr>
          <w:rFonts w:cs="Arial"/>
          <w:sz w:val="21"/>
        </w:rPr>
      </w:pPr>
      <w:r w:rsidRPr="00DB50BC">
        <w:rPr>
          <w:rFonts w:cs="Arial"/>
        </w:rPr>
        <w:t>7. ureditve upravljanja borznoposredniške družbe in usposobljenost članov upravljalnega organa za opravljanje nalog.</w:t>
      </w:r>
    </w:p>
    <w:p w14:paraId="61C8CAFC" w14:textId="77777777" w:rsidR="00BC6257" w:rsidRPr="00DB50BC" w:rsidRDefault="006567CF">
      <w:pPr>
        <w:spacing w:before="210" w:after="210"/>
        <w:rPr>
          <w:rFonts w:cs="Arial"/>
          <w:sz w:val="21"/>
        </w:rPr>
      </w:pPr>
      <w:r w:rsidRPr="00DB50BC">
        <w:rPr>
          <w:rFonts w:cs="Arial"/>
        </w:rPr>
        <w:t>(2) Agencija za namene prejšnjega odstavka upošteva, ali ima borznoposredniška družba sklenjeno zavarovanje poklicne odgovornosti.</w:t>
      </w:r>
    </w:p>
    <w:p w14:paraId="61C8CAFD" w14:textId="77777777" w:rsidR="00BC6257" w:rsidRPr="00DB50BC" w:rsidRDefault="006567CF">
      <w:pPr>
        <w:spacing w:before="210" w:after="210"/>
        <w:rPr>
          <w:rFonts w:cs="Arial"/>
          <w:sz w:val="21"/>
        </w:rPr>
      </w:pPr>
      <w:r w:rsidRPr="00DB50BC">
        <w:rPr>
          <w:rFonts w:cs="Arial"/>
        </w:rPr>
        <w:t>(3) Agencija določi pogostost in intenzivnost pregledovanja in ovrednotenja iz prvega odstavka tega člena glede na velikost, naravo, obseg in zapletenost dejavnosti borznoposredniških družb ter njihovega sistemskega pomena, pri čemer upošteva načelo sorazmernosti.</w:t>
      </w:r>
    </w:p>
    <w:p w14:paraId="61C8CAFE" w14:textId="0C316912" w:rsidR="00BC6257" w:rsidRPr="00DB50BC" w:rsidRDefault="006567CF">
      <w:pPr>
        <w:spacing w:before="210" w:after="210"/>
        <w:rPr>
          <w:rFonts w:cs="Arial"/>
          <w:sz w:val="21"/>
        </w:rPr>
      </w:pPr>
      <w:r w:rsidRPr="00DB50BC">
        <w:rPr>
          <w:rFonts w:cs="Arial"/>
        </w:rPr>
        <w:lastRenderedPageBreak/>
        <w:t>(4) Agencija od primera do primera odloči, ali in v kakšnem obsegu je treba opraviti pregledovanje in ovrednotenje za borznoposredniško družbo, ki izpolnjuje pogoje za uvrstitev med mala in nepovezana investicijska podjetja iz prvega odstavka 12. člena</w:t>
      </w:r>
      <w:r w:rsidR="0004694D" w:rsidRPr="00DB50BC">
        <w:rPr>
          <w:rFonts w:cs="Arial"/>
        </w:rPr>
        <w:t xml:space="preserve"> </w:t>
      </w:r>
      <w:r w:rsidRPr="00DB50BC">
        <w:rPr>
          <w:rFonts w:cs="Arial"/>
          <w:color w:val="000000"/>
        </w:rPr>
        <w:t>Uredbe</w:t>
      </w:r>
      <w:r w:rsidRPr="00DB50BC">
        <w:rPr>
          <w:rFonts w:cs="Arial"/>
          <w:color w:val="0000EE"/>
        </w:rPr>
        <w:t xml:space="preserve"> </w:t>
      </w:r>
      <w:r w:rsidRPr="00DB50BC">
        <w:rPr>
          <w:rFonts w:cs="Arial"/>
          <w:color w:val="000000"/>
        </w:rPr>
        <w:t>2019/2033/EU.</w:t>
      </w:r>
      <w:r w:rsidRPr="00DB50BC">
        <w:rPr>
          <w:rFonts w:cs="Arial"/>
        </w:rPr>
        <w:t xml:space="preserve"> Pregledovanje in ovrednotenje iz prejšnjega stavka se opravita, kadar agencija presodi, da je to potrebno zaradi velikosti, narave, obsega in zapletenosti dejavnosti te borznoposredniške družbe.</w:t>
      </w:r>
    </w:p>
    <w:p w14:paraId="61C8CAFF" w14:textId="77777777" w:rsidR="00BC6257" w:rsidRPr="00DB50BC" w:rsidRDefault="006567CF">
      <w:pPr>
        <w:spacing w:before="210" w:after="210"/>
        <w:rPr>
          <w:rFonts w:cs="Arial"/>
          <w:sz w:val="21"/>
        </w:rPr>
      </w:pPr>
      <w:r w:rsidRPr="00DB50BC">
        <w:rPr>
          <w:rFonts w:cs="Arial"/>
        </w:rPr>
        <w:t>(5) Za namene tretjega odstavka tega člena se uporabljajo določbe ZTFI-1 ter na njegovi podlagi sprejeti podzakonski akti, ki urejajo ločevanje denarnih sredstev strank od premoženja borznoposredniške družbe.</w:t>
      </w:r>
    </w:p>
    <w:p w14:paraId="61C8CB00" w14:textId="77777777" w:rsidR="00BC6257" w:rsidRPr="00DB50BC" w:rsidRDefault="006567CF">
      <w:pPr>
        <w:spacing w:before="210" w:after="210"/>
        <w:rPr>
          <w:rFonts w:cs="Arial"/>
          <w:sz w:val="21"/>
        </w:rPr>
      </w:pPr>
      <w:r w:rsidRPr="00DB50BC">
        <w:rPr>
          <w:rFonts w:cs="Arial"/>
        </w:rPr>
        <w:t>(6) Borznoposredniška družba mora agenciji v okviru pregledovanja in ovrednotenja iz 7. točke prvega odstavka tega člena zagotoviti dostop do dnevnih redov, zapisnikov in spremnih dokumentov za sestanke upravljalnega organa in njegovih komisij ter rezultatov notranjega ali zunanjega ovrednotenja uspešnosti upravljalnega organa.</w:t>
      </w:r>
    </w:p>
    <w:p w14:paraId="61C8CB01" w14:textId="1EA3B869" w:rsidR="00BC6257" w:rsidRPr="00DB50BC" w:rsidRDefault="006567CF">
      <w:pPr>
        <w:spacing w:before="210" w:after="210"/>
        <w:rPr>
          <w:rFonts w:cs="Arial"/>
          <w:sz w:val="21"/>
        </w:rPr>
      </w:pPr>
      <w:r w:rsidRPr="00DB50BC">
        <w:rPr>
          <w:rFonts w:cs="Arial"/>
        </w:rPr>
        <w:t>(7) Z namenom, da ureditve, strategije, procesi in mehanizmi investicijskih podjetij zagotovijo zanesljivo upravljanje in kritje tveganj, se upoštevajo delegirani akti Komisije, sprejeti na podlagi četrtega odstavka 36. člena</w:t>
      </w:r>
      <w:r w:rsidR="0004694D" w:rsidRPr="00DB50BC">
        <w:rPr>
          <w:rFonts w:cs="Arial"/>
        </w:rPr>
        <w:t xml:space="preserve"> </w:t>
      </w:r>
      <w:r w:rsidRPr="00DB50BC">
        <w:rPr>
          <w:rFonts w:cs="Arial"/>
          <w:color w:val="000000"/>
        </w:rPr>
        <w:t>Direktive</w:t>
      </w:r>
      <w:r w:rsidRPr="00DB50BC">
        <w:rPr>
          <w:rFonts w:cs="Arial"/>
          <w:color w:val="0000EE"/>
        </w:rPr>
        <w:t xml:space="preserve"> </w:t>
      </w:r>
      <w:r w:rsidRPr="00DB50BC">
        <w:rPr>
          <w:rFonts w:cs="Arial"/>
          <w:color w:val="000000"/>
        </w:rPr>
        <w:t>2019/2034/EU.</w:t>
      </w:r>
    </w:p>
    <w:p w14:paraId="61C8CB02" w14:textId="77777777" w:rsidR="00BC6257" w:rsidRPr="00DB50BC" w:rsidRDefault="006567CF">
      <w:pPr>
        <w:pStyle w:val="center"/>
        <w:spacing w:before="210" w:after="210"/>
        <w:rPr>
          <w:rFonts w:cs="Arial"/>
          <w:b/>
          <w:sz w:val="21"/>
        </w:rPr>
      </w:pPr>
      <w:r w:rsidRPr="00DB50BC">
        <w:rPr>
          <w:rFonts w:cs="Arial"/>
          <w:b/>
          <w:sz w:val="21"/>
        </w:rPr>
        <w:t>75. člen</w:t>
      </w:r>
    </w:p>
    <w:p w14:paraId="61C8CB03" w14:textId="77777777" w:rsidR="00BC6257" w:rsidRPr="00DB50BC" w:rsidRDefault="006567CF">
      <w:pPr>
        <w:pStyle w:val="center"/>
        <w:spacing w:before="210" w:after="210"/>
        <w:rPr>
          <w:rFonts w:cs="Arial"/>
          <w:b/>
          <w:sz w:val="21"/>
        </w:rPr>
      </w:pPr>
      <w:r w:rsidRPr="00DB50BC">
        <w:rPr>
          <w:rFonts w:cs="Arial"/>
          <w:b/>
          <w:sz w:val="21"/>
        </w:rPr>
        <w:t>(globa za kršitev investicijskega holdinga, mešanega finančnega holdinga ali mešanega poslovnega holdinga)</w:t>
      </w:r>
    </w:p>
    <w:p w14:paraId="61C8CB04" w14:textId="77777777" w:rsidR="00BC6257" w:rsidRPr="00DB50BC" w:rsidRDefault="006567CF">
      <w:pPr>
        <w:spacing w:before="210" w:after="210"/>
        <w:rPr>
          <w:rFonts w:cs="Arial"/>
          <w:sz w:val="21"/>
        </w:rPr>
      </w:pPr>
      <w:r w:rsidRPr="00DB50BC">
        <w:rPr>
          <w:rFonts w:cs="Arial"/>
        </w:rPr>
        <w:t>(1) Z globo od 12.500 do 250.000 eurov se za prekršek kaznuje investicijski holding, mešani finančni holding ali mešani poslovni holding, ki:</w:t>
      </w:r>
    </w:p>
    <w:p w14:paraId="61C8CB05" w14:textId="77777777" w:rsidR="00BC6257" w:rsidRPr="00DB50BC" w:rsidRDefault="006567CF">
      <w:pPr>
        <w:spacing w:before="210" w:after="210"/>
        <w:rPr>
          <w:rFonts w:cs="Arial"/>
          <w:sz w:val="21"/>
        </w:rPr>
      </w:pPr>
      <w:r w:rsidRPr="00DB50BC">
        <w:rPr>
          <w:rFonts w:cs="Arial"/>
        </w:rPr>
        <w:t>1. agenciji ne predloži zahtevane dokumentacije, zahtevane na podlagi 1. točke drugega odstavka 20. člena tega zakona;</w:t>
      </w:r>
    </w:p>
    <w:p w14:paraId="61C8CB06" w14:textId="77777777" w:rsidR="00BC6257" w:rsidRPr="00DB50BC" w:rsidRDefault="006567CF">
      <w:pPr>
        <w:spacing w:before="210" w:after="210"/>
        <w:rPr>
          <w:rFonts w:cs="Arial"/>
          <w:sz w:val="21"/>
        </w:rPr>
      </w:pPr>
      <w:r w:rsidRPr="00DB50BC">
        <w:rPr>
          <w:rFonts w:cs="Arial"/>
        </w:rPr>
        <w:t>2. pooblaščeni osebi agencije ne omogoči pregleda ali ovira izvajanje njegovih nalog in pooblastil tako, kot je določeno v 20. členu tega zakona;</w:t>
      </w:r>
    </w:p>
    <w:p w14:paraId="61C8CB07" w14:textId="77777777" w:rsidR="00BC6257" w:rsidRPr="00DB50BC" w:rsidRDefault="006567CF">
      <w:pPr>
        <w:spacing w:before="210" w:after="210"/>
        <w:rPr>
          <w:rFonts w:cs="Arial"/>
          <w:sz w:val="21"/>
        </w:rPr>
      </w:pPr>
      <w:r w:rsidRPr="00DB50BC">
        <w:rPr>
          <w:rFonts w:cs="Arial"/>
        </w:rPr>
        <w:t>3. nima vzpostavljenih ureditev notranjega upravljanja, kot je določeno v 28. členu tega zakona;</w:t>
      </w:r>
    </w:p>
    <w:p w14:paraId="61C8CB08" w14:textId="77777777" w:rsidR="00BC6257" w:rsidRPr="00DB50BC" w:rsidRDefault="006567CF">
      <w:pPr>
        <w:spacing w:before="210" w:after="210"/>
        <w:rPr>
          <w:rFonts w:cs="Arial"/>
          <w:sz w:val="21"/>
        </w:rPr>
      </w:pPr>
      <w:r w:rsidRPr="00DB50BC">
        <w:rPr>
          <w:rFonts w:cs="Arial"/>
        </w:rPr>
        <w:t>4. omogoči eni ali več osebam, ki ne izpolnjujejo zahtev iz 40. člena ZBan-3, da postanejo ali ostanejo člani upravljalnega organa.</w:t>
      </w:r>
    </w:p>
    <w:p w14:paraId="61C8CB09" w14:textId="77777777" w:rsidR="00BC6257" w:rsidRPr="00DB50BC" w:rsidRDefault="006567CF">
      <w:pPr>
        <w:spacing w:before="210" w:after="210"/>
        <w:rPr>
          <w:rFonts w:cs="Arial"/>
          <w:sz w:val="21"/>
        </w:rPr>
      </w:pPr>
      <w:r w:rsidRPr="00DB50BC">
        <w:rPr>
          <w:rFonts w:cs="Arial"/>
        </w:rPr>
        <w:t>(2) Investicijski holding, mešani finančni holding ali mešani poslovni holding, ki se po ZGD-1 šteje za srednjo ali veliko gospodarsko družbo, se za prekršek iz prejšnjega odstavka kaznuje z globo od 25.000 do 500.000 eurov.</w:t>
      </w:r>
    </w:p>
    <w:p w14:paraId="61C8CB0A" w14:textId="77777777" w:rsidR="00BC6257" w:rsidRPr="00DB50BC" w:rsidRDefault="006567CF">
      <w:pPr>
        <w:spacing w:before="210" w:after="210"/>
        <w:rPr>
          <w:rFonts w:cs="Arial"/>
          <w:sz w:val="21"/>
        </w:rPr>
      </w:pPr>
      <w:r w:rsidRPr="00DB50BC">
        <w:rPr>
          <w:rFonts w:cs="Arial"/>
        </w:rPr>
        <w:t>(3) Če je narava storjenega prekrška iz prvega odstavka tega člena posebno huda zaradi višine povzročene škode oziroma višine pridobljene protipravne premoženjske koristi ali zaradi storilčevega naklepa oziroma njegovega namena koristoljubnosti, se investicijski holding, mešani finančni holding ali mešani poslovni holding kaznuje z globo v višini do:</w:t>
      </w:r>
    </w:p>
    <w:p w14:paraId="61C8CB0B" w14:textId="77777777" w:rsidR="00BC6257" w:rsidRPr="00DB50BC" w:rsidRDefault="006567CF">
      <w:pPr>
        <w:spacing w:before="210" w:after="210"/>
        <w:rPr>
          <w:rFonts w:cs="Arial"/>
          <w:sz w:val="21"/>
        </w:rPr>
      </w:pPr>
      <w:r w:rsidRPr="00DB50BC">
        <w:rPr>
          <w:rFonts w:cs="Arial"/>
        </w:rPr>
        <w:t xml:space="preserve">1. 10 % skupnega letnega prometa, vključno z bruto dohodkom investicijskega holdinga, mešanega finančnega holdinga ali mešanega poslovnega holdinga v predhodnem poslovnem letu v obliki prihodkov iz obresti in podobnih prihodkov, prihodkov iz delnic in drugih vrednostnih papirjev s spremenljivim ali stalnim donosom ter prejetih provizij ali opravnin glede na zadnje razpoložljive letne računovodske izkaze, ki jih je odobril pristojni organ investicijskega holdinga, mešanega finančnega holdinga ali mešanega </w:t>
      </w:r>
      <w:r w:rsidRPr="00DB50BC">
        <w:rPr>
          <w:rFonts w:cs="Arial"/>
        </w:rPr>
        <w:lastRenderedPageBreak/>
        <w:t>poslovnega holdinga, oziroma skupnega letnega prometa ali ustrezne vrste prihodka, ki izhaja iz zadnje razpoložljive konsolidirane bilance, ki jo je odobril pristojni organ matične družbe, če investicijski holding, mešani finančni holding ali mešani poslovni holding pripravi konsolidirane računovodske izkaze na podlagi ZGD-1; ali</w:t>
      </w:r>
    </w:p>
    <w:p w14:paraId="61C8CB0C" w14:textId="77777777" w:rsidR="00BC6257" w:rsidRPr="00DB50BC" w:rsidRDefault="006567CF">
      <w:pPr>
        <w:spacing w:before="210" w:after="210"/>
        <w:rPr>
          <w:rFonts w:cs="Arial"/>
          <w:sz w:val="21"/>
        </w:rPr>
      </w:pPr>
      <w:r w:rsidRPr="00DB50BC">
        <w:rPr>
          <w:rFonts w:cs="Arial"/>
        </w:rPr>
        <w:t>2. dvakratnega zneska dobička, pridobljenega s kršitvijo, ali izgube, preprečene s kršitvijo, kadar ju je mogoče opredeliti, če ta znesek presega znesek iz prejšnje točke.</w:t>
      </w:r>
    </w:p>
    <w:p w14:paraId="61C8CB0D" w14:textId="77777777" w:rsidR="00BC6257" w:rsidRPr="00DB50BC" w:rsidRDefault="006567CF">
      <w:pPr>
        <w:spacing w:before="210" w:after="210"/>
        <w:rPr>
          <w:rFonts w:cs="Arial"/>
          <w:sz w:val="21"/>
        </w:rPr>
      </w:pPr>
      <w:r w:rsidRPr="00DB50BC">
        <w:rPr>
          <w:rFonts w:cs="Arial"/>
        </w:rPr>
        <w:t>(4) Kadar je investicijski holding, mešani finančni holding ali mešani poslovni holding iz 1. točke prejšnjega odstavka odvisno podjetje, je ta bruto dohodek bruto dohodek, določen na podlagi konsolidiranih računovodskih izkazov končnega obvladujočega podjetja v predhodnem poslovnem letu.</w:t>
      </w:r>
    </w:p>
    <w:p w14:paraId="61C8CB0E" w14:textId="77777777" w:rsidR="00BC6257" w:rsidRPr="00DB50BC" w:rsidRDefault="006567CF">
      <w:pPr>
        <w:spacing w:before="210" w:after="210"/>
        <w:rPr>
          <w:rFonts w:cs="Arial"/>
          <w:sz w:val="21"/>
        </w:rPr>
      </w:pPr>
      <w:r w:rsidRPr="00DB50BC">
        <w:rPr>
          <w:rFonts w:cs="Arial"/>
        </w:rPr>
        <w:t>(5) Član upravljalnega organa investicijskega holdinga, mešanega finančnega holdinga ali mešanega poslovnega holdinga se za prekršek iz prvega odstavka tega člena kaznuje z globo od 2.500 do 10.000 eurov.</w:t>
      </w:r>
    </w:p>
    <w:p w14:paraId="61C8CB0F" w14:textId="77777777" w:rsidR="00BC6257" w:rsidRPr="00DB50BC" w:rsidRDefault="006567CF">
      <w:pPr>
        <w:spacing w:before="210" w:after="210"/>
        <w:rPr>
          <w:rFonts w:cs="Arial"/>
          <w:sz w:val="21"/>
        </w:rPr>
      </w:pPr>
      <w:r w:rsidRPr="00DB50BC">
        <w:rPr>
          <w:rFonts w:cs="Arial"/>
        </w:rPr>
        <w:t>(6) Če je narava storjenega prekrška iz prejšnjega odstavka posebno huda zaradi višine povzročene škode oziroma višine pridobljene protipravne premoženjske koristi ali zaradi storilčevega naklepa oziroma njegovega namena koristoljubnosti, se član upravljalnega organa kaznuje z globo do 5.000.000 eurov.</w:t>
      </w:r>
    </w:p>
    <w:p w14:paraId="61C8CB10" w14:textId="77777777" w:rsidR="00BC6257" w:rsidRPr="00DB50BC" w:rsidRDefault="006567CF">
      <w:pPr>
        <w:spacing w:before="210" w:after="210"/>
        <w:rPr>
          <w:rFonts w:cs="Arial"/>
          <w:sz w:val="21"/>
        </w:rPr>
      </w:pPr>
      <w:r w:rsidRPr="00DB50BC">
        <w:rPr>
          <w:rFonts w:cs="Arial"/>
        </w:rPr>
        <w:t>(7) Odgovorna oseba investicijskega holdinga, mešanega finančnega holdinga ali mešanega poslovnega holdinga, ki ni član upravljalnega organa, se za prekršek iz prvega odstavka tega člena kaznuje z globo od 800 do 10.000 eurov. Če je narava storjenega prekrška iz prejšnjega stavka posebno huda zaradi višine povzročene škode oziroma višine pridobljene protipravne premoženjske koristi ali zaradi storilčevega naklepa oziroma njegovega namena koristoljubnosti, se odgovorna oseba investicijskega holdinga, mešanega finančnega holdinga ali mešanega poslovnega holdinga kaznuje z globo od 2.500 do 30.000 eurov.</w:t>
      </w:r>
    </w:p>
    <w:p w14:paraId="61C8CB11" w14:textId="77777777" w:rsidR="00BC6257" w:rsidRDefault="00BC6257"/>
    <w:p w14:paraId="61C8CB12" w14:textId="77777777" w:rsidR="00BC6257" w:rsidRDefault="006567CF">
      <w:r>
        <w:br w:type="page"/>
      </w:r>
    </w:p>
    <w:p w14:paraId="61C8CB13" w14:textId="77777777" w:rsidR="00BC6257" w:rsidRDefault="006567CF">
      <w:pPr>
        <w:pStyle w:val="Odebeljeno"/>
        <w:spacing w:line="260" w:lineRule="auto"/>
      </w:pPr>
      <w:r>
        <w:lastRenderedPageBreak/>
        <w:t>V.</w:t>
      </w:r>
      <w:r>
        <w:tab/>
        <w:t>PREDLOG ZA OBRAVNAVO PREDLOGA ZAKONA PO NUJNEM ALI SKRAJŠANEM POSTOPKU</w:t>
      </w:r>
    </w:p>
    <w:p w14:paraId="61C8CB14" w14:textId="77777777" w:rsidR="00BC6257" w:rsidRDefault="00BC6257">
      <w:pPr>
        <w:spacing w:after="0" w:line="260" w:lineRule="auto"/>
        <w:rPr>
          <w:rFonts w:cs="Arial"/>
        </w:rPr>
      </w:pPr>
    </w:p>
    <w:p w14:paraId="61C8CB15" w14:textId="77777777" w:rsidR="00BC6257" w:rsidRDefault="006567CF">
      <w:pPr>
        <w:spacing w:after="0" w:line="240" w:lineRule="auto"/>
      </w:pPr>
      <w:r>
        <w:t>V skladu s prvo in tretjo alinejo prvega odstavka 142. člena Poslovnika državnega zbora (Uradni list RS, št. 92/07 – uradno prečiščeno besedilo, 105/10, 80/13, 38/17, 46/20, 105/21 – odl. US, 111/21, 58/23 in 35/24) Vlada Republike Slovenije predlaga Državnemu zboru, da predlog zakona obravnava po skrajšanem postopku, ker gre za manj zahtevne spremembe in dopolnitve zakona ter za manj zahtevne uskladitve zakona z drugimi zakoni in s pravom Evropske unije.</w:t>
      </w:r>
    </w:p>
    <w:p w14:paraId="61C8CB16" w14:textId="77777777" w:rsidR="00BC6257" w:rsidRDefault="006567CF">
      <w:pPr>
        <w:spacing w:after="0" w:line="240" w:lineRule="auto"/>
      </w:pPr>
      <w:r>
        <w:t xml:space="preserve"> </w:t>
      </w:r>
    </w:p>
    <w:p w14:paraId="61C8CB17" w14:textId="77777777" w:rsidR="00BC6257" w:rsidRDefault="006567CF">
      <w:pPr>
        <w:spacing w:after="0" w:line="240" w:lineRule="auto"/>
      </w:pPr>
      <w:r>
        <w:t>Predlog zakona dopolnjuje Zakon o bonitetnem nadzoru investicijskih podjetij (Uradni list RS, št. 123/21 in 10/26 – ZdZEETD; v nadaljnjem besedilu: ZBNIP), in sicer v pravni red Republike Slovenije prenaša Direktivo (EU) 2024/2994 v delu, v katerem ta spreminja bonitetni okvir za investicijska podjetja: uvaja opredelitvi pojmov »centralna nasprotna stranka« in »kvalificirana centralna nasprotna stranka«, določa zahteve za ugotavljanje, upravljanje in spremljanje tveganja koncentracije, ki izhaja iz izpostavljenosti do centralnih nasprotnih strank, nalaga upravljalnemu organu pripravo načrtov in merljivih ciljev za obvladovanje tega tveganja ter razširja nadzorniška pooblastila Agencije za trg vrednostnih papirjev za primere prekomernega tveganja koncentracije. Hkrati se sklicevanja ZBNIP na zakon, ki ureja bančništvo, in na predpise Evropske unije redakcijsko uskladijo z veljavnim pravnim redom. Predlagane spremembe nimajo pomembnih finančnih ali administrativnih posledic.</w:t>
      </w:r>
    </w:p>
    <w:p w14:paraId="61C8CB18" w14:textId="77777777" w:rsidR="00BC6257" w:rsidRDefault="006567CF">
      <w:r>
        <w:br w:type="page"/>
      </w:r>
    </w:p>
    <w:p w14:paraId="61C8CB19" w14:textId="77777777" w:rsidR="00BC6257" w:rsidRDefault="006567CF">
      <w:pPr>
        <w:pStyle w:val="Odebeljeno"/>
        <w:spacing w:line="260" w:lineRule="auto"/>
      </w:pPr>
      <w:r>
        <w:lastRenderedPageBreak/>
        <w:t>VI.</w:t>
      </w:r>
      <w:r>
        <w:tab/>
        <w:t>PRILOGE</w:t>
      </w:r>
    </w:p>
    <w:p w14:paraId="61C8CB1A" w14:textId="77777777" w:rsidR="00BC6257" w:rsidRDefault="00BC6257">
      <w:pPr>
        <w:spacing w:after="0" w:line="260" w:lineRule="auto"/>
        <w:rPr>
          <w:rFonts w:cs="Arial"/>
        </w:rPr>
      </w:pPr>
    </w:p>
    <w:p w14:paraId="61C8CB1B" w14:textId="77777777" w:rsidR="00BC6257" w:rsidRDefault="006567CF">
      <w:pPr>
        <w:spacing w:after="0" w:line="260" w:lineRule="auto"/>
      </w:pPr>
      <w:r>
        <w:t>Priloge niso priložene.</w:t>
      </w:r>
    </w:p>
    <w:sectPr w:rsidR="00BC6257">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BB57" w14:textId="77777777" w:rsidR="004A2074" w:rsidRDefault="004A2074">
      <w:pPr>
        <w:spacing w:after="0" w:line="240" w:lineRule="auto"/>
      </w:pPr>
      <w:r>
        <w:separator/>
      </w:r>
    </w:p>
  </w:endnote>
  <w:endnote w:type="continuationSeparator" w:id="0">
    <w:p w14:paraId="01A13D90" w14:textId="77777777" w:rsidR="004A2074" w:rsidRDefault="004A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68DE" w14:textId="77777777" w:rsidR="0004694D" w:rsidRDefault="00046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CB1C" w14:textId="77777777" w:rsidR="00BC6257" w:rsidRDefault="006567CF">
    <w:r>
      <w:rPr>
        <w:i/>
        <w:sz w:val="16"/>
      </w:rPr>
      <w:t>Ustvarjeno v MOPED-DOCS, 02. 07. 2026 14:25:33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A006" w14:textId="77777777" w:rsidR="0004694D" w:rsidRDefault="00046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BBCA" w14:textId="77777777" w:rsidR="004A2074" w:rsidRDefault="004A2074">
      <w:pPr>
        <w:spacing w:after="0" w:line="240" w:lineRule="auto"/>
      </w:pPr>
      <w:r>
        <w:separator/>
      </w:r>
    </w:p>
  </w:footnote>
  <w:footnote w:type="continuationSeparator" w:id="0">
    <w:p w14:paraId="75D8D0A3" w14:textId="77777777" w:rsidR="004A2074" w:rsidRDefault="004A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34F4" w14:textId="77777777" w:rsidR="0004694D" w:rsidRDefault="00046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0B61" w14:textId="77777777" w:rsidR="0004694D" w:rsidRDefault="00046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C93D" w14:textId="77777777" w:rsidR="0004694D" w:rsidRDefault="00046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257"/>
    <w:rsid w:val="0004694D"/>
    <w:rsid w:val="00144ACC"/>
    <w:rsid w:val="0022630B"/>
    <w:rsid w:val="00432B86"/>
    <w:rsid w:val="004A2074"/>
    <w:rsid w:val="005575A4"/>
    <w:rsid w:val="006567CF"/>
    <w:rsid w:val="006E3074"/>
    <w:rsid w:val="00786168"/>
    <w:rsid w:val="00846EC5"/>
    <w:rsid w:val="00932D62"/>
    <w:rsid w:val="00A6182D"/>
    <w:rsid w:val="00B85367"/>
    <w:rsid w:val="00BA7F58"/>
    <w:rsid w:val="00BC6257"/>
    <w:rsid w:val="00BE2C03"/>
    <w:rsid w:val="00DB50BC"/>
    <w:rsid w:val="00E62031"/>
    <w:rsid w:val="00E72591"/>
    <w:rsid w:val="00E911E7"/>
    <w:rsid w:val="00E9408A"/>
    <w:rsid w:val="00F31A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C867"/>
  <w15:docId w15:val="{6124177D-ED11-4893-AE91-C14358E2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after="0" w:line="260" w:lineRule="exact"/>
      <w:ind w:left="3969"/>
      <w:jc w:val="center"/>
    </w:p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2C5FF5-03E4-413E-B000-81B22C6C075A}">
  <we:reference id="wa200010453" version="1.0.0.1" store="en-US" storeType="OMEX"/>
  <we:alternateReferences>
    <we:reference id="WA200010453" version="1.0.0.1" store="" storeType="OMEX"/>
  </we:alternateReferences>
  <we:properties>
    <we:property name="claude.fileId" value="&quot;e6e571fe-822a-4195-be55-72d829842af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29</TotalTime>
  <Pages>28</Pages>
  <Words>10484</Words>
  <Characters>59763</Characters>
  <Application>Microsoft Office Word</Application>
  <DocSecurity>0</DocSecurity>
  <Lines>498</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Marko Rant</cp:lastModifiedBy>
  <cp:revision>16</cp:revision>
  <dcterms:created xsi:type="dcterms:W3CDTF">2019-02-01T07:54:00Z</dcterms:created>
  <dcterms:modified xsi:type="dcterms:W3CDTF">2026-07-03T10:21:00Z</dcterms:modified>
</cp:coreProperties>
</file>