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Odebeljeno"/>
        <w:spacing w:after="0" w:line="260" w:lineRule="auto"/>
      </w:pPr>
      <w:r>
        <w:t>DOPOLNITEV CENIKA CESTNINE ZA UPORABO CESTNINSKIH CEST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PREDLOG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EVA: 2026-2440-0031</w:t>
      </w:r>
    </w:p>
    <w:p>
      <w:r>
        <w:br w:type="page"/>
      </w:r>
    </w:p>
    <w:p>
      <w:pPr>
        <w:pStyle w:val="Odebeljeno"/>
        <w:spacing w:after="0" w:line="260" w:lineRule="auto"/>
      </w:pPr>
      <w:r>
        <w:t>I.</w:t>
      </w:r>
      <w:r>
        <w:tab/>
      </w:r>
      <w:r>
        <w:t>UVOD</w:t>
      </w:r>
    </w:p>
    <w:p>
      <w:pPr>
        <w:pStyle w:val="Odebeljeno"/>
        <w:spacing w:after="0" w:line="260" w:lineRule="auto"/>
      </w:pPr>
      <w:r>
        <w:t>1.</w:t>
      </w:r>
      <w:r>
        <w:tab/>
      </w:r>
      <w:r>
        <w:t>Razlogi in podlage za izdajo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Pravna podlaga:</w:t>
      </w:r>
    </w:p>
    <w:p>
      <w:pPr>
        <w:spacing w:after="0" w:line="240" w:lineRule="auto"/>
      </w:pPr>
      <w:r>
        <w:t>Na podlagi 22. člena Zakona o cestninjenju (Uradni list RS, št. 102/24 in 14/26), točk 7.2.8 in 7.2.10 Statuta Družbe za avtoceste v Republiki Sloveniji, d. d., ter 7. člena Poslovnika o delu uprave Družbe za avtoceste v Republiki Sloveniji, d. d.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Rok za izdajo:</w:t>
      </w:r>
    </w:p>
    <w:p>
      <w:pPr>
        <w:spacing w:after="0" w:line="240" w:lineRule="auto"/>
      </w:pPr>
      <w:r>
        <w:t>Zakon ne določa roka.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Glavni razlogi za izdajo:</w:t>
      </w:r>
    </w:p>
    <w:p>
      <w:pPr>
        <w:spacing w:after="0" w:line="240" w:lineRule="auto"/>
      </w:pPr>
      <w:r>
        <w:t>Zaradi določitve Serminske vpadnice med izbirne cestninske ceste.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2.</w:t>
      </w:r>
      <w:r>
        <w:tab/>
      </w:r>
      <w:r>
        <w:t>Ocena finančnih posledic predloga akta za državni proračun in druga javna finančna sredstva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pStyle w:val="Odebeljeno"/>
        <w:spacing w:after="0" w:line="260" w:lineRule="auto"/>
      </w:pPr>
      <w:r>
        <w:t>3.</w:t>
      </w:r>
      <w:r>
        <w:tab/>
      </w:r>
      <w:r>
        <w:t>Prikaz ureditve v drugih pravnih sistemih in prilagojenosti predlagane ureditve pravu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3.1</w:t>
      </w:r>
      <w:r>
        <w:tab/>
      </w:r>
      <w:r>
        <w:t>Prikaz ureditve v drugih pravnih sistemih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3.2</w:t>
      </w:r>
      <w:r>
        <w:tab/>
      </w:r>
      <w:r>
        <w:t>Prikaz ureditve v pravnem redu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Predlog ni predmet usklajevanja s pravnim redom EU.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SrajckaNaslovZamik"/>
        <w:spacing w:after="0" w:line="260" w:lineRule="auto"/>
      </w:pPr>
      <w:r>
        <w:t>3.3</w:t>
      </w:r>
      <w:r>
        <w:tab/>
      </w:r>
      <w:r>
        <w:t>Prikaz ureditve v posameznih državah članicah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4.</w:t>
      </w:r>
      <w:r>
        <w:tab/>
      </w:r>
      <w:r>
        <w:t>Presoja posledic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5.</w:t>
      </w:r>
      <w:r>
        <w:tab/>
      </w:r>
      <w:r>
        <w:t>Prikaz sodelovanja javnosti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II.</w:t>
      </w:r>
      <w:r>
        <w:tab/>
      </w:r>
      <w:r>
        <w:t>BESEDILO ČLENOV</w:t>
      </w:r>
    </w:p>
    <w:p>
      <w:pPr>
        <w:pStyle w:val="Odstavek"/>
        <w:spacing w:after="0" w:line="260" w:lineRule="auto"/>
      </w:pPr>
      <w:r>
        <w:t>Na podlagi 22. člena Zakona o cestninjenju (Uradni list RS, št. 102/24 in 14/26), točk 7.2.8 in 7.2.10 Statuta Družbe za avtoceste v Republiki Sloveniji, d. d., ter 7. člena Poslovnika o delu uprave je uprava Družbe za avtoceste v Republiki Sloveniji, d. d., dne 25. 9. 2026 sprejela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Naslov1"/>
        <w:spacing w:after="0" w:line="260" w:lineRule="auto"/>
      </w:pPr>
      <w:r>
        <w:t>Dopolnitev Cenika cestnine za uporabo cestninskih cest</w:t>
      </w:r>
    </w:p>
    <w:p>
      <w:pPr>
        <w:pStyle w:val="len"/>
        <w:spacing w:after="0" w:line="260" w:lineRule="auto"/>
      </w:pPr>
      <w:r>
        <w:t>1.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Ceniku cestnine za uporabo cestninskih cest (Uradni list RS, št. 76/25, 102/25 in 139/26) se v Prilogi v tabeli za prvi cestninskega razred (R2) za zadnjo vrstico doda nova vrstica, ki se glasi: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40" w:lineRule="auto"/>
      </w:pPr>
      <w:r>
        <w:t>»</w:t>
      </w:r>
    </w:p>
    <w:tbl>
      <w:tblPr>
        <w:tblW w:w="5000" w:type="pct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1078"/>
        <w:gridCol w:w="902"/>
        <w:gridCol w:w="902"/>
        <w:gridCol w:w="902"/>
        <w:gridCol w:w="902"/>
        <w:gridCol w:w="902"/>
        <w:gridCol w:w="902"/>
        <w:gridCol w:w="902"/>
        <w:gridCol w:w="902"/>
        <w:gridCol w:w="899"/>
      </w:tblGrid>
      <w:tr>
        <w:tblPrEx>
          <w:tblW w:w="5000" w:type="pct"/>
          <w:tblInd w:w="108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gridSpan w:val="1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ind w:left="0" w:right="0"/>
              <w:jc w:val="left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108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G2-114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SERMINSKA VPADNICA-PRIKLJ. LUKA KOPER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0,282886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0,226309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0,198021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0,169732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0,169732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0,161245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0,144272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0,118813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0,042433</w:t>
            </w:r>
          </w:p>
        </w:tc>
      </w:tr>
    </w:tbl>
    <w:p/>
    <w:p>
      <w:pPr>
        <w:spacing w:after="0" w:line="240" w:lineRule="auto"/>
      </w:pPr>
      <w:r>
        <w:t>«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tabeli za drugi cestninski razred (R3) se za zadnjo vrstico doda nova vrstica, ki se glasi: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40" w:lineRule="auto"/>
      </w:pPr>
      <w:r>
        <w:t>»</w:t>
      </w:r>
    </w:p>
    <w:tbl>
      <w:tblPr>
        <w:tblW w:w="5000" w:type="pct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1078"/>
        <w:gridCol w:w="902"/>
        <w:gridCol w:w="902"/>
        <w:gridCol w:w="902"/>
        <w:gridCol w:w="902"/>
        <w:gridCol w:w="902"/>
        <w:gridCol w:w="902"/>
        <w:gridCol w:w="902"/>
        <w:gridCol w:w="902"/>
        <w:gridCol w:w="899"/>
      </w:tblGrid>
      <w:tr>
        <w:tblPrEx>
          <w:tblW w:w="5000" w:type="pct"/>
          <w:tblInd w:w="108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gridSpan w:val="1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ind w:left="0" w:right="0"/>
              <w:jc w:val="left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108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G2-114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SERMINSKA VPADNICA-PRIKLJ. LUKA KOPER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0,314318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0,251454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0,220023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0,188591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0,188591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0,179161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0,160302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0,132014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0,047148</w:t>
            </w:r>
          </w:p>
        </w:tc>
      </w:tr>
    </w:tbl>
    <w:p/>
    <w:p>
      <w:pPr>
        <w:spacing w:after="0" w:line="240" w:lineRule="auto"/>
      </w:pPr>
      <w:r>
        <w:t>«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tabeli za tretji cestninski razred (R4) se za zadnjo vrstico doda nova vrstica, ki se glasi: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40" w:lineRule="auto"/>
      </w:pPr>
      <w:r>
        <w:t>»</w:t>
      </w:r>
    </w:p>
    <w:tbl>
      <w:tblPr>
        <w:tblW w:w="5000" w:type="pct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1078"/>
        <w:gridCol w:w="902"/>
        <w:gridCol w:w="902"/>
        <w:gridCol w:w="902"/>
        <w:gridCol w:w="902"/>
        <w:gridCol w:w="902"/>
        <w:gridCol w:w="902"/>
        <w:gridCol w:w="902"/>
        <w:gridCol w:w="902"/>
        <w:gridCol w:w="899"/>
      </w:tblGrid>
      <w:tr>
        <w:tblPrEx>
          <w:tblW w:w="5000" w:type="pct"/>
          <w:tblInd w:w="108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gridSpan w:val="1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ind w:left="0" w:right="0"/>
              <w:jc w:val="left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108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G2-114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SERMINSKA VPADNICA-PRIKLJ. LUKA KOPER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0,653781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0,523024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0,457647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0,392269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0,392269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0,372655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0,333428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0,274587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top"/>
            <w:hideMark/>
          </w:tcPr>
          <w:p>
            <w:pPr>
              <w:jc w:val="both"/>
              <w:rPr>
                <w:rFonts w:ascii="Arial" w:cs="Arial"/>
                <w:b w:val="0"/>
                <w:i w:val="0"/>
                <w:smallCaps w:val="0"/>
                <w:color w:val="000000"/>
              </w:rPr>
            </w:pPr>
            <w:r>
              <w:rPr>
                <w:rFonts w:ascii="Arial" w:cs="Arial"/>
                <w:b w:val="0"/>
                <w:i w:val="0"/>
                <w:smallCaps w:val="0"/>
                <w:color w:val="000000"/>
              </w:rPr>
              <w:t>0,098067</w:t>
            </w:r>
          </w:p>
        </w:tc>
      </w:tr>
    </w:tbl>
    <w:p/>
    <w:p>
      <w:pPr>
        <w:spacing w:after="0" w:line="240" w:lineRule="auto"/>
      </w:pPr>
      <w:r>
        <w:t>«</w:t>
      </w:r>
    </w:p>
    <w:p>
      <w:pPr>
        <w:pStyle w:val="Poglavje"/>
        <w:spacing w:after="0" w:line="260" w:lineRule="auto"/>
      </w:pPr>
      <w:r>
        <w:t>PREHODNE IN KONČNE DOLOČBE</w:t>
      </w:r>
    </w:p>
    <w:p>
      <w:pPr>
        <w:pStyle w:val="len"/>
        <w:spacing w:after="0" w:line="260" w:lineRule="auto"/>
      </w:pPr>
      <w:r>
        <w:t>2. člen</w:t>
      </w:r>
    </w:p>
    <w:p>
      <w:pPr>
        <w:pStyle w:val="lennaslov"/>
        <w:spacing w:after="0" w:line="260" w:lineRule="auto"/>
      </w:pPr>
      <w:r>
        <w:t>(začetek veljavnosti)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Ta dopolnitev cenika začne veljati 26. oktobra 2026.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007-190/2026/6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Ljubljana, dne 8. oktobra 2026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EVA 2026-2440-0031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Podpisnik"/>
        <w:spacing w:after="0" w:line="260" w:lineRule="auto"/>
      </w:pPr>
      <w:r>
        <w:t xml:space="preserve">Anton Guzej </w:t>
      </w:r>
      <w:r>
        <w:br/>
      </w:r>
      <w:r>
        <w:t xml:space="preserve">predsednik uprave DARS, d. d. </w:t>
      </w:r>
      <w:r>
        <w:br/>
      </w:r>
      <w:r>
        <w:br/>
      </w:r>
      <w:r>
        <w:t xml:space="preserve">Mag. David Skornšek </w:t>
      </w:r>
      <w:r>
        <w:br/>
      </w:r>
      <w:r>
        <w:t xml:space="preserve">član uprave DARS, d. d.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V skladu s tretjim odstavkom 22. člena Zakona o cestninjenju (Uradni list RS, št. 102/24 in 14/26) je bilo k Dopolnitvi Cenika cestnine za uporabo cestninskih cest pridobljeno soglasje Vlade Republike Slovenije, izdano pod št. ________ z dne ________.</w:t>
      </w:r>
    </w:p>
    <w:p>
      <w:r>
        <w:br w:type="page"/>
      </w:r>
    </w:p>
    <w:p>
      <w:pPr>
        <w:pStyle w:val="Odebeljeno"/>
        <w:spacing w:after="0" w:line="260" w:lineRule="auto"/>
      </w:pPr>
      <w:r>
        <w:t>III.</w:t>
      </w:r>
      <w:r>
        <w:tab/>
      </w:r>
      <w:r>
        <w:t>OBRAZLOŽITEV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1. členu:</w:t>
      </w:r>
    </w:p>
    <w:p>
      <w:pPr>
        <w:spacing w:after="0" w:line="240" w:lineRule="auto"/>
        <w:jc w:val="both"/>
      </w:pPr>
      <w:r>
        <w:t>Zaradi dopolnitve Uredbe o cestninskih cestah in cestnini, ki določa nov odsek izbirne cestninske ceste, se dopolnjuje tudi Cenik cestnine za uporabo cestninskih cest, in sicer z določitvijo cen za cestninski razred R2, R3 in R4.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2. členu:</w:t>
      </w:r>
    </w:p>
    <w:p>
      <w:pPr>
        <w:spacing w:after="0" w:line="240" w:lineRule="auto"/>
        <w:jc w:val="both"/>
      </w:pPr>
      <w:r>
        <w:t>Ta člen določa začetek veljavnosti predpisa.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IV.</w:t>
      </w:r>
      <w:r>
        <w:tab/>
      </w:r>
      <w:r>
        <w:t>PRILOGE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- Priloga cenika cestnine (Priloga.docx)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i/>
        <w:sz w:val="16"/>
      </w:rPr>
      <w:t>Ustvarjeno v MOPED-DOCS, 08. 10. 2026 11:12:32, verzija 5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HAnsi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before="0" w:after="0" w:line="260" w:lineRule="exact"/>
      <w:ind w:left="3969"/>
      <w:jc w:val="center"/>
    </w:pPr>
    <w:rPr>
      <w:b w:val="0"/>
    </w:r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zorc</cp:lastModifiedBy>
  <cp:revision>3</cp:revision>
  <dcterms:created xsi:type="dcterms:W3CDTF">2019-02-01T07:54:00Z</dcterms:created>
  <dcterms:modified xsi:type="dcterms:W3CDTF">2019-02-01T08:06:00Z</dcterms:modified>
</cp:coreProperties>
</file>