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UREDBA O SPREMEMBI UREDBE O OBNOVLJIVIH VIRIH ENERGIJE V PROMETU</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2026-2440-0029</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pPr>
      <w:r>
        <w:t xml:space="preserve">Enajsti odstavek 89. člena v zvezi s četrtim odstavkom 132. člena Zakona o spodbujanju rabe obnovljivih virov energije (Uradni list RS, št. 112/25) </w:t>
      </w:r>
    </w:p>
    <w:p>
      <w:pPr>
        <w:spacing w:after="0" w:line="260" w:lineRule="auto"/>
        <w:rPr>
          <w:rFonts w:ascii="Arial" w:hAnsi="Arial" w:cs="Arial"/>
        </w:rPr>
      </w:pPr>
    </w:p>
    <w:p>
      <w:pPr>
        <w:spacing w:after="0" w:line="260" w:lineRule="auto"/>
      </w:pPr>
      <w:r>
        <w:t>Rok za izdajo:</w:t>
      </w:r>
    </w:p>
    <w:p>
      <w:pPr>
        <w:spacing w:after="0" w:line="240" w:lineRule="auto"/>
      </w:pPr>
      <w:r>
        <w:t>/</w:t>
      </w:r>
    </w:p>
    <w:p>
      <w:pPr>
        <w:spacing w:after="0" w:line="260" w:lineRule="auto"/>
        <w:rPr>
          <w:rFonts w:ascii="Arial" w:hAnsi="Arial" w:cs="Arial"/>
        </w:rPr>
      </w:pPr>
    </w:p>
    <w:p>
      <w:pPr>
        <w:spacing w:after="0" w:line="260" w:lineRule="auto"/>
      </w:pPr>
      <w:r>
        <w:t>Glavni razlogi za izdajo:</w:t>
      </w:r>
    </w:p>
    <w:p>
      <w:pPr>
        <w:spacing w:after="0" w:line="240" w:lineRule="auto"/>
      </w:pPr>
      <w:r>
        <w:t>Z znižanjem deleža obnovljivih virov energije v prometnem sektorju, ki ga morajo v letu 2026 dosegati posamezni dobavitelji goriva, se blaži cenovni pritisk na ceno naftnih derivatov.</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še druge učinke za državni proračun in druga javnofinančna sredstva, ki niso zajeti v odgovorih na predhodna vprašanja.</w:t>
      </w:r>
    </w:p>
    <w:p>
      <w:pPr>
        <w:spacing w:after="0" w:line="260" w:lineRule="auto"/>
        <w:rPr>
          <w:rFonts w:ascii="Arial" w:hAnsi="Arial" w:cs="Arial"/>
        </w:rPr>
      </w:pPr>
    </w:p>
    <w:p>
      <w:pPr>
        <w:spacing w:after="0" w:line="240" w:lineRule="auto"/>
        <w:jc w:val="left"/>
      </w:pPr>
      <w:r>
        <w:t>Nižji delež OVE v prometu bo imel negativen vpliv na skupni delež OVE v bruto končni rabi v letu 2026, kar bo najverjetneje vodilo v potrebo po nakupu statističnega prenosa, saj je v letu 2026 proizvodnja električne energije iz hidroelektrarn, zaradi nizke hidrologije rek, nižja od povprečja. Republika Slovenija mora dokupiti statistični prenos deleža OVE v primeru, ko na letni ravni ne doseže 25 % deleža OVE v bruto končni rabi energije.</w:t>
      </w:r>
    </w:p>
    <w:p>
      <w:pPr>
        <w:spacing w:after="0" w:line="240" w:lineRule="auto"/>
        <w:jc w:val="left"/>
      </w:pPr>
      <w:r>
        <w:t>Predvideno znižanje obveznosti dobaviteljev goriv glede deleža OVE v prometnem sektorju v letu 2026 iz 13,8 % na 10,0 % bo glede na projekcije predvidoma znižalo skupni delež OVE v bruto končni rabi energije v letu 2026 za približno 510 GWh oz. 0,92 % skupnega deleža OVE. Glede na projekcije rabe energije v letu 2026 ter znižane obveznosti dobaviteljev goriv glede doseganja deleža OVE, je skupni delež OVE v bruto končni rabi energije za leto 2026 ocenjen na med 24,85 in 24,94 %. Glede na NEPN bi, po trajektoriju za doseganje 33 % deleža OVE v bruto končni rabi energije leta 2030, Slovenija leta 2026 morala dosegati med 28,4 in 30,2 % delež OVE. Glede na predvidene cene enot statističnega prenosa deleža OVE, ki bi naj dosegale ceno med 9.000 do 15.000 EUR/GWh, bi, zaradi znižanja obveznosti dobaviteljem goriv glede doseganja deleža OVE v letu 2026, lahko znesek za statistični prenos deleža OVE, ki bi ga morala plačati Republika Slovenija v primeru nedoseganja 25 % deleža OVE v bruto končni rabi energije v letu 2026, potencialno znašal med 28.000 in 112.000 EUR. Če pa bi skupni delež OVE bil 24,08 %, torej za 0,92 % nižji, pa med 4,59 milijona EUR in 7,65 milijona EUR. V primeru, da bi bo potrebno plačati statistični prenos za OVE za leto 2026, bo to imelo vpliv na deficit sektorja država, saj bo izplačilo izvedel Borzen. Vir sredstev za plačilo statističnega prenosa deleža OVE so sredstva za podpore, s katerimi upravlja Center za podpore (Borzen). Na dan 31.12.2025 je bilo na Centru za podpore zbranih skupno 394.893.926 evrov sredstev za podpore. V sklopu planiranja rabe teh sredstev v prihodnjih letih je že upoštevana predvidena pomoč oz. ukrep, ki izhaja iz interventnega Zakona o zaščiti prehranske in prometne oskrbe pred draginjo goriv, v okviru 30 do 60 milijonov evrov. Prav tako je v sklopu planiranja rabe sredstev za podpore v prihodnjih dveh letih planiran potencialni odhodek za plačilo statističnega prenosa za delež OVE. Posledice obeh ukrepov so usklajene s prostimi sredstvi Centra za podpore.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40" w:lineRule="auto"/>
      </w:pPr>
      <w:r>
        <w:t>/</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Gradivo ni bilo predmet sodelovanja z javnostjo.</w:t>
      </w:r>
    </w:p>
    <w:p>
      <w:pPr>
        <w:spacing w:after="0" w:line="260" w:lineRule="auto"/>
        <w:rPr>
          <w:rFonts w:ascii="Arial" w:hAnsi="Arial" w:cs="Arial"/>
        </w:rPr>
      </w:pPr>
    </w:p>
    <w:p>
      <w:pPr>
        <w:spacing w:after="0" w:line="260" w:lineRule="auto"/>
      </w:pPr>
      <w:r>
        <w:t>Obrazložitev:</w:t>
      </w:r>
    </w:p>
    <w:p>
      <w:pPr>
        <w:spacing w:after="0" w:line="240" w:lineRule="auto"/>
      </w:pPr>
      <w:r>
        <w:t>/</w:t>
      </w:r>
    </w:p>
    <w:p>
      <w:pPr>
        <w:spacing w:after="0" w:line="260" w:lineRule="auto"/>
      </w:pP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 xml:space="preserve">Na podlagi enajstega odstavka 89. člena v zvezi s četrtim odstavkom 132. člena Zakona o spodbujanju rabe obnovljivih virov energije (Uradni list RS, št. 112/25) Vlada Republike Slovenije izdaja </w:t>
      </w:r>
    </w:p>
    <w:p>
      <w:pPr>
        <w:spacing w:after="0" w:line="260" w:lineRule="auto"/>
        <w:rPr>
          <w:rFonts w:ascii="Arial" w:hAnsi="Arial" w:cs="Arial"/>
        </w:rPr>
      </w:pPr>
    </w:p>
    <w:p>
      <w:pPr>
        <w:pStyle w:val="Naslov1"/>
        <w:spacing w:after="0" w:line="260" w:lineRule="auto"/>
      </w:pPr>
      <w:r>
        <w:t>Uredbo o spremembi Uredbe o obnovljivih virih energije v prometu</w:t>
      </w:r>
    </w:p>
    <w:p>
      <w:pPr>
        <w:pStyle w:val="len"/>
        <w:spacing w:after="0" w:line="260" w:lineRule="auto"/>
      </w:pPr>
      <w:r>
        <w:t>1. člen</w:t>
      </w:r>
    </w:p>
    <w:p>
      <w:pPr>
        <w:spacing w:after="0" w:line="260" w:lineRule="auto"/>
        <w:rPr>
          <w:rFonts w:ascii="Arial" w:hAnsi="Arial" w:cs="Arial"/>
        </w:rPr>
      </w:pPr>
    </w:p>
    <w:p>
      <w:pPr>
        <w:spacing w:after="0" w:line="260" w:lineRule="auto"/>
      </w:pPr>
      <w:r>
        <w:tab/>
      </w:r>
      <w:r>
        <w:t>V Uredbi o obnovljivih virih energije v prometu (Uradni list RS, št. 208/21, 93/22, 70/24, 65/25 in 112/25 – ZSROVE-1) se v 4. členu v prvem odstavku v 5. točki delež »13,8 %« nadomesti z deležem »10,0 %«.</w:t>
      </w:r>
    </w:p>
    <w:p>
      <w:pPr>
        <w:spacing w:after="0" w:line="260" w:lineRule="auto"/>
        <w:rPr>
          <w:rFonts w:ascii="Arial" w:hAnsi="Arial" w:cs="Arial"/>
        </w:rPr>
      </w:pPr>
    </w:p>
    <w:p>
      <w:pPr>
        <w:pStyle w:val="Poglavje"/>
        <w:spacing w:after="0" w:line="260" w:lineRule="auto"/>
      </w:pPr>
      <w:r>
        <w:t>PREHODNA IN KONČNA DOLOČBA</w:t>
      </w:r>
    </w:p>
    <w:p>
      <w:pPr>
        <w:pStyle w:val="len"/>
        <w:spacing w:after="0" w:line="260" w:lineRule="auto"/>
      </w:pPr>
      <w:r>
        <w:t>2. člen</w:t>
      </w:r>
    </w:p>
    <w:p>
      <w:pPr>
        <w:pStyle w:val="lennaslov"/>
        <w:spacing w:after="0" w:line="260" w:lineRule="auto"/>
      </w:pPr>
      <w:r>
        <w:t>(prehodna določba za leto 2026)</w:t>
      </w:r>
    </w:p>
    <w:p>
      <w:pPr>
        <w:spacing w:after="0" w:line="260" w:lineRule="auto"/>
        <w:rPr>
          <w:rFonts w:ascii="Arial" w:hAnsi="Arial" w:cs="Arial"/>
        </w:rPr>
      </w:pPr>
    </w:p>
    <w:p>
      <w:pPr>
        <w:spacing w:after="0" w:line="260" w:lineRule="auto"/>
      </w:pPr>
      <w:r>
        <w:tab/>
      </w:r>
      <w:r>
        <w:t>Ne glede na tretjo alinejo 2. člena Uredbe o spremembi Uredbe o obnovljivih virih energije v prometu (Uradni list RS, št. 70/24) se lahko primanjkljaji oziroma presežki energijskega deleža obnovljivih virov energije, doseženi v letu 2026, prenesejo tudi v leto 2027 oziroma 2028.</w:t>
      </w:r>
    </w:p>
    <w:p>
      <w:pPr>
        <w:spacing w:after="0" w:line="260" w:lineRule="auto"/>
        <w:rPr>
          <w:rFonts w:ascii="Arial" w:hAnsi="Arial" w:cs="Arial"/>
        </w:rPr>
      </w:pPr>
    </w:p>
    <w:p>
      <w:pPr>
        <w:pStyle w:val="len"/>
        <w:spacing w:after="0" w:line="260" w:lineRule="auto"/>
      </w:pPr>
      <w:r>
        <w:t>3.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uredba začne veljati naslednji dan po objavi v Uradnem listu Republike Slovenije.</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Št. 007-186/2026</w:t>
      </w:r>
    </w:p>
    <w:p>
      <w:pPr>
        <w:spacing w:after="0" w:line="260" w:lineRule="auto"/>
        <w:rPr>
          <w:rFonts w:ascii="Arial" w:hAnsi="Arial" w:cs="Arial"/>
        </w:rPr>
      </w:pPr>
    </w:p>
    <w:p>
      <w:pPr>
        <w:spacing w:after="0" w:line="260" w:lineRule="auto"/>
      </w:pPr>
      <w:r>
        <w:t>Ljubljana, dne septembra 2026</w:t>
      </w:r>
    </w:p>
    <w:p>
      <w:pPr>
        <w:spacing w:after="0" w:line="260" w:lineRule="auto"/>
        <w:rPr>
          <w:rFonts w:ascii="Arial" w:hAnsi="Arial" w:cs="Arial"/>
        </w:rPr>
      </w:pPr>
    </w:p>
    <w:p>
      <w:pPr>
        <w:spacing w:after="0" w:line="260" w:lineRule="auto"/>
      </w:pPr>
      <w:r>
        <w:t>EVA 2026-2440-0029</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Člen spreminja 4. člen trenutno veljavne Uredbe o obnovljivih virih v prometu (Uradni list RS, št. 208/21, 93/22, 70/24, 65/25 in 112/25 – ZSROVE-1) v delu, ki določa obveznosti dobaviteljev goriva glede doseganja energijskih deležev obnovljivih virov energije v prometnem sektorju za leto 2026 iz 13,8 % na 10,0 %. 10,0 % delež energije iz obnovljivih virov za uporabo v prometnem sektorju v posameznem letu predstavlja minimalno zakonsko zahtevo iz 89. člena Zakona o spodbujanju rabe obnovljivih virov energije (Uradni list RS, št. 112/25). Razlog za spremembo je blaženje cenovnega pritiska na ceno naftnih derivatov. Namreč Uredba o spremembah Uredbe o oblikovanju cen določenih naftnih derivatov (Uradni list RS, št. 1439/26) je črtala člen glede biokomponent oz. je iz modela oblikovanja cen določenih naftnih derivatov črtala stroške dodajanja biokomponent. Razlog sprejetja te uredbe je bil blažitev pritiska na maloprodajne cene goriv, ki so posledica negotovih razmer na svetovnih naftnih trgih. Ta ukrep pa ima neposredne posledice za obveznosti dobaviteljev glede doseganja deleža OVE, zato je pri naslavljanju kriznega obdobja potrebno usklajeno delovanje ter ta sprememba.</w:t>
      </w:r>
    </w:p>
    <w:p>
      <w:pPr>
        <w:spacing w:after="0" w:line="260" w:lineRule="auto"/>
        <w:rPr>
          <w:rFonts w:ascii="Arial" w:hAnsi="Arial" w:cs="Arial"/>
        </w:rPr>
      </w:pPr>
    </w:p>
    <w:p>
      <w:pPr>
        <w:pStyle w:val="Odebeljeno"/>
        <w:spacing w:after="0" w:line="260" w:lineRule="auto"/>
      </w:pPr>
      <w:r>
        <w:t>K 2. členu:</w:t>
      </w:r>
    </w:p>
    <w:p>
      <w:pPr>
        <w:spacing w:after="0" w:line="240" w:lineRule="auto"/>
      </w:pPr>
      <w:r>
        <w:t>V primeru nedoseganja predpisanega energijskega deleža obnovljivih virov energije v posameznem koledarskem letu lahko dobavitelji goriv le-tega dosežejo v enem izmed predhodnih ali naslednjih let.</w:t>
      </w:r>
    </w:p>
    <w:p>
      <w:pPr>
        <w:spacing w:after="0" w:line="240" w:lineRule="auto"/>
      </w:pPr>
      <w:r>
        <w:t>Člen za leto 2026 dodatno, poleg prenosa presežkov ali primanjkljajev, ki so jih zavezanci dosegli in prenesli v preteklih treh letih, omogoča tudi prenos primanjkljajev in presežkov iz leta 2026 tudi v leti 2027 in 2028. Tako se lahko presežki in primanjkljaji, ki so nastali v letu 2026, lahko prenesejo v leta 2023, 2024, 2025 oziroma 2027 in 2028.</w:t>
      </w:r>
    </w:p>
    <w:p>
      <w:pPr>
        <w:spacing w:after="0" w:line="260" w:lineRule="auto"/>
        <w:rPr>
          <w:rFonts w:ascii="Arial" w:hAnsi="Arial" w:cs="Arial"/>
        </w:rPr>
      </w:pPr>
    </w:p>
    <w:p>
      <w:pPr>
        <w:pStyle w:val="Odebeljeno"/>
        <w:spacing w:after="0" w:line="260" w:lineRule="auto"/>
      </w:pPr>
      <w:r>
        <w:t>K 3. členu:</w:t>
      </w:r>
    </w:p>
    <w:p>
      <w:pPr>
        <w:spacing w:after="0" w:line="240" w:lineRule="auto"/>
      </w:pPr>
      <w:r>
        <w:t>Ta člen določa začetek veljavnosti te uredbe.</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25. 09. 2026 10:11:01</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