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UREDBA O IZVAJANJU INTERVENCIJE KOLEKTIVNE NALOŽBE V KMETIJSTVU ZA SKUPNO PREDELAVO IN TRŽENJE KMETIJSKIH PROIZVODOV IN RAZVOJ MOČNIH IN ODPORNIH VERIG VREDNOSTI PRESKRBE S HRANO IZ STRATEŠKEGA NAČRTA SKUPNE KMETIJSKE POLITIKE 2023–2027</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2025-2330-0103</w:t>
      </w:r>
    </w:p>
    <w:p>
      <w:r>
        <w:br w:type="page"/>
      </w:r>
    </w:p>
    <w:p>
      <w:pPr>
        <w:pStyle w:val="Odebeljeno"/>
        <w:spacing w:after="0" w:line="260" w:lineRule="auto"/>
      </w:pPr>
      <w:r>
        <w:t>I.</w:t>
      </w:r>
      <w:r>
        <w:tab/>
      </w:r>
      <w:r>
        <w:t>UVOD</w:t>
      </w:r>
    </w:p>
    <w:p>
      <w:pPr>
        <w:pStyle w:val="Odebeljeno"/>
        <w:spacing w:after="0" w:line="260" w:lineRule="auto"/>
      </w:pPr>
      <w:r>
        <w:t>1.</w:t>
      </w:r>
      <w:r>
        <w:tab/>
      </w:r>
      <w:r>
        <w:t>Razlogi in podlage za izdajo</w:t>
      </w:r>
    </w:p>
    <w:p>
      <w:pPr>
        <w:spacing w:after="0" w:line="260" w:lineRule="auto"/>
        <w:rPr>
          <w:rFonts w:ascii="Arial" w:hAnsi="Arial" w:cs="Arial"/>
        </w:rPr>
      </w:pPr>
    </w:p>
    <w:p>
      <w:pPr>
        <w:spacing w:after="0" w:line="260" w:lineRule="auto"/>
      </w:pPr>
      <w:r>
        <w:t>Pravna podlaga:</w:t>
      </w:r>
    </w:p>
    <w:p>
      <w:pPr>
        <w:spacing w:after="0" w:line="240" w:lineRule="auto"/>
      </w:pPr>
      <w:r>
        <w:t>Pravna podlaga za Uredbo o izvajanju intervencije kolektivne naložbe v kmetijstvu za skupno predelavo in trženje kmetijskih proizvodov in razvoj močnih in odpornih verig vrednosti preskrbe s hrano iz strateškega načrta skupne kmetijske politike 2023–2027 je prvi odstavek 44. člena Zakona o kmetijstvu (Uradni list RS, št. 100/25).</w:t>
      </w:r>
    </w:p>
    <w:p>
      <w:pPr>
        <w:spacing w:after="0" w:line="260" w:lineRule="auto"/>
        <w:rPr>
          <w:rFonts w:ascii="Arial" w:hAnsi="Arial" w:cs="Arial"/>
        </w:rPr>
      </w:pPr>
    </w:p>
    <w:p>
      <w:pPr>
        <w:spacing w:after="0" w:line="260" w:lineRule="auto"/>
      </w:pPr>
      <w:r>
        <w:t>Rok za izdajo:</w:t>
      </w:r>
    </w:p>
    <w:p>
      <w:pPr>
        <w:spacing w:after="0" w:line="240" w:lineRule="auto"/>
        <w:jc w:val="both"/>
      </w:pPr>
      <w:r>
        <w:t>Zakon, ki ureja kmetijstvo, roka za izdajo uredbe ne predpisuje, vendar je pomembno, da bo predpis sprejet čim prej, saj so na veljavnost tega predpisa vezane objave javnih razpisov.</w:t>
      </w:r>
    </w:p>
    <w:p>
      <w:pPr>
        <w:spacing w:after="0" w:line="260" w:lineRule="auto"/>
        <w:rPr>
          <w:rFonts w:ascii="Arial" w:hAnsi="Arial" w:cs="Arial"/>
        </w:rPr>
      </w:pPr>
    </w:p>
    <w:p>
      <w:pPr>
        <w:spacing w:after="0" w:line="260" w:lineRule="auto"/>
      </w:pPr>
      <w:r>
        <w:t>Glavni razlogi za izdajo:</w:t>
      </w:r>
    </w:p>
    <w:p>
      <w:pPr>
        <w:spacing w:after="0" w:line="240" w:lineRule="auto"/>
      </w:pPr>
      <w:r>
        <w:t>Uredba je podlaga za pripravo javnih razpisov. Z intervencijo se podpirajo kolektivne naložbe v predelavo oziroma trženje proizvodov s ciljem:</w:t>
      </w:r>
    </w:p>
    <w:p>
      <w:pPr>
        <w:spacing w:after="0" w:line="240" w:lineRule="auto"/>
        <w:jc w:val="left"/>
      </w:pPr>
      <w:r>
        <w:t>1. povečati produktivnost in dodane vrednosti pri predelavi oziroma trženju kmetijskih proizvodov;</w:t>
      </w:r>
    </w:p>
    <w:p>
      <w:pPr>
        <w:spacing w:after="0" w:line="240" w:lineRule="auto"/>
        <w:jc w:val="left"/>
      </w:pPr>
      <w:r>
        <w:t>2. povečati stroškovno učinkovitost;</w:t>
      </w:r>
    </w:p>
    <w:p>
      <w:pPr>
        <w:spacing w:after="0" w:line="240" w:lineRule="auto"/>
        <w:jc w:val="left"/>
      </w:pPr>
      <w:r>
        <w:t>3. povečati digitaliziranost proizvodnje in</w:t>
      </w:r>
    </w:p>
    <w:p>
      <w:pPr>
        <w:spacing w:after="0" w:line="240" w:lineRule="auto"/>
        <w:jc w:val="left"/>
      </w:pPr>
      <w:r>
        <w:t>4. prilagoditev proizvodnje podnebnim spremembam ter zmanjšanje vplivov na okolje.</w:t>
      </w:r>
    </w:p>
    <w:p>
      <w:pPr>
        <w:spacing w:after="0" w:line="240" w:lineRule="auto"/>
      </w:pPr>
      <w:r>
        <w:t>Podpora iz uredbe je namenjena kolektivnim naložbam v predelavo ali trženje kmetijskih proizvodov, in sicer:</w:t>
      </w:r>
    </w:p>
    <w:p>
      <w:pPr>
        <w:spacing w:after="0" w:line="240" w:lineRule="auto"/>
        <w:jc w:val="left"/>
      </w:pPr>
      <w:r>
        <w:t>- predelavo kmetijskih proizvodov v kmetijske proizvode;</w:t>
      </w:r>
    </w:p>
    <w:p>
      <w:pPr>
        <w:spacing w:after="0" w:line="240" w:lineRule="auto"/>
        <w:jc w:val="left"/>
      </w:pPr>
      <w:r>
        <w:t>- predelavo kmetijskih proizvodov v nekmetijske proizvode;</w:t>
      </w:r>
    </w:p>
    <w:p>
      <w:pPr>
        <w:spacing w:after="0" w:line="240" w:lineRule="auto"/>
        <w:jc w:val="left"/>
      </w:pPr>
      <w:r>
        <w:t>- trženje kmetijskih proizvodov iz lastne pridelave oziroma trženje predelanih kmetijskih oziroma nekmetijskih proizvodov.</w:t>
      </w:r>
    </w:p>
    <w:p>
      <w:pPr>
        <w:spacing w:after="0" w:line="260" w:lineRule="auto"/>
        <w:rPr>
          <w:rFonts w:ascii="Arial" w:hAnsi="Arial" w:cs="Arial"/>
        </w:rPr>
      </w:pPr>
    </w:p>
    <w:p>
      <w:pPr>
        <w:pStyle w:val="Odebeljeno"/>
        <w:spacing w:after="0" w:line="260" w:lineRule="auto"/>
      </w:pPr>
      <w:r>
        <w:t>2.</w:t>
      </w:r>
      <w:r>
        <w:tab/>
      </w:r>
      <w:r>
        <w:t>Ocena finančnih posledic predloga akta za državni proračun in druga javna finančna sredstva</w:t>
      </w:r>
    </w:p>
    <w:p>
      <w:pPr>
        <w:spacing w:after="0" w:line="260" w:lineRule="auto"/>
        <w:rPr>
          <w:rFonts w:ascii="Arial" w:hAnsi="Arial" w:cs="Arial"/>
        </w:rPr>
      </w:pPr>
    </w:p>
    <w:p>
      <w:pPr>
        <w:pStyle w:val="Odebeljeno"/>
        <w:spacing w:after="0" w:line="260" w:lineRule="auto"/>
        <w:ind w:left="720" w:hanging="360"/>
      </w:pPr>
      <w:r>
        <w:t>–</w:t>
      </w:r>
      <w:r>
        <w:tab/>
      </w:r>
      <w:r>
        <w:t>Predpis ima učinek na blagajne javnega financiranja (državni proračun, občinski proračuni ter pokojninska in zdravstvena blagajna) oziroma drugih subjektov javnega sektorja.</w:t>
      </w:r>
    </w:p>
    <w:p>
      <w:pPr>
        <w:spacing w:after="0" w:line="260" w:lineRule="auto"/>
        <w:rPr>
          <w:rFonts w:ascii="Arial" w:hAnsi="Arial" w:cs="Arial"/>
        </w:rPr>
      </w:pPr>
    </w:p>
    <w:p>
      <w:pPr>
        <w:spacing w:after="0" w:line="240" w:lineRule="auto"/>
        <w:jc w:val="both"/>
      </w:pPr>
      <w:r>
        <w:t>Za izvajanje intervencije kolektivne naložbe v kmetijstvu za skupno predelavo in trženje kmetijskih proizvodov in razvoj močnih in odpornih verig vrednosti preskrbe s hrano iz SN SKP je razpoložljivih 6.089.362,00 EUR. Delež sofinanciranja iz EKSRP znaša 33,90 %, delež sofinanciranja iz nacionalnega proračuna pa 66,10 %.</w:t>
      </w:r>
    </w:p>
    <w:p>
      <w:pPr>
        <w:spacing w:after="0" w:line="240" w:lineRule="auto"/>
      </w:pPr>
      <w:r>
        <w:br/>
      </w:r>
    </w:p>
    <w:p>
      <w:pPr>
        <w:spacing w:after="0" w:line="240" w:lineRule="auto"/>
        <w:jc w:val="both"/>
      </w:pPr>
      <w:r>
        <w:t>Izplačila v skupni višini 5.089.362,00 EUR se bodo izvajala še v letih 2028 in 2029, saj mora upravičenec zadnji zahtevek za izplačilo sredstev vložiti najpozneje v treh letih od datuma vložitve vloge na javni razpis, kar je določeno v uredbi, ki ureja skupne določbe za izvajanje intervencij razvoja podeželja, ki niso vezane na površino ali živali, iz strateškega načrta skupne kmetijske politike 2023–2027. Zaradi tega se bodo izplačila iz SN SKP izvajala do konca leta 2029.</w:t>
      </w:r>
    </w:p>
    <w:p>
      <w:pPr>
        <w:spacing w:after="0" w:line="240" w:lineRule="auto"/>
      </w:pPr>
      <w:r>
        <w:br/>
      </w:r>
    </w:p>
    <w:p>
      <w:pPr>
        <w:spacing w:after="0" w:line="240" w:lineRule="auto"/>
        <w:jc w:val="both"/>
      </w:pPr>
      <w:r>
        <w:t>Sredstva za izplačila v letih 2028 in 2029 v skupni višini 5.089.362,00 EUR bodo načrtovana znotraj finančnega načrta Ministrstva za kmetijstvo (v nadaljnjem besedilu: ministrstvo).</w:t>
      </w:r>
    </w:p>
    <w:p>
      <w:pPr>
        <w:spacing w:after="0" w:line="260" w:lineRule="auto"/>
      </w:pPr>
    </w:p>
    <w:p>
      <w:pPr>
        <w:pStyle w:val="Odebeljeno"/>
        <w:spacing w:after="0" w:line="260" w:lineRule="auto"/>
      </w:pPr>
      <w:r>
        <w:t>3.</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3.1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3.2</w:t>
      </w:r>
      <w:r>
        <w:tab/>
      </w:r>
      <w:r>
        <w:t>Prikaz ureditve v pravnem redu Evropske unije</w:t>
      </w:r>
    </w:p>
    <w:p>
      <w:pPr>
        <w:spacing w:after="0" w:line="260" w:lineRule="auto"/>
        <w:rPr>
          <w:rFonts w:ascii="Arial" w:hAnsi="Arial" w:cs="Arial"/>
        </w:rPr>
      </w:pPr>
    </w:p>
    <w:p>
      <w:pPr>
        <w:spacing w:after="0" w:line="260" w:lineRule="auto"/>
      </w:pPr>
      <w:r>
        <w:t>Predlog je predmet usklajevanja s pravnim redom EU.</w:t>
      </w:r>
    </w:p>
    <w:p>
      <w:pPr>
        <w:spacing w:after="0" w:line="260" w:lineRule="auto"/>
        <w:rPr>
          <w:rFonts w:ascii="Arial" w:hAnsi="Arial" w:cs="Arial"/>
        </w:rPr>
      </w:pPr>
    </w:p>
    <w:tbl>
      <w:tblPr>
        <w:tblStyle w:val="TableGrid"/>
        <w:tblW w:w="0" w:type="auto"/>
        <w:tblLook w:val="04A0"/>
      </w:tblPr>
      <w:tblGrid>
        <w:gridCol w:w="9062"/>
      </w:tblGrid>
      <w:tr w:rsidTr="00E91806">
        <w:tblPrEx>
          <w:tblW w:w="0" w:type="auto"/>
          <w:tblLook w:val="04A0"/>
        </w:tblPrEx>
        <w:trPr>
          <w:trHeight w:val="416"/>
        </w:trPr>
        <w:tc>
          <w:tcPr>
            <w:tcW w:w="9062" w:type="dxa"/>
            <w:tcBorders>
              <w:bottom w:val="triple" w:sz="4" w:space="0" w:color="auto"/>
            </w:tcBorders>
            <w:vAlign w:val="center"/>
          </w:tcPr>
          <w:p>
            <w:pPr>
              <w:jc w:val="center"/>
              <w:rPr>
                <w:b/>
              </w:rPr>
            </w:pPr>
            <w:r>
              <w:rPr>
                <w:b/>
              </w:rPr>
              <w:t>IZJAVA O SKLADNOSTI S PRAVNIM REDOM EU</w:t>
            </w:r>
          </w:p>
        </w:tc>
      </w:tr>
    </w:tbl>
    <w:p>
      <w:pPr>
        <w:spacing w:after="0"/>
        <w:rPr>
          <w:b/>
          <w:u w:val="single"/>
        </w:rPr>
      </w:pPr>
      <w:r>
        <w:rPr>
          <w:b/>
          <w:u w:val="single"/>
        </w:rPr>
        <w:t>NASLOV PREDPISA RS</w:t>
      </w:r>
    </w:p>
    <w:p>
      <w:pPr>
        <w:spacing w:after="0"/>
      </w:pPr>
    </w:p>
    <w:p>
      <w:pPr>
        <w:spacing w:after="0" w:line="360" w:lineRule="auto"/>
        <w:rPr>
          <w:sz w:val="20"/>
          <w:szCs w:val="20"/>
        </w:rPr>
      </w:pPr>
      <w:r>
        <w:rPr>
          <w:sz w:val="20"/>
          <w:szCs w:val="20"/>
        </w:rPr>
        <w:t>Uredba o izvajanju intervencije kolektivne naložbe v kmetijstvu za skupno predelavo in trženje kmetijskih proizvodov in razvoj močnih in odpornih verig vrednosti preskrbe s hrano iz strateškega načrta skupne kmetijske politike 2023–2027</w:t>
      </w:r>
    </w:p>
    <w:p>
      <w:pPr>
        <w:spacing w:after="0"/>
      </w:pPr>
    </w:p>
    <w:p>
      <w:pPr>
        <w:spacing w:after="0"/>
        <w:rPr>
          <w:b/>
        </w:rPr>
      </w:pPr>
      <w:r>
        <w:rPr>
          <w:b/>
          <w:u w:val="single"/>
        </w:rPr>
        <w:t>EVA</w:t>
      </w:r>
    </w:p>
    <w:p>
      <w:pPr>
        <w:spacing w:after="0"/>
      </w:pPr>
      <w:r>
        <w:t>2025-2330-0103</w:t>
      </w:r>
    </w:p>
    <w:p>
      <w:pPr>
        <w:spacing w:after="0"/>
      </w:pPr>
    </w:p>
    <w:p>
      <w:pPr>
        <w:spacing w:after="0"/>
        <w:rPr>
          <w:b/>
          <w:u w:val="single"/>
        </w:rPr>
      </w:pPr>
      <w:r>
        <w:rPr>
          <w:b/>
          <w:u w:val="single"/>
        </w:rPr>
        <w:t>AKTI EU, KATERIH PRENOS ALI IZVAJANJE SE ZAGOTAVLJA S PREDPISOM RS</w:t>
      </w:r>
    </w:p>
    <w:p>
      <w:pPr>
        <w:spacing w:after="0"/>
      </w:pPr>
    </w:p>
    <w:tbl>
      <w:tblPr>
        <w:tblStyle w:val="Navadnatabela11"/>
        <w:tblW w:w="8628" w:type="dxa"/>
        <w:tblInd w:w="127" w:type="dxa"/>
        <w:tblLook w:val="04A0"/>
      </w:tblPr>
      <w:tblGrid>
        <w:gridCol w:w="694"/>
        <w:gridCol w:w="1559"/>
        <w:gridCol w:w="4816"/>
        <w:gridCol w:w="1559"/>
      </w:tblGrid>
      <w:tr>
        <w:tblPrEx>
          <w:tblW w:w="8628" w:type="dxa"/>
          <w:tblInd w:w="127" w:type="dxa"/>
          <w:tblLook w:val="04A0"/>
        </w:tblPrEx>
        <w:trPr>
          <w:tblHeader/>
        </w:trPr>
        <w:tc>
          <w:tcPr>
            <w:tcW w:w="694" w:type="dxa"/>
            <w:shd w:val="clear" w:color="auto" w:fill="808080"/>
          </w:tcPr>
          <w:p>
            <w:pPr>
              <w:jc w:val="center"/>
              <w:rPr>
                <w:b w:val="0"/>
                <w:sz w:val="20"/>
                <w:szCs w:val="20"/>
              </w:rPr>
            </w:pPr>
            <w:r>
              <w:rPr>
                <w:sz w:val="20"/>
                <w:szCs w:val="20"/>
              </w:rPr>
              <w:t>Št.</w:t>
            </w:r>
          </w:p>
        </w:tc>
        <w:tc>
          <w:tcPr>
            <w:tcW w:w="1559" w:type="dxa"/>
            <w:shd w:val="clear" w:color="auto" w:fill="808080"/>
          </w:tcPr>
          <w:p>
            <w:pPr>
              <w:jc w:val="center"/>
              <w:rPr>
                <w:b w:val="0"/>
                <w:sz w:val="20"/>
                <w:szCs w:val="20"/>
              </w:rPr>
            </w:pPr>
            <w:r>
              <w:rPr>
                <w:sz w:val="20"/>
                <w:szCs w:val="20"/>
              </w:rPr>
              <w:t>CELEX</w:t>
            </w:r>
          </w:p>
        </w:tc>
        <w:tc>
          <w:tcPr>
            <w:tcW w:w="4816" w:type="dxa"/>
            <w:shd w:val="clear" w:color="auto" w:fill="808080"/>
          </w:tcPr>
          <w:p>
            <w:pPr>
              <w:jc w:val="center"/>
              <w:rPr>
                <w:b w:val="0"/>
                <w:sz w:val="20"/>
                <w:szCs w:val="20"/>
              </w:rPr>
            </w:pPr>
            <w:r>
              <w:rPr>
                <w:sz w:val="20"/>
                <w:szCs w:val="20"/>
              </w:rPr>
              <w:t>Naslov</w:t>
            </w:r>
          </w:p>
        </w:tc>
        <w:tc>
          <w:tcPr>
            <w:tcW w:w="1559" w:type="dxa"/>
            <w:shd w:val="clear" w:color="auto" w:fill="808080"/>
          </w:tcPr>
          <w:p>
            <w:pPr>
              <w:jc w:val="center"/>
              <w:rPr>
                <w:sz w:val="20"/>
                <w:szCs w:val="20"/>
              </w:rPr>
            </w:pPr>
            <w:r>
              <w:rPr>
                <w:sz w:val="20"/>
                <w:szCs w:val="20"/>
              </w:rPr>
              <w:t>Zadnjič spremenjen z (CELEX)</w:t>
            </w:r>
          </w:p>
        </w:tc>
      </w:tr>
      <w:tr>
        <w:tblPrEx>
          <w:tblW w:w="8628" w:type="dxa"/>
          <w:tblInd w:w="127" w:type="dxa"/>
          <w:tblLook w:val="04A0"/>
        </w:tblPrEx>
        <w:tc>
          <w:tcPr>
            <w:tcW w:w="694" w:type="dxa"/>
          </w:tcPr>
          <w:p>
            <w:pPr>
              <w:rPr>
                <w:sz w:val="20"/>
                <w:szCs w:val="20"/>
              </w:rPr>
            </w:pPr>
            <w:r>
              <w:rPr>
                <w:sz w:val="20"/>
                <w:szCs w:val="20"/>
              </w:rPr>
              <w:t>1</w:t>
            </w:r>
          </w:p>
        </w:tc>
        <w:tc>
          <w:tcPr>
            <w:tcW w:w="1559" w:type="dxa"/>
          </w:tcPr>
          <w:p>
            <w:pPr>
              <w:rPr>
                <w:sz w:val="20"/>
                <w:szCs w:val="20"/>
              </w:rPr>
            </w:pPr>
            <w:r>
              <w:rPr>
                <w:sz w:val="20"/>
                <w:szCs w:val="20"/>
              </w:rPr>
              <w:t>32021R2115</w:t>
            </w:r>
          </w:p>
        </w:tc>
        <w:tc>
          <w:tcPr>
            <w:tcW w:w="5099" w:type="dxa"/>
          </w:tcPr>
          <w:p>
            <w:pPr>
              <w:rPr>
                <w:sz w:val="20"/>
                <w:szCs w:val="20"/>
              </w:rPr>
            </w:pPr>
            <w:r>
              <w:rPr>
                <w:sz w:val="20"/>
                <w:szCs w:val="20"/>
              </w:rPr>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p>
        </w:tc>
        <w:tc>
          <w:tcPr>
            <w:tcW w:w="1701" w:type="dxa"/>
          </w:tcPr>
          <w:p>
            <w:pPr>
              <w:rPr>
                <w:sz w:val="20"/>
                <w:szCs w:val="20"/>
              </w:rPr>
            </w:pPr>
            <w:r>
              <w:rPr>
                <w:sz w:val="20"/>
                <w:szCs w:val="20"/>
              </w:rPr>
              <w:t>32026R1739</w:t>
            </w:r>
          </w:p>
        </w:tc>
      </w:tr>
    </w:tbl>
    <w:tbl>
      <w:tblPr>
        <w:tblStyle w:val="TableNormal"/>
        <w:tblW w:w="8647" w:type="dxa"/>
        <w:tblInd w:w="108" w:type="dxa"/>
        <w:tblLayout w:type="fixed"/>
        <w:tblLook w:val="04A0"/>
      </w:tblPr>
      <w:tblGrid>
        <w:gridCol w:w="709"/>
        <w:gridCol w:w="1134"/>
        <w:gridCol w:w="851"/>
        <w:gridCol w:w="850"/>
        <w:gridCol w:w="1559"/>
        <w:gridCol w:w="709"/>
        <w:gridCol w:w="1134"/>
        <w:gridCol w:w="851"/>
        <w:gridCol w:w="850"/>
      </w:tblGrid>
      <w:tr>
        <w:tblPrEx>
          <w:tblW w:w="8647" w:type="dxa"/>
          <w:tblInd w:w="108" w:type="dxa"/>
          <w:tblLayout w:type="fixed"/>
          <w:tblLook w:val="04A0"/>
        </w:tblPrEx>
        <w:trPr>
          <w:trHeight w:val="452"/>
          <w:tblHeader/>
        </w:trPr>
        <w:tc>
          <w:tcPr>
            <w:tcW w:w="3529" w:type="dxa"/>
            <w:gridSpan w:val="4"/>
            <w:shd w:val="clear" w:color="auto" w:fill="808080" w:themeFillShade="80"/>
          </w:tcPr>
          <w:p>
            <w:pPr>
              <w:jc w:val="center"/>
              <w:rPr>
                <w:b/>
                <w:sz w:val="20"/>
                <w:szCs w:val="20"/>
              </w:rPr>
            </w:pPr>
            <w:r>
              <w:rPr>
                <w:b/>
                <w:sz w:val="20"/>
                <w:szCs w:val="20"/>
              </w:rPr>
              <w:t>Predpis RS</w:t>
            </w:r>
          </w:p>
        </w:tc>
        <w:tc>
          <w:tcPr>
            <w:tcW w:w="1559" w:type="dxa"/>
            <w:vMerge w:val="restart"/>
            <w:shd w:val="clear" w:color="auto" w:fill="808080" w:themeFillShade="80"/>
          </w:tcPr>
          <w:p>
            <w:pPr>
              <w:jc w:val="center"/>
              <w:rPr>
                <w:b/>
                <w:sz w:val="20"/>
                <w:szCs w:val="20"/>
              </w:rPr>
            </w:pPr>
            <w:r>
              <w:rPr>
                <w:b/>
                <w:sz w:val="20"/>
                <w:szCs w:val="20"/>
              </w:rPr>
              <w:t>Opomba ali CELEX akta EU predpisa</w:t>
            </w:r>
          </w:p>
        </w:tc>
        <w:tc>
          <w:tcPr>
            <w:tcW w:w="3528" w:type="dxa"/>
            <w:gridSpan w:val="4"/>
            <w:shd w:val="clear" w:color="auto" w:fill="808080" w:themeFillShade="80"/>
          </w:tcPr>
          <w:p>
            <w:pPr>
              <w:jc w:val="center"/>
              <w:rPr>
                <w:b/>
                <w:sz w:val="20"/>
                <w:szCs w:val="20"/>
              </w:rPr>
            </w:pPr>
            <w:r>
              <w:rPr>
                <w:b/>
                <w:sz w:val="20"/>
                <w:szCs w:val="20"/>
              </w:rPr>
              <w:t>Akt EU</w:t>
            </w:r>
          </w:p>
        </w:tc>
      </w:tr>
      <w:tr>
        <w:tblPrEx>
          <w:tblW w:w="8647" w:type="dxa"/>
          <w:tblInd w:w="108" w:type="dxa"/>
          <w:tblLayout w:type="fixed"/>
          <w:tblLook w:val="04A0"/>
        </w:tblPrEx>
        <w:trPr>
          <w:trHeight w:val="250"/>
          <w:tblHeader/>
        </w:trPr>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c>
          <w:tcPr>
            <w:tcW w:w="1985" w:type="dxa"/>
            <w:vMerge/>
            <w:tcBorders>
              <w:bottom w:val="double" w:sz="4" w:space="0" w:color="auto"/>
            </w:tcBorders>
            <w:shd w:val="clear" w:color="auto" w:fill="808080" w:themeFillShade="80"/>
          </w:tcPr>
          <w:p>
            <w:pPr>
              <w:rPr>
                <w:b/>
                <w:sz w:val="20"/>
                <w:szCs w:val="20"/>
              </w:rPr>
            </w:pPr>
          </w:p>
        </w:tc>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32021R2115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bl>
    <w:p>
      <w:pPr>
        <w:spacing w:after="0"/>
        <w:rPr>
          <w:b/>
        </w:rPr>
      </w:pPr>
    </w:p>
    <w:p>
      <w:pPr>
        <w:spacing w:after="0" w:line="260" w:lineRule="auto"/>
        <w:rPr>
          <w:rFonts w:ascii="Arial" w:hAnsi="Arial" w:cs="Arial"/>
        </w:rPr>
      </w:pPr>
    </w:p>
    <w:p>
      <w:pPr>
        <w:pStyle w:val="SrajckaNaslovZamik"/>
        <w:spacing w:after="0" w:line="260" w:lineRule="auto"/>
      </w:pPr>
      <w:r>
        <w:t>3.3</w:t>
      </w:r>
      <w:r>
        <w:tab/>
      </w:r>
      <w:r>
        <w:t>Prikaz ureditve v posameznih državah članicah Evropske unije</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4.</w:t>
      </w:r>
      <w:r>
        <w:tab/>
      </w:r>
      <w:r>
        <w:t>Presoja posledic</w:t>
      </w:r>
    </w:p>
    <w:p>
      <w:pPr>
        <w:pStyle w:val="Odebeljeno"/>
        <w:spacing w:after="0" w:line="260" w:lineRule="auto"/>
      </w:pPr>
      <w:r>
        <w:t>4.1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4.2</w:t>
      </w:r>
      <w:r>
        <w:tab/>
      </w:r>
      <w:r>
        <w:t>Presoja posledic za okolje, vključno s prostorskimi in varstvenimi vidiki</w:t>
      </w:r>
    </w:p>
    <w:p>
      <w:pPr>
        <w:spacing w:after="0" w:line="260" w:lineRule="auto"/>
        <w:rPr>
          <w:rFonts w:ascii="Arial" w:hAnsi="Arial" w:cs="Arial"/>
        </w:rPr>
      </w:pPr>
    </w:p>
    <w:p>
      <w:pPr>
        <w:pStyle w:val="Odebeljeno"/>
        <w:spacing w:after="0" w:line="260" w:lineRule="auto"/>
        <w:ind w:left="360" w:hanging="360"/>
      </w:pPr>
      <w:r>
        <w:t>a)</w:t>
      </w:r>
      <w:r>
        <w:tab/>
      </w:r>
      <w:r>
        <w:t>Predpis ima učinek na spodbujanje posameznikov, podjetij in javnega sektorja v odnosu do uporabe okolju primernih tehnologij, s katerimi se povečuje izraba obnovljivih virov energije, učinkovito ravna z energijo in zmanjšuje ogljični odtis pri njihovih aktivnostih.</w:t>
      </w:r>
    </w:p>
    <w:p>
      <w:pPr>
        <w:spacing w:after="0" w:line="260" w:lineRule="auto"/>
        <w:rPr>
          <w:rFonts w:ascii="Arial" w:hAnsi="Arial" w:cs="Arial"/>
        </w:rPr>
      </w:pPr>
    </w:p>
    <w:p>
      <w:pPr>
        <w:pStyle w:val="Odebeljeno"/>
        <w:spacing w:after="0" w:line="260" w:lineRule="auto"/>
        <w:ind w:left="720" w:hanging="360"/>
      </w:pPr>
      <w:r>
        <w:t>–</w:t>
      </w:r>
      <w:r>
        <w:tab/>
      </w:r>
      <w:r>
        <w:t>Predpis ima pozitiven učinek na aktivnost posameznikov, podjetij in javnega sektorja v odnosu do uporabe okolju primernih tehnologij.</w:t>
      </w:r>
    </w:p>
    <w:p>
      <w:pPr>
        <w:spacing w:after="0" w:line="260" w:lineRule="auto"/>
        <w:rPr>
          <w:rFonts w:ascii="Arial" w:hAnsi="Arial" w:cs="Arial"/>
        </w:rPr>
      </w:pPr>
    </w:p>
    <w:p>
      <w:pPr>
        <w:spacing w:after="0" w:line="240" w:lineRule="auto"/>
        <w:jc w:val="left"/>
      </w:pPr>
      <w:r>
        <w:t>Upravičene so naložbe v opremo za:</w:t>
      </w:r>
    </w:p>
    <w:p>
      <w:pPr>
        <w:spacing w:after="0" w:line="240" w:lineRule="auto"/>
        <w:jc w:val="left"/>
      </w:pPr>
      <w:r>
        <w:t>a) učinkovito rabo energije oziroma pridobivanje energije iz OVE,</w:t>
      </w:r>
    </w:p>
    <w:p>
      <w:pPr>
        <w:spacing w:after="0" w:line="240" w:lineRule="auto"/>
        <w:jc w:val="left"/>
      </w:pPr>
      <w:r>
        <w:t>b) uporabo stranskih proizvodov,</w:t>
      </w:r>
    </w:p>
    <w:p>
      <w:pPr>
        <w:spacing w:after="0" w:line="240" w:lineRule="auto"/>
        <w:jc w:val="left"/>
      </w:pPr>
      <w:r>
        <w:t>c) zmanjšanje rabe vode, rabo odpadne vode, rabo meteorne vode, zbiranje odpadne vode,</w:t>
      </w:r>
    </w:p>
    <w:p>
      <w:pPr>
        <w:spacing w:after="0" w:line="240" w:lineRule="auto"/>
        <w:jc w:val="left"/>
      </w:pPr>
      <w:r>
        <w:t>č) preprečevanje in zmanjšanje nastajanja odpadkov.</w:t>
      </w:r>
    </w:p>
    <w:p>
      <w:pPr>
        <w:spacing w:after="0" w:line="240" w:lineRule="auto"/>
        <w:ind w:left="720" w:firstLine="0"/>
      </w:pPr>
    </w:p>
    <w:p>
      <w:pPr>
        <w:pStyle w:val="Odebeljeno"/>
        <w:spacing w:after="0" w:line="260" w:lineRule="auto"/>
        <w:ind w:left="360" w:hanging="360"/>
      </w:pPr>
      <w:r>
        <w:t>b)</w:t>
      </w:r>
      <w:r>
        <w:tab/>
      </w:r>
      <w:r>
        <w:t>Predpis ima učinek na ravnanje in zavedanje prebivalstva glede ohranjanja okolja, narave in kulturne dediščine.</w:t>
      </w:r>
    </w:p>
    <w:p>
      <w:pPr>
        <w:spacing w:after="0" w:line="260" w:lineRule="auto"/>
        <w:rPr>
          <w:rFonts w:ascii="Arial" w:hAnsi="Arial" w:cs="Arial"/>
        </w:rPr>
      </w:pPr>
    </w:p>
    <w:p>
      <w:pPr>
        <w:pStyle w:val="Odebeljeno"/>
        <w:spacing w:after="0" w:line="260" w:lineRule="auto"/>
        <w:ind w:left="720" w:hanging="360"/>
      </w:pPr>
      <w:r>
        <w:t>–</w:t>
      </w:r>
      <w:r>
        <w:tab/>
      </w:r>
      <w:r>
        <w:t>Predpis ima pozitiven učinek na povečanje potrošništva, ki ima negativen vpliv na okolje, naravo in kulturno dediščino.</w:t>
      </w:r>
    </w:p>
    <w:p>
      <w:pPr>
        <w:spacing w:after="0" w:line="260" w:lineRule="auto"/>
        <w:rPr>
          <w:rFonts w:ascii="Arial" w:hAnsi="Arial" w:cs="Arial"/>
        </w:rPr>
      </w:pPr>
    </w:p>
    <w:p>
      <w:pPr>
        <w:spacing w:after="0" w:line="240" w:lineRule="auto"/>
        <w:jc w:val="left"/>
      </w:pPr>
      <w:r>
        <w:t>Preko meril za izbor se spodbujajo tudi naložbe ohranjanje kulturne dediščine.</w:t>
      </w:r>
    </w:p>
    <w:p>
      <w:pPr>
        <w:spacing w:after="0" w:line="240" w:lineRule="auto"/>
        <w:ind w:left="720" w:firstLine="0"/>
      </w:pPr>
    </w:p>
    <w:p>
      <w:pPr>
        <w:spacing w:after="0" w:line="260" w:lineRule="auto"/>
        <w:rPr>
          <w:rFonts w:ascii="Arial" w:hAnsi="Arial" w:cs="Arial"/>
        </w:rPr>
      </w:pPr>
    </w:p>
    <w:p>
      <w:pPr>
        <w:pStyle w:val="Odebeljeno"/>
        <w:spacing w:after="0" w:line="260" w:lineRule="auto"/>
      </w:pPr>
      <w:r>
        <w:t>4.3</w:t>
      </w:r>
      <w:r>
        <w:tab/>
      </w:r>
      <w:r>
        <w:t>Presoja posledic za gospodarstvo</w:t>
      </w:r>
    </w:p>
    <w:p>
      <w:pPr>
        <w:spacing w:after="0" w:line="260" w:lineRule="auto"/>
        <w:rPr>
          <w:rFonts w:ascii="Arial" w:hAnsi="Arial" w:cs="Arial"/>
        </w:rPr>
      </w:pPr>
    </w:p>
    <w:p>
      <w:pPr>
        <w:spacing w:after="0" w:line="260" w:lineRule="auto"/>
      </w:pPr>
      <w:r>
        <w:t>Predlog nima posledic za gospodarstvo.</w:t>
      </w:r>
    </w:p>
    <w:p>
      <w:pPr>
        <w:spacing w:after="0" w:line="260" w:lineRule="auto"/>
        <w:rPr>
          <w:rFonts w:ascii="Arial" w:hAnsi="Arial" w:cs="Arial"/>
        </w:rPr>
      </w:pPr>
    </w:p>
    <w:p>
      <w:pPr>
        <w:pStyle w:val="Odebeljeno"/>
        <w:spacing w:after="0" w:line="260" w:lineRule="auto"/>
      </w:pPr>
      <w:r>
        <w:t>4.4</w:t>
      </w:r>
      <w:r>
        <w:tab/>
      </w:r>
      <w:r>
        <w:t>Presoja posledic za socialno področje</w:t>
      </w:r>
    </w:p>
    <w:p>
      <w:pPr>
        <w:spacing w:after="0" w:line="260" w:lineRule="auto"/>
        <w:rPr>
          <w:rFonts w:ascii="Arial" w:hAnsi="Arial" w:cs="Arial"/>
        </w:rPr>
      </w:pPr>
    </w:p>
    <w:p>
      <w:pPr>
        <w:spacing w:after="0" w:line="260" w:lineRule="auto"/>
      </w:pPr>
      <w:r>
        <w:t>Predlog nima posledic za socialno področje.</w:t>
      </w:r>
    </w:p>
    <w:p>
      <w:pPr>
        <w:spacing w:after="0" w:line="260" w:lineRule="auto"/>
        <w:rPr>
          <w:rFonts w:ascii="Arial" w:hAnsi="Arial" w:cs="Arial"/>
        </w:rPr>
      </w:pPr>
    </w:p>
    <w:p>
      <w:pPr>
        <w:pStyle w:val="Odebeljeno"/>
        <w:spacing w:after="0" w:line="260" w:lineRule="auto"/>
      </w:pPr>
      <w:r>
        <w:t>4.5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4.6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4.7</w:t>
      </w:r>
      <w:r>
        <w:tab/>
      </w:r>
      <w:r>
        <w:t>Izvajanje sprejetega predpisa</w:t>
      </w:r>
    </w:p>
    <w:p>
      <w:pPr>
        <w:spacing w:after="0" w:line="260" w:lineRule="auto"/>
        <w:rPr>
          <w:rFonts w:ascii="Arial" w:hAnsi="Arial" w:cs="Arial"/>
        </w:rPr>
      </w:pPr>
    </w:p>
    <w:p>
      <w:pPr>
        <w:spacing w:after="0" w:line="260" w:lineRule="auto"/>
      </w:pPr>
      <w:r>
        <w:t>Ni podatka.</w:t>
      </w:r>
    </w:p>
    <w:p>
      <w:pPr>
        <w:spacing w:after="0" w:line="260" w:lineRule="auto"/>
        <w:rPr>
          <w:rFonts w:ascii="Arial" w:hAnsi="Arial" w:cs="Arial"/>
        </w:rPr>
      </w:pPr>
    </w:p>
    <w:p>
      <w:pPr>
        <w:pStyle w:val="Odebeljeno"/>
        <w:spacing w:after="0" w:line="260" w:lineRule="auto"/>
      </w:pPr>
      <w:r>
        <w:t>5.</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28. 11. 2025</w:t>
      </w:r>
    </w:p>
    <w:p>
      <w:pPr>
        <w:spacing w:after="0" w:line="260" w:lineRule="auto"/>
        <w:rPr>
          <w:rFonts w:ascii="Arial" w:hAnsi="Arial" w:cs="Arial"/>
        </w:rPr>
      </w:pPr>
    </w:p>
    <w:p>
      <w:pPr>
        <w:spacing w:after="0" w:line="260" w:lineRule="auto"/>
      </w:pPr>
      <w:r>
        <w:t>Na gradivo so bila podana mnenja, predlogi in pripombe.</w:t>
      </w:r>
    </w:p>
    <w:p>
      <w:pPr>
        <w:spacing w:after="0" w:line="260" w:lineRule="auto"/>
        <w:rPr>
          <w:rFonts w:ascii="Arial" w:hAnsi="Arial" w:cs="Arial"/>
        </w:rPr>
      </w:pPr>
    </w:p>
    <w:p>
      <w:pPr>
        <w:spacing w:after="0" w:line="260" w:lineRule="auto"/>
      </w:pPr>
      <w:r>
        <w:t>V razpravo vključeni subjekti:</w:t>
      </w:r>
    </w:p>
    <w:p>
      <w:pPr>
        <w:spacing w:after="0" w:line="240" w:lineRule="auto"/>
      </w:pPr>
      <w:r>
        <w:t>Zadružna zveza Slovenije</w:t>
      </w:r>
    </w:p>
    <w:p>
      <w:pPr>
        <w:spacing w:after="0" w:line="260" w:lineRule="auto"/>
        <w:rPr>
          <w:rFonts w:ascii="Arial" w:hAnsi="Arial" w:cs="Arial"/>
        </w:rPr>
      </w:pPr>
    </w:p>
    <w:p>
      <w:pPr>
        <w:spacing w:after="0" w:line="260" w:lineRule="auto"/>
      </w:pPr>
      <w:r>
        <w:t>Obrazložitev upoštevanja mnenj, predlogov in pripomb v razpravo vključenih subjektov:</w:t>
      </w:r>
    </w:p>
    <w:p>
      <w:pPr>
        <w:spacing w:after="0" w:line="240" w:lineRule="auto"/>
        <w:jc w:val="both"/>
      </w:pPr>
      <w:r>
        <w:t>Predlogi so bili upoštevani delno. Upoštevani niso bili predlogi, ki so v nasprotju s SN SKP in pravnimi akti EU, ki urejajo izvajanje skupne kmetijske politike.</w:t>
      </w:r>
    </w:p>
    <w:p>
      <w:pPr>
        <w:spacing w:after="0" w:line="260" w:lineRule="auto"/>
        <w:rPr>
          <w:rFonts w:ascii="Arial" w:hAnsi="Arial" w:cs="Arial"/>
        </w:rPr>
      </w:pPr>
    </w:p>
    <w:p>
      <w:pPr>
        <w:spacing w:after="0" w:line="260" w:lineRule="auto"/>
      </w:pPr>
      <w:r>
        <w:t>Poročilo o sodelovanju z javnostjo:</w:t>
      </w:r>
    </w:p>
    <w:p>
      <w:pPr>
        <w:spacing w:after="0" w:line="240" w:lineRule="auto"/>
        <w:jc w:val="both"/>
      </w:pPr>
      <w:r>
        <w:t>Osnutek uredbe je bil posredovan v javno razpravo. Uredba je bila objavljena na E-demokraciji: 28. 11. 2025.</w:t>
      </w:r>
    </w:p>
    <w:p>
      <w:pPr>
        <w:spacing w:after="0" w:line="240" w:lineRule="auto"/>
        <w:jc w:val="both"/>
      </w:pPr>
      <w:r>
        <w:t xml:space="preserve"> </w:t>
      </w:r>
    </w:p>
    <w:p>
      <w:pPr>
        <w:spacing w:after="0" w:line="240" w:lineRule="auto"/>
        <w:jc w:val="both"/>
      </w:pPr>
      <w:r>
        <w:t xml:space="preserve">V razpravo so bili vključeni nevladne organizacije, predstavniki zainteresirane javnosti in predstavniki strokovne javnosti. </w:t>
      </w:r>
    </w:p>
    <w:p>
      <w:pPr>
        <w:spacing w:after="0" w:line="260" w:lineRule="auto"/>
        <w:rPr>
          <w:rFonts w:ascii="Arial" w:hAnsi="Arial" w:cs="Arial"/>
        </w:rPr>
      </w:pPr>
    </w:p>
    <w:p>
      <w:r>
        <w:br w:type="page"/>
      </w:r>
    </w:p>
    <w:p>
      <w:pPr>
        <w:pStyle w:val="Odebeljeno"/>
        <w:spacing w:after="0" w:line="260" w:lineRule="auto"/>
      </w:pPr>
      <w:r>
        <w:t>II.</w:t>
      </w:r>
      <w:r>
        <w:tab/>
      </w:r>
      <w:r>
        <w:t>BESEDILO ČLENOV</w:t>
      </w:r>
    </w:p>
    <w:p>
      <w:pPr>
        <w:pStyle w:val="Odstavek"/>
        <w:spacing w:after="0" w:line="260" w:lineRule="auto"/>
      </w:pPr>
      <w:r>
        <w:t>Na podlagi prvega odstavka 44. člena Zakona o kmetijstvu (Uradni list RS, št. 100/25) Vlada Republike Slovenije izdaja</w:t>
      </w:r>
    </w:p>
    <w:p>
      <w:pPr>
        <w:spacing w:after="0" w:line="260" w:lineRule="auto"/>
        <w:rPr>
          <w:rFonts w:ascii="Arial" w:hAnsi="Arial" w:cs="Arial"/>
        </w:rPr>
      </w:pPr>
    </w:p>
    <w:p>
      <w:pPr>
        <w:pStyle w:val="Naslov1"/>
        <w:spacing w:after="0" w:line="260" w:lineRule="auto"/>
      </w:pPr>
      <w:r>
        <w:t>Uredbo o izvajanju intervencije kolektivne naložbe v kmetijstvu za skupno predelavo in trženje kmetijskih proizvodov in razvoj močnih in odpornih verig vrednosti preskrbe s hrano iz strateškega načrta skupne kmetijske politike 2023–2027</w:t>
      </w:r>
    </w:p>
    <w:p>
      <w:pPr>
        <w:pStyle w:val="len"/>
        <w:spacing w:after="0" w:line="260" w:lineRule="auto"/>
      </w:pPr>
      <w:r>
        <w:t>1. člen</w:t>
      </w:r>
    </w:p>
    <w:p>
      <w:pPr>
        <w:pStyle w:val="lennaslov"/>
        <w:spacing w:after="0" w:line="260" w:lineRule="auto"/>
      </w:pPr>
      <w:r>
        <w:t>(vsebina)</w:t>
      </w:r>
    </w:p>
    <w:p>
      <w:pPr>
        <w:spacing w:after="0" w:line="260" w:lineRule="auto"/>
        <w:rPr>
          <w:rFonts w:ascii="Arial" w:hAnsi="Arial" w:cs="Arial"/>
        </w:rPr>
      </w:pPr>
    </w:p>
    <w:p>
      <w:pPr>
        <w:spacing w:after="0" w:line="260" w:lineRule="auto"/>
      </w:pPr>
      <w:r>
        <w:tab/>
      </w:r>
      <w:r>
        <w:t xml:space="preserve">(1) </w:t>
      </w:r>
      <w:r>
        <w:t>Ta uredba ureja izvajanje intervencije kolektivne naložbe v kmetijstvu za skupno predelavo in trženje kmetijskih proizvodov in razvoj močnih in odpornih verig vrednosti preskrbe s hrano (v nadaljnjem besedilu: intervencija) iz 73. člena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z Uredbo (EU) 2026/1739 Evropskega parlamenta in Sveta z dne 8. julija 2026 o spremembi uredb (EU) št. 1308/2013, (EU) 2021/2115 in (EU) 2021/2116 glede krepitve položaja kmetov v verigi preskrbe z živilskimi proizvodi (UL L št. 2026/1739 z dne 29. 7. 2026), (v nadaljnjem besedilu: Uredba 2021/2115/EU) in strateškega načrta, ki ureja skupno kmetijsko politiko za obdobje 2023–2027 (v nadaljnjem besedilu: SN SKP). SN SKP je dostopen na osrednjem spletnem mestu državne uprave.</w:t>
      </w:r>
    </w:p>
    <w:p>
      <w:pPr>
        <w:spacing w:after="0" w:line="260" w:lineRule="auto"/>
        <w:rPr>
          <w:rFonts w:ascii="Arial" w:hAnsi="Arial" w:cs="Arial"/>
        </w:rPr>
      </w:pPr>
    </w:p>
    <w:p>
      <w:pPr>
        <w:spacing w:after="0" w:line="260" w:lineRule="auto"/>
      </w:pPr>
      <w:r>
        <w:tab/>
      </w:r>
      <w:r>
        <w:t xml:space="preserve">(2) </w:t>
      </w:r>
      <w:r>
        <w:t>Ta uredba določa namen in cilje intervencije, vlagatelja in upravičenca, upravičene in neupravičene stroške, pogoje za dodelitev podpore, merila za ocenjevanje vlog, pogoje za izplačilo sredstev, obveznosti, finančne določbe in upravne sankcije za izvajanje Uredbe 2021/2115/EU.</w:t>
      </w:r>
    </w:p>
    <w:p>
      <w:pPr>
        <w:pStyle w:val="len"/>
        <w:spacing w:after="0" w:line="260" w:lineRule="auto"/>
      </w:pPr>
      <w:r>
        <w:t>2. člen</w:t>
      </w:r>
    </w:p>
    <w:p>
      <w:pPr>
        <w:pStyle w:val="lennaslov"/>
        <w:spacing w:after="0" w:line="260" w:lineRule="auto"/>
      </w:pPr>
      <w:r>
        <w:t>(pomen izrazov)</w:t>
      </w:r>
    </w:p>
    <w:p>
      <w:pPr>
        <w:spacing w:after="0" w:line="260" w:lineRule="auto"/>
        <w:rPr>
          <w:rFonts w:ascii="Arial" w:hAnsi="Arial" w:cs="Arial"/>
        </w:rPr>
      </w:pPr>
    </w:p>
    <w:p>
      <w:pPr>
        <w:spacing w:after="0" w:line="260" w:lineRule="auto"/>
      </w:pPr>
      <w:r>
        <w:tab/>
      </w:r>
      <w:r>
        <w:t>Izrazi, uporabljeni v tej uredbi, pomenijo:</w:t>
      </w:r>
    </w:p>
    <w:p>
      <w:pPr>
        <w:spacing w:after="0" w:line="260" w:lineRule="auto"/>
      </w:pPr>
      <w:r>
        <w:tab/>
      </w:r>
      <w:r>
        <w:t xml:space="preserve">1. </w:t>
      </w:r>
      <w:r>
        <w:t>skupna načrtovana vrednost naložbe je celotna vrednost naložbe brez davka na dodano vrednost, ki jo vlagatelj navede v vlogi na javni razpis;</w:t>
      </w:r>
    </w:p>
    <w:p>
      <w:pPr>
        <w:spacing w:after="0" w:line="260" w:lineRule="auto"/>
      </w:pPr>
      <w:r>
        <w:tab/>
      </w:r>
      <w:r>
        <w:t xml:space="preserve">2. </w:t>
      </w:r>
      <w:r>
        <w:t>enostavna naložba je naložba do vključno 100.000 eurov skupne načrtovane vrednosti;</w:t>
      </w:r>
    </w:p>
    <w:p>
      <w:pPr>
        <w:spacing w:after="0" w:line="260" w:lineRule="auto"/>
      </w:pPr>
      <w:r>
        <w:tab/>
      </w:r>
      <w:r>
        <w:t xml:space="preserve">3. </w:t>
      </w:r>
      <w:r>
        <w:t>zahtevna naložba je naložba nad 100.000 eurov skupne načrtovane vrednosti;</w:t>
      </w:r>
    </w:p>
    <w:p>
      <w:pPr>
        <w:spacing w:after="0" w:line="260" w:lineRule="auto"/>
      </w:pPr>
      <w:r>
        <w:tab/>
      </w:r>
      <w:r>
        <w:t xml:space="preserve">4. </w:t>
      </w:r>
      <w:r>
        <w:t>ureditev objekta je ureditev objekta v skladu z uredbo, ki ureja skupne določbe za izvajanje intervencij razvoja podeželja, ki niso vezane na površino ali živali, iz strateškega načrta skupne kmetijske politike 2023–2027 (v nadaljnjem besedilu: uredba, ki ureja skupne določbe);</w:t>
      </w:r>
    </w:p>
    <w:p>
      <w:pPr>
        <w:spacing w:after="0" w:line="260" w:lineRule="auto"/>
      </w:pPr>
      <w:r>
        <w:tab/>
      </w:r>
      <w:r>
        <w:t xml:space="preserve">5. </w:t>
      </w:r>
      <w:r>
        <w:t>mikro, malo in srednje podjetje (v nadaljnjem besedilu: MSP) je podjetje, ki izpolnjuje merila iz Priloge I Uredbe Komisije (EU) št. 651/2014 z dne 17. junija 2014 o razglasitvi nekaterih vrst pomoči za združljive z notranjim trgom pri uporabi členov 107 in 108 Pogodbe (UL L št. 187 z dne 26. 6. 2014, str. 1), zadnjič spremenjene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št. 167 z dne 30. 6. 2023, str. 1), (v nadaljnjem besedilu: Uredba 651/2014/EU);</w:t>
      </w:r>
    </w:p>
    <w:p>
      <w:pPr>
        <w:spacing w:after="0" w:line="260" w:lineRule="auto"/>
      </w:pPr>
      <w:r>
        <w:tab/>
      </w:r>
      <w:r>
        <w:t xml:space="preserve">6. </w:t>
      </w:r>
      <w:r>
        <w:t>veliko podjetje je podjetje, ki ne izpolnjuje meril iz Priloge I Uredbe 651/2014/EU;</w:t>
      </w:r>
    </w:p>
    <w:p>
      <w:pPr>
        <w:spacing w:after="0" w:line="260" w:lineRule="auto"/>
      </w:pPr>
      <w:r>
        <w:tab/>
      </w:r>
      <w:r>
        <w:t xml:space="preserve">7. </w:t>
      </w:r>
      <w:r>
        <w:t>energija iz obnovljivih virov (v nadaljnjem besedilu: energija iz OVE) pomeni energijo iz obnovljivih virov v skladu z zakonom, ki ureja spodbujanje rabe obnovljivih virov energije;</w:t>
      </w:r>
    </w:p>
    <w:p>
      <w:pPr>
        <w:spacing w:after="0" w:line="260" w:lineRule="auto"/>
      </w:pPr>
      <w:r>
        <w:tab/>
      </w:r>
      <w:r>
        <w:t xml:space="preserve">8. </w:t>
      </w:r>
      <w:r>
        <w:t>stranski proizvod je stranski proizvod v skladu z uredbo, ki ureja odpadke;</w:t>
      </w:r>
    </w:p>
    <w:p>
      <w:pPr>
        <w:spacing w:after="0" w:line="260" w:lineRule="auto"/>
      </w:pPr>
      <w:r>
        <w:tab/>
      </w:r>
      <w:r>
        <w:t xml:space="preserve">9. </w:t>
      </w:r>
      <w:r>
        <w:t>kmetijski proizvod je proizvod iz 11. točke 2. člena Uredbe 651/2014/EU;</w:t>
      </w:r>
    </w:p>
    <w:p>
      <w:pPr>
        <w:spacing w:after="0" w:line="260" w:lineRule="auto"/>
      </w:pPr>
      <w:r>
        <w:tab/>
      </w:r>
      <w:r>
        <w:t xml:space="preserve">10. </w:t>
      </w:r>
      <w:r>
        <w:t>nekmetijski proizvod je proizvod, ki ni kmetijski proizvod iz prejšnje točke;</w:t>
      </w:r>
    </w:p>
    <w:p>
      <w:pPr>
        <w:spacing w:after="0" w:line="260" w:lineRule="auto"/>
      </w:pPr>
      <w:r>
        <w:tab/>
      </w:r>
      <w:r>
        <w:t xml:space="preserve">11. </w:t>
      </w:r>
      <w:r>
        <w:t>predelava kmetijskih proizvodov je predelava iz 10. točke 2. člena Uredbe 651/2014/EU;</w:t>
      </w:r>
    </w:p>
    <w:p>
      <w:pPr>
        <w:spacing w:after="0" w:line="260" w:lineRule="auto"/>
      </w:pPr>
      <w:r>
        <w:tab/>
      </w:r>
      <w:r>
        <w:t xml:space="preserve">12. </w:t>
      </w:r>
      <w:r>
        <w:t>trženje kmetijskih proizvodov je trženje iz 8. točke 2. člena Uredbe 651/2014/EU in degustacija kmetijskih proizvodov;</w:t>
      </w:r>
    </w:p>
    <w:p>
      <w:pPr>
        <w:spacing w:after="0" w:line="260" w:lineRule="auto"/>
      </w:pPr>
      <w:r>
        <w:tab/>
      </w:r>
      <w:r>
        <w:t xml:space="preserve">13. </w:t>
      </w:r>
      <w:r>
        <w:t>končni potrošnik je končni potrošnik iz 18. točke 3. člena Uredbe (ES) št. 178/2002 Evropskega parlamenta in Sveta z dne 28. januarja 2002 o določitvi splošnih načel in zahtevah živilske zakonodaje, ustanovitvi Evropske agencije za varnost hrane in postopkih, ki zadevajo varnost hrane (UL L št. 031 z dne 1. 2. 2002, str. 1), zadnjič spremenjene z Uredbo (EU) 2025/2457 Evropskega parlamenta in Sveta z dne 26. novembra 2025 o spremembi uredb (ES) št. 178/2002, (ES) št. 401/2009, (EU) 2017/745 in (EU) 2019/1021 v zvezi s predodelitvijo znanstvenih in tehničnih nalog ter izboljšanjem sodelovanja med agencijami Unije na področju kemikalij (UL L št. 2025/2457 z dne 12. 12. 2025);</w:t>
      </w:r>
    </w:p>
    <w:p>
      <w:pPr>
        <w:spacing w:after="0" w:line="260" w:lineRule="auto"/>
      </w:pPr>
      <w:r>
        <w:tab/>
      </w:r>
      <w:r>
        <w:t xml:space="preserve">14. </w:t>
      </w:r>
      <w:r>
        <w:t>mobilni predelovalni obrat je zaokrožena tehnološka celota ali del celote (posamezne naprave oziroma stroji), namenjena predelavi kmetijskih proizvodov, ki se ne šteje za objekt v skladu z gradbenim zakonom.</w:t>
      </w:r>
    </w:p>
    <w:p>
      <w:pPr>
        <w:pStyle w:val="len"/>
        <w:spacing w:after="0" w:line="260" w:lineRule="auto"/>
      </w:pPr>
      <w:r>
        <w:t>3. člen</w:t>
      </w:r>
    </w:p>
    <w:p>
      <w:pPr>
        <w:pStyle w:val="lennaslov"/>
        <w:spacing w:after="0" w:line="260" w:lineRule="auto"/>
      </w:pPr>
      <w:r>
        <w:t>(namen in cilji intervencije)</w:t>
      </w:r>
    </w:p>
    <w:p>
      <w:pPr>
        <w:spacing w:after="0" w:line="260" w:lineRule="auto"/>
        <w:rPr>
          <w:rFonts w:ascii="Arial" w:hAnsi="Arial" w:cs="Arial"/>
        </w:rPr>
      </w:pPr>
    </w:p>
    <w:p>
      <w:pPr>
        <w:spacing w:after="0" w:line="260" w:lineRule="auto"/>
      </w:pPr>
      <w:r>
        <w:tab/>
      </w:r>
      <w:r>
        <w:t xml:space="preserve">(1) </w:t>
      </w:r>
      <w:r>
        <w:t>Podpora iz intervencije je namenjena naložbam upravičenca iz 5. člena te uredbe, katerega člani skupaj uporabljajo naložbo v predelavo oziroma trženje proizvodov (v nadaljnjem besedilu: kolektivna naložba).</w:t>
      </w:r>
    </w:p>
    <w:p>
      <w:pPr>
        <w:spacing w:after="0" w:line="260" w:lineRule="auto"/>
        <w:rPr>
          <w:rFonts w:ascii="Arial" w:hAnsi="Arial" w:cs="Arial"/>
        </w:rPr>
      </w:pPr>
    </w:p>
    <w:p>
      <w:pPr>
        <w:spacing w:after="0" w:line="260" w:lineRule="auto"/>
      </w:pPr>
      <w:r>
        <w:tab/>
      </w:r>
      <w:r>
        <w:t xml:space="preserve">(2) </w:t>
      </w:r>
      <w:r>
        <w:t>Podpora iz prejšnjega odstavka je namenjena kolektivnim naložbam v:</w:t>
      </w:r>
    </w:p>
    <w:p>
      <w:pPr>
        <w:spacing w:after="0" w:line="260" w:lineRule="auto"/>
      </w:pPr>
      <w:r>
        <w:tab/>
      </w:r>
      <w:r>
        <w:t xml:space="preserve">1. </w:t>
      </w:r>
      <w:r>
        <w:t>predelavo kmetijskih proizvodov v kmetijske proizvode;</w:t>
      </w:r>
    </w:p>
    <w:p>
      <w:pPr>
        <w:spacing w:after="0" w:line="260" w:lineRule="auto"/>
      </w:pPr>
      <w:r>
        <w:tab/>
      </w:r>
      <w:r>
        <w:t xml:space="preserve">2. </w:t>
      </w:r>
      <w:r>
        <w:t>predelavo kmetijskih proizvodov v nekmetijske proizvode;</w:t>
      </w:r>
    </w:p>
    <w:p>
      <w:pPr>
        <w:spacing w:after="0" w:line="260" w:lineRule="auto"/>
      </w:pPr>
      <w:r>
        <w:tab/>
      </w:r>
      <w:r>
        <w:t xml:space="preserve">3. </w:t>
      </w:r>
      <w:r>
        <w:t>trženje:</w:t>
      </w:r>
    </w:p>
    <w:p>
      <w:pPr>
        <w:spacing w:after="0" w:line="260" w:lineRule="auto"/>
      </w:pPr>
      <w:r>
        <w:tab/>
      </w:r>
      <w:r>
        <w:t xml:space="preserve">a) </w:t>
      </w:r>
      <w:r>
        <w:t>kmetijskih proizvodov iz lastne pridelave,</w:t>
      </w:r>
    </w:p>
    <w:p>
      <w:pPr>
        <w:spacing w:after="0" w:line="260" w:lineRule="auto"/>
      </w:pPr>
      <w:r>
        <w:tab/>
      </w:r>
      <w:r>
        <w:t xml:space="preserve">b) </w:t>
      </w:r>
      <w:r>
        <w:t>predelanih kmetijskih proizvodov iz 1. točke tega odstavka,</w:t>
      </w:r>
    </w:p>
    <w:p>
      <w:pPr>
        <w:spacing w:after="0" w:line="260" w:lineRule="auto"/>
      </w:pPr>
      <w:r>
        <w:tab/>
      </w:r>
      <w:r>
        <w:t xml:space="preserve">c) </w:t>
      </w:r>
      <w:r>
        <w:t>nekmetijskih proizvodov iz prejšnje točke.</w:t>
      </w:r>
    </w:p>
    <w:p>
      <w:pPr>
        <w:spacing w:after="0" w:line="260" w:lineRule="auto"/>
        <w:rPr>
          <w:rFonts w:ascii="Arial" w:hAnsi="Arial" w:cs="Arial"/>
        </w:rPr>
      </w:pPr>
    </w:p>
    <w:p>
      <w:pPr>
        <w:spacing w:after="0" w:line="260" w:lineRule="auto"/>
      </w:pPr>
      <w:r>
        <w:tab/>
      </w:r>
      <w:r>
        <w:t xml:space="preserve">(3) </w:t>
      </w:r>
      <w:r>
        <w:t>Cilji intervencije so:</w:t>
      </w:r>
    </w:p>
    <w:p>
      <w:pPr>
        <w:spacing w:after="0" w:line="260" w:lineRule="auto"/>
      </w:pPr>
      <w:r>
        <w:tab/>
      </w:r>
      <w:r>
        <w:t xml:space="preserve">1. </w:t>
      </w:r>
      <w:r>
        <w:t>povečanje produktivnosti in dodane vrednosti pri predelavi oziroma trženju kmetijskih proizvodov;</w:t>
      </w:r>
    </w:p>
    <w:p>
      <w:pPr>
        <w:spacing w:after="0" w:line="260" w:lineRule="auto"/>
      </w:pPr>
      <w:r>
        <w:tab/>
      </w:r>
      <w:r>
        <w:t xml:space="preserve">2. </w:t>
      </w:r>
      <w:r>
        <w:t>povečanje stroškovne učinkovitosti;</w:t>
      </w:r>
    </w:p>
    <w:p>
      <w:pPr>
        <w:spacing w:after="0" w:line="260" w:lineRule="auto"/>
      </w:pPr>
      <w:r>
        <w:tab/>
      </w:r>
      <w:r>
        <w:t xml:space="preserve">3. </w:t>
      </w:r>
      <w:r>
        <w:t>večja digitaliziranost proizvodnje in</w:t>
      </w:r>
    </w:p>
    <w:p>
      <w:pPr>
        <w:spacing w:after="0" w:line="260" w:lineRule="auto"/>
      </w:pPr>
      <w:r>
        <w:tab/>
      </w:r>
      <w:r>
        <w:t xml:space="preserve">4. </w:t>
      </w:r>
      <w:r>
        <w:t>prilagoditev proizvodnje podnebnim spremembam ter zmanjšanje vplivov na okolje.</w:t>
      </w:r>
    </w:p>
    <w:p>
      <w:pPr>
        <w:pStyle w:val="len"/>
        <w:spacing w:after="0" w:line="260" w:lineRule="auto"/>
      </w:pPr>
      <w:r>
        <w:t>4. člen</w:t>
      </w:r>
    </w:p>
    <w:p>
      <w:pPr>
        <w:pStyle w:val="lennaslov"/>
        <w:spacing w:after="0" w:line="260" w:lineRule="auto"/>
      </w:pPr>
      <w:r>
        <w:t>(vrste naložb)</w:t>
      </w:r>
    </w:p>
    <w:p>
      <w:pPr>
        <w:spacing w:after="0" w:line="260" w:lineRule="auto"/>
        <w:rPr>
          <w:rFonts w:ascii="Arial" w:hAnsi="Arial" w:cs="Arial"/>
        </w:rPr>
      </w:pPr>
    </w:p>
    <w:p>
      <w:pPr>
        <w:spacing w:after="0" w:line="260" w:lineRule="auto"/>
      </w:pPr>
      <w:r>
        <w:tab/>
      </w:r>
      <w:r>
        <w:t xml:space="preserve">(1) </w:t>
      </w:r>
      <w:r>
        <w:t>Naložbe, namenjene predelavi iz 1. in 2. točke drugega odstavka prejšnjega člena, so:</w:t>
      </w:r>
    </w:p>
    <w:p>
      <w:pPr>
        <w:spacing w:after="0" w:line="260" w:lineRule="auto"/>
      </w:pPr>
      <w:r>
        <w:tab/>
      </w:r>
      <w:r>
        <w:t xml:space="preserve">1. </w:t>
      </w:r>
      <w:r>
        <w:t>ureditev objekta oziroma nakup opreme za objekt;</w:t>
      </w:r>
    </w:p>
    <w:p>
      <w:pPr>
        <w:spacing w:after="0" w:line="260" w:lineRule="auto"/>
      </w:pPr>
      <w:r>
        <w:tab/>
      </w:r>
      <w:r>
        <w:t xml:space="preserve">2. </w:t>
      </w:r>
      <w:r>
        <w:t>nakup mobilnega predelovalnega obrata;</w:t>
      </w:r>
    </w:p>
    <w:p>
      <w:pPr>
        <w:spacing w:after="0" w:line="260" w:lineRule="auto"/>
      </w:pPr>
      <w:r>
        <w:tab/>
      </w:r>
      <w:r>
        <w:t xml:space="preserve">3. </w:t>
      </w:r>
      <w:r>
        <w:t>nakup opreme za:</w:t>
      </w:r>
    </w:p>
    <w:p>
      <w:pPr>
        <w:spacing w:after="0" w:line="260" w:lineRule="auto"/>
      </w:pPr>
      <w:r>
        <w:tab/>
      </w:r>
      <w:r>
        <w:t xml:space="preserve">a) </w:t>
      </w:r>
      <w:r>
        <w:t>učinkovito rabo energije oziroma pridobivanje energije iz OVE,</w:t>
      </w:r>
    </w:p>
    <w:p>
      <w:pPr>
        <w:spacing w:after="0" w:line="260" w:lineRule="auto"/>
      </w:pPr>
      <w:r>
        <w:tab/>
      </w:r>
      <w:r>
        <w:t xml:space="preserve">b) </w:t>
      </w:r>
      <w:r>
        <w:t>uporabo stranskih proizvodov,</w:t>
      </w:r>
    </w:p>
    <w:p>
      <w:pPr>
        <w:spacing w:after="0" w:line="260" w:lineRule="auto"/>
      </w:pPr>
      <w:r>
        <w:tab/>
      </w:r>
      <w:r>
        <w:t xml:space="preserve">c) </w:t>
      </w:r>
      <w:r>
        <w:t>zmanjšanje rabe vode, rabo odpadne vode, rabo meteorne vode, zbiranje odpadne vode,</w:t>
      </w:r>
    </w:p>
    <w:p>
      <w:pPr>
        <w:spacing w:after="0" w:line="260" w:lineRule="auto"/>
      </w:pPr>
      <w:r>
        <w:tab/>
      </w:r>
      <w:r>
        <w:t xml:space="preserve">č) </w:t>
      </w:r>
      <w:r>
        <w:t>preprečevanje in zmanjšanje nastajanja odpadkov;</w:t>
      </w:r>
    </w:p>
    <w:p>
      <w:pPr>
        <w:spacing w:after="0" w:line="260" w:lineRule="auto"/>
      </w:pPr>
      <w:r>
        <w:tab/>
      </w:r>
      <w:r>
        <w:t xml:space="preserve">4. </w:t>
      </w:r>
      <w:r>
        <w:t>nakup čistilne naprave oziroma lovilca maščob;</w:t>
      </w:r>
    </w:p>
    <w:p>
      <w:pPr>
        <w:spacing w:after="0" w:line="260" w:lineRule="auto"/>
      </w:pPr>
      <w:r>
        <w:tab/>
      </w:r>
      <w:r>
        <w:t xml:space="preserve">5. </w:t>
      </w:r>
      <w:r>
        <w:t>nakup strojev za prekladanje materialov: dvoriščni nakladalnik, viličar in dvižni plato z ograjo;</w:t>
      </w:r>
    </w:p>
    <w:p>
      <w:pPr>
        <w:spacing w:after="0" w:line="260" w:lineRule="auto"/>
      </w:pPr>
      <w:r>
        <w:tab/>
      </w:r>
      <w:r>
        <w:t xml:space="preserve">6. </w:t>
      </w:r>
      <w:r>
        <w:t>nakup tovornega vozila z opremo za namen dostave in ohranjanja kakovosti kmetijskih proizvodov.</w:t>
      </w:r>
    </w:p>
    <w:p>
      <w:pPr>
        <w:spacing w:after="0" w:line="260" w:lineRule="auto"/>
        <w:rPr>
          <w:rFonts w:ascii="Arial" w:hAnsi="Arial" w:cs="Arial"/>
        </w:rPr>
      </w:pPr>
    </w:p>
    <w:p>
      <w:pPr>
        <w:spacing w:after="0" w:line="260" w:lineRule="auto"/>
      </w:pPr>
      <w:r>
        <w:tab/>
      </w:r>
      <w:r>
        <w:t xml:space="preserve">(2) </w:t>
      </w:r>
      <w:r>
        <w:t>Naložbe, namenjene trženju iz 3. točke drugega odstavka prejšnjega člena, so:</w:t>
      </w:r>
    </w:p>
    <w:p>
      <w:pPr>
        <w:spacing w:after="0" w:line="260" w:lineRule="auto"/>
      </w:pPr>
      <w:r>
        <w:tab/>
      </w:r>
      <w:r>
        <w:t xml:space="preserve">1. </w:t>
      </w:r>
      <w:r>
        <w:t>ureditev objekta oziroma nakup opreme za objekt;</w:t>
      </w:r>
    </w:p>
    <w:p>
      <w:pPr>
        <w:spacing w:after="0" w:line="260" w:lineRule="auto"/>
      </w:pPr>
      <w:r>
        <w:tab/>
      </w:r>
      <w:r>
        <w:t xml:space="preserve">2. </w:t>
      </w:r>
      <w:r>
        <w:t>nakup opreme za učinkovito rabo energije oziroma pridobivanje energije iz OVE;</w:t>
      </w:r>
    </w:p>
    <w:p>
      <w:pPr>
        <w:spacing w:after="0" w:line="260" w:lineRule="auto"/>
      </w:pPr>
      <w:r>
        <w:tab/>
      </w:r>
      <w:r>
        <w:t xml:space="preserve">3. </w:t>
      </w:r>
      <w:r>
        <w:t>nakup namenskega aparata za prodajo;</w:t>
      </w:r>
    </w:p>
    <w:p>
      <w:pPr>
        <w:spacing w:after="0" w:line="260" w:lineRule="auto"/>
      </w:pPr>
      <w:r>
        <w:tab/>
      </w:r>
      <w:r>
        <w:t xml:space="preserve">4. </w:t>
      </w:r>
      <w:r>
        <w:t>nakup opreme za nadgradnjo lastne, mobilne prodajalne.</w:t>
      </w:r>
    </w:p>
    <w:p>
      <w:pPr>
        <w:spacing w:after="0" w:line="260" w:lineRule="auto"/>
        <w:rPr>
          <w:rFonts w:ascii="Arial" w:hAnsi="Arial" w:cs="Arial"/>
        </w:rPr>
      </w:pPr>
    </w:p>
    <w:p>
      <w:pPr>
        <w:spacing w:after="0" w:line="260" w:lineRule="auto"/>
      </w:pPr>
      <w:r>
        <w:tab/>
      </w:r>
      <w:r>
        <w:t xml:space="preserve">(3) </w:t>
      </w:r>
      <w:r>
        <w:t>Podpora za naložbo iz 3., 4., 5. in 6. točke prvega odstavka tega člena se lahko uveljavlja le skupaj z naložbo iz 1. točke prvega odstavka tega člena, pri čemer lahko stroški naložbe iz 3., 4., 5. oziroma 6. točke prvega odstavka tega člena skupno znašajo največ 50 % upravičenih stroškov celotne naložbe.</w:t>
      </w:r>
    </w:p>
    <w:p>
      <w:pPr>
        <w:spacing w:after="0" w:line="260" w:lineRule="auto"/>
        <w:rPr>
          <w:rFonts w:ascii="Arial" w:hAnsi="Arial" w:cs="Arial"/>
        </w:rPr>
      </w:pPr>
    </w:p>
    <w:p>
      <w:pPr>
        <w:spacing w:after="0" w:line="260" w:lineRule="auto"/>
      </w:pPr>
      <w:r>
        <w:tab/>
      </w:r>
      <w:r>
        <w:t xml:space="preserve">(4) </w:t>
      </w:r>
      <w:r>
        <w:t>Podpora za naložbo iz 2. točke drugega odstavka tega člena se lahko uveljavlja le skupaj z naložbo iz 1. točke drugega odstavka tega člena, pri čemer lahko stroški naložbe iz 2. točke drugega odstavka tega člena znašajo največ 50 % upravičenih stroškov celotne naložbe.</w:t>
      </w:r>
    </w:p>
    <w:p>
      <w:pPr>
        <w:pStyle w:val="len"/>
        <w:spacing w:after="0" w:line="260" w:lineRule="auto"/>
      </w:pPr>
      <w:r>
        <w:t>5. člen</w:t>
      </w:r>
    </w:p>
    <w:p>
      <w:pPr>
        <w:pStyle w:val="lennaslov"/>
        <w:spacing w:after="0" w:line="260" w:lineRule="auto"/>
      </w:pPr>
      <w:r>
        <w:t>(vlagatelj in upravičenec)</w:t>
      </w:r>
    </w:p>
    <w:p>
      <w:pPr>
        <w:spacing w:after="0" w:line="260" w:lineRule="auto"/>
        <w:rPr>
          <w:rFonts w:ascii="Arial" w:hAnsi="Arial" w:cs="Arial"/>
        </w:rPr>
      </w:pPr>
    </w:p>
    <w:p>
      <w:pPr>
        <w:spacing w:after="0" w:line="260" w:lineRule="auto"/>
      </w:pPr>
      <w:r>
        <w:tab/>
      </w:r>
      <w:r>
        <w:t xml:space="preserve">(1) </w:t>
      </w:r>
      <w:r>
        <w:t>Vlagatelj je:</w:t>
      </w:r>
    </w:p>
    <w:p>
      <w:pPr>
        <w:spacing w:after="0" w:line="260" w:lineRule="auto"/>
      </w:pPr>
      <w:r>
        <w:tab/>
      </w:r>
      <w:r>
        <w:t xml:space="preserve">1. </w:t>
      </w:r>
      <w:r>
        <w:t>skupina proizvajalcev za skupno trženje, priznana v skladu s pravilnikom, ki ureja priznanje skupine proizvajalcev za skupno trženje (v nadaljnjem besedilu: skupina proizvajalcev);</w:t>
      </w:r>
    </w:p>
    <w:p>
      <w:pPr>
        <w:spacing w:after="0" w:line="260" w:lineRule="auto"/>
      </w:pPr>
      <w:r>
        <w:tab/>
      </w:r>
      <w:r>
        <w:t xml:space="preserve">2. </w:t>
      </w:r>
      <w:r>
        <w:t>organizacija proizvajalcev, ki je priznana v skladu s:</w:t>
      </w:r>
    </w:p>
    <w:p>
      <w:pPr>
        <w:spacing w:after="0" w:line="260" w:lineRule="auto"/>
      </w:pPr>
      <w:r>
        <w:tab/>
      </w:r>
      <w:r>
        <w:t xml:space="preserve">a) </w:t>
      </w:r>
      <w:r>
        <w:t>pravilnikom, ki ureja priznanje organizacij proizvajalcev in združenj organizacij proizvajalcev v sektorjih sadje in zelenjava, oljčno olje in namizne oljke ter hmelj,</w:t>
      </w:r>
    </w:p>
    <w:p>
      <w:pPr>
        <w:spacing w:after="0" w:line="260" w:lineRule="auto"/>
      </w:pPr>
      <w:r>
        <w:tab/>
      </w:r>
      <w:r>
        <w:t xml:space="preserve">b) </w:t>
      </w:r>
      <w:r>
        <w:t>pravilnikom, ki ureja priznanje organizacij proizvajalcev v sektorju mleko in mlečni proizvodi,</w:t>
      </w:r>
    </w:p>
    <w:p>
      <w:pPr>
        <w:spacing w:after="0" w:line="260" w:lineRule="auto"/>
      </w:pPr>
      <w:r>
        <w:tab/>
      </w:r>
      <w:r>
        <w:t xml:space="preserve">c) </w:t>
      </w:r>
      <w:r>
        <w:t>pravilnikom, ki ureja organizacije proizvajalcev v sektorju prašičje meso,</w:t>
      </w:r>
    </w:p>
    <w:p>
      <w:pPr>
        <w:spacing w:after="0" w:line="260" w:lineRule="auto"/>
      </w:pPr>
      <w:r>
        <w:tab/>
      </w:r>
      <w:r>
        <w:t xml:space="preserve">č) </w:t>
      </w:r>
      <w:r>
        <w:t>pravilnikom, ki ureja priznanje organizacij proizvajalcev in združenj organizacij proizvajalcev v sektorjih žita, sladkor, lan in konoplja, goveje in telečje meso, ovčje in kozje meso, jajca, perutninsko meso, čebelarski proizvodi, vino, živo drevje in druge rastline, čebulice, korenine in podobno, rezano cvetje in okrasno listje ter drugi proizvodi;</w:t>
      </w:r>
    </w:p>
    <w:p>
      <w:pPr>
        <w:spacing w:after="0" w:line="260" w:lineRule="auto"/>
      </w:pPr>
      <w:r>
        <w:tab/>
      </w:r>
      <w:r>
        <w:t xml:space="preserve">3. </w:t>
      </w:r>
      <w:r>
        <w:t>zadruga;</w:t>
      </w:r>
    </w:p>
    <w:p>
      <w:pPr>
        <w:spacing w:after="0" w:line="260" w:lineRule="auto"/>
      </w:pPr>
      <w:r>
        <w:tab/>
      </w:r>
      <w:r>
        <w:t xml:space="preserve">4. </w:t>
      </w:r>
      <w:r>
        <w:t>združenje organizacij proizvajalcev, ki je priznano v skladu s:</w:t>
      </w:r>
    </w:p>
    <w:p>
      <w:pPr>
        <w:spacing w:after="0" w:line="260" w:lineRule="auto"/>
      </w:pPr>
      <w:r>
        <w:tab/>
      </w:r>
      <w:r>
        <w:t xml:space="preserve">a) </w:t>
      </w:r>
      <w:r>
        <w:t>pravilnikom, ki ureja priznanje organizacij proizvajalcev in združenj organizacij proizvajalcev v sektorjih sadje in zelenjava, oljčno olje in namizne oljke ter hmelj,</w:t>
      </w:r>
    </w:p>
    <w:p>
      <w:pPr>
        <w:spacing w:after="0" w:line="260" w:lineRule="auto"/>
      </w:pPr>
      <w:r>
        <w:tab/>
      </w:r>
      <w:r>
        <w:t xml:space="preserve">b) </w:t>
      </w:r>
      <w:r>
        <w:t>pravilnikom, ki ureja priznanje organizacij proizvajalcev in združenj organizacij proizvajalcev v sektorjih žita, sladkor, lan in konoplja, goveje in telečje meso, ovčje in kozje meso, jajca, perutninsko meso, čebelarski proizvodi, vino, živo drevje in druge rastline, čebulice, korenine in podobno, rezano cvetje in okrasno listje ter drugi proizvodi.</w:t>
      </w:r>
    </w:p>
    <w:p>
      <w:pPr>
        <w:spacing w:after="0" w:line="260" w:lineRule="auto"/>
        <w:rPr>
          <w:rFonts w:ascii="Arial" w:hAnsi="Arial" w:cs="Arial"/>
        </w:rPr>
      </w:pPr>
    </w:p>
    <w:p>
      <w:pPr>
        <w:spacing w:after="0" w:line="260" w:lineRule="auto"/>
      </w:pPr>
      <w:r>
        <w:tab/>
      </w:r>
      <w:r>
        <w:t xml:space="preserve">(2) </w:t>
      </w:r>
      <w:r>
        <w:t>Upravičenec je vlagatelj iz prejšnjega odstavka, ki izpolnjuje pogoje za dodelitev podpore iz 8. in 9. člena te uredbe ter doseže zadostno število točk pri merilih za izbor vlog v skladu z 10. členom te uredbe.</w:t>
      </w:r>
    </w:p>
    <w:p>
      <w:pPr>
        <w:spacing w:after="0" w:line="260" w:lineRule="auto"/>
        <w:rPr>
          <w:rFonts w:ascii="Arial" w:hAnsi="Arial" w:cs="Arial"/>
        </w:rPr>
      </w:pPr>
    </w:p>
    <w:p>
      <w:pPr>
        <w:spacing w:after="0" w:line="260" w:lineRule="auto"/>
      </w:pPr>
      <w:r>
        <w:tab/>
      </w:r>
      <w:r>
        <w:t xml:space="preserve">(3) </w:t>
      </w:r>
      <w:r>
        <w:t>Podpora za naložbo iz prvega odstavka prejšnjega člena, ki se izvaja za namen predelave iz 2. točke drugega odstavka 3. člena te uredbe ali podpora za naložbo iz drugega odstavka prejšnjega člena, ki se uporablja za namen trženja pod c) 3. točke drugega odstavka 3. člena te uredbe, se dodeli kot:</w:t>
      </w:r>
    </w:p>
    <w:p>
      <w:pPr>
        <w:spacing w:after="0" w:line="260" w:lineRule="auto"/>
      </w:pPr>
      <w:r>
        <w:tab/>
      </w:r>
      <w:r>
        <w:t xml:space="preserve">1. </w:t>
      </w:r>
      <w:r>
        <w:t>regionalna pomoč za naložbe v skladu z Uredbo 651/2014/EU (v nadaljnjem besedilu: regionalna pomoč) ali</w:t>
      </w:r>
    </w:p>
    <w:p>
      <w:pPr>
        <w:spacing w:after="0" w:line="260" w:lineRule="auto"/>
      </w:pPr>
      <w:r>
        <w:tab/>
      </w:r>
      <w:r>
        <w:t xml:space="preserve">2. </w:t>
      </w:r>
      <w:r>
        <w:t xml:space="preserve">pomoč </w:t>
      </w:r>
      <w:r>
        <w:rPr>
          <w:i/>
        </w:rPr>
        <w:t>de minimis</w:t>
      </w:r>
      <w:r>
        <w:t xml:space="preserve"> v skladu z Uredbo Komisije (EU) 2023/2831 z dne 13. decembra 2023 o uporabi členov 107 in 108 Pogodbe o delovanju Evropske unije pri pomoči </w:t>
      </w:r>
      <w:r>
        <w:rPr>
          <w:i/>
        </w:rPr>
        <w:t xml:space="preserve">de minimis </w:t>
      </w:r>
      <w:r>
        <w:t>(UL L št. 2023/2831 z dne 15. 12. 2023).</w:t>
      </w:r>
    </w:p>
    <w:p>
      <w:pPr>
        <w:spacing w:after="0" w:line="260" w:lineRule="auto"/>
        <w:rPr>
          <w:rFonts w:ascii="Arial" w:hAnsi="Arial" w:cs="Arial"/>
        </w:rPr>
      </w:pPr>
    </w:p>
    <w:p>
      <w:pPr>
        <w:spacing w:after="0" w:line="260" w:lineRule="auto"/>
      </w:pPr>
      <w:r>
        <w:tab/>
      </w:r>
      <w:r>
        <w:t xml:space="preserve">(4) </w:t>
      </w:r>
      <w:r>
        <w:t>Vrsto državne pomoči iz prejšnjega odstavka vlagatelj uveljavlja z vlogo na javni razpis.</w:t>
      </w:r>
    </w:p>
    <w:p>
      <w:pPr>
        <w:spacing w:after="0" w:line="260" w:lineRule="auto"/>
        <w:rPr>
          <w:rFonts w:ascii="Arial" w:hAnsi="Arial" w:cs="Arial"/>
        </w:rPr>
      </w:pPr>
    </w:p>
    <w:p>
      <w:pPr>
        <w:spacing w:after="0" w:line="260" w:lineRule="auto"/>
      </w:pPr>
      <w:r>
        <w:tab/>
      </w:r>
      <w:r>
        <w:t xml:space="preserve">(5) </w:t>
      </w:r>
      <w:r>
        <w:t xml:space="preserve">Ne glede na tretji odstavek tega člena se podpora dodeli kot pomoč </w:t>
      </w:r>
      <w:r>
        <w:rPr>
          <w:i/>
        </w:rPr>
        <w:t>de minimis</w:t>
      </w:r>
      <w:r>
        <w:t xml:space="preserve"> v skladu z 2. točko tretjega odstavka tega člena, če gre za naložbo pod a) 3. točke prvega odstavka prejšnjega člena, ki se dodeli za namen iz 2. točke drugega odstavka 3. člena te uredbe, ali če gre za naložbo iz 2. točke drugega odstavka prejšnjega člena, ki se dodeli za namen pod c) 3. točke drugega odstavka 3. člena te uredbe.</w:t>
      </w:r>
    </w:p>
    <w:p>
      <w:pPr>
        <w:pStyle w:val="len"/>
        <w:spacing w:after="0" w:line="260" w:lineRule="auto"/>
      </w:pPr>
      <w:r>
        <w:t>6. člen</w:t>
      </w:r>
    </w:p>
    <w:p>
      <w:pPr>
        <w:pStyle w:val="lennaslov"/>
        <w:spacing w:after="0" w:line="260" w:lineRule="auto"/>
      </w:pPr>
      <w:r>
        <w:t>(upravičeni in neupravičeni stroški)</w:t>
      </w:r>
    </w:p>
    <w:p>
      <w:pPr>
        <w:spacing w:after="0" w:line="260" w:lineRule="auto"/>
        <w:rPr>
          <w:rFonts w:ascii="Arial" w:hAnsi="Arial" w:cs="Arial"/>
        </w:rPr>
      </w:pPr>
    </w:p>
    <w:p>
      <w:pPr>
        <w:spacing w:after="0" w:line="260" w:lineRule="auto"/>
      </w:pPr>
      <w:r>
        <w:tab/>
      </w:r>
      <w:r>
        <w:t xml:space="preserve">(1) </w:t>
      </w:r>
      <w:r>
        <w:t>Upravičeni stroški so:</w:t>
      </w:r>
    </w:p>
    <w:p>
      <w:pPr>
        <w:spacing w:after="0" w:line="260" w:lineRule="auto"/>
      </w:pPr>
      <w:r>
        <w:tab/>
      </w:r>
      <w:r>
        <w:t xml:space="preserve">1. </w:t>
      </w:r>
      <w:r>
        <w:t>stroški ureditve objekta oziroma stroški nakupa in namestitve opreme za objekt, vključno s stroški inštalacijskih del, povezanih z namestitvijo opreme za objekt. Kot stroški ureditve zahtevnega ali manj zahtevnega objekta v skladu s predpisi, ki urejajo graditev objektov, se priznajo tudi stroški ureditve dvorišča;</w:t>
      </w:r>
    </w:p>
    <w:p>
      <w:pPr>
        <w:spacing w:after="0" w:line="260" w:lineRule="auto"/>
      </w:pPr>
      <w:r>
        <w:tab/>
      </w:r>
      <w:r>
        <w:t xml:space="preserve">2. </w:t>
      </w:r>
      <w:r>
        <w:t>stroški nakupa mobilnega predelovalnega obrata;</w:t>
      </w:r>
    </w:p>
    <w:p>
      <w:pPr>
        <w:spacing w:after="0" w:line="260" w:lineRule="auto"/>
      </w:pPr>
      <w:r>
        <w:tab/>
      </w:r>
      <w:r>
        <w:t xml:space="preserve">3. </w:t>
      </w:r>
      <w:r>
        <w:t>stroški nakupa in namestitve namenskega aparata za prodajo;</w:t>
      </w:r>
    </w:p>
    <w:p>
      <w:pPr>
        <w:spacing w:after="0" w:line="260" w:lineRule="auto"/>
      </w:pPr>
      <w:r>
        <w:tab/>
      </w:r>
      <w:r>
        <w:t xml:space="preserve">4. </w:t>
      </w:r>
      <w:r>
        <w:t>stroški nakupa opreme za nadgradnjo lastne mobilne prodajalne;</w:t>
      </w:r>
    </w:p>
    <w:p>
      <w:pPr>
        <w:spacing w:after="0" w:line="260" w:lineRule="auto"/>
      </w:pPr>
      <w:r>
        <w:tab/>
      </w:r>
      <w:r>
        <w:t xml:space="preserve">5. </w:t>
      </w:r>
      <w:r>
        <w:t>stroški nakupa stroja za prekladanje materialov;</w:t>
      </w:r>
    </w:p>
    <w:p>
      <w:pPr>
        <w:spacing w:after="0" w:line="260" w:lineRule="auto"/>
      </w:pPr>
      <w:r>
        <w:tab/>
      </w:r>
      <w:r>
        <w:t xml:space="preserve">6. </w:t>
      </w:r>
      <w:r>
        <w:t>stroški nakupa tovornega vozila z opremo za namen dostave in ohranjanja kakovosti kmetijskih proizvodov;</w:t>
      </w:r>
    </w:p>
    <w:p>
      <w:pPr>
        <w:spacing w:after="0" w:line="260" w:lineRule="auto"/>
      </w:pPr>
      <w:r>
        <w:tab/>
      </w:r>
      <w:r>
        <w:t xml:space="preserve">7. </w:t>
      </w:r>
      <w:r>
        <w:t>stroški nakupa in namestitve opreme za učinkovito rabo energije oziroma pridobivanje energije iz OVE;</w:t>
      </w:r>
    </w:p>
    <w:p>
      <w:pPr>
        <w:spacing w:after="0" w:line="260" w:lineRule="auto"/>
      </w:pPr>
      <w:r>
        <w:tab/>
      </w:r>
      <w:r>
        <w:t xml:space="preserve">8. </w:t>
      </w:r>
      <w:r>
        <w:t>stroški nakupa in namestitve čistilne naprave, stroški lovilca maščobe oziroma stroški opreme za zmanjšano rabo vode, stroški opreme za rabo odpadne vode oziroma rabo meteorne vode, stroški opreme za zbiranje odpadne vode, stroški opreme za preprečevanje in zmanjšanje nastajanja odpadkov;</w:t>
      </w:r>
    </w:p>
    <w:p>
      <w:pPr>
        <w:spacing w:after="0" w:line="260" w:lineRule="auto"/>
      </w:pPr>
      <w:r>
        <w:tab/>
      </w:r>
      <w:r>
        <w:t xml:space="preserve">9. </w:t>
      </w:r>
      <w:r>
        <w:t>splošni stroški iz uredbe, ki ureja skupne določbe, do vključno 10 % upravičenih stroškov naložbe iz 1. do 8. točke tega odstavka, pri čemer splošni strošek priprave poslovnega načrta znaša do vključno 2 % upravičenih stroškov naložbe in ne sme presegati 5.000 eurov.</w:t>
      </w:r>
    </w:p>
    <w:p>
      <w:pPr>
        <w:spacing w:after="0" w:line="260" w:lineRule="auto"/>
        <w:rPr>
          <w:rFonts w:ascii="Arial" w:hAnsi="Arial" w:cs="Arial"/>
        </w:rPr>
      </w:pPr>
    </w:p>
    <w:p>
      <w:pPr>
        <w:spacing w:after="0" w:line="260" w:lineRule="auto"/>
      </w:pPr>
      <w:r>
        <w:tab/>
      </w:r>
      <w:r>
        <w:t xml:space="preserve">(2) </w:t>
      </w:r>
      <w:r>
        <w:t>Ne glede na prejšnji odstavek niso upravičeni naslednji stroški:</w:t>
      </w:r>
    </w:p>
    <w:p>
      <w:pPr>
        <w:spacing w:after="0" w:line="260" w:lineRule="auto"/>
      </w:pPr>
      <w:r>
        <w:tab/>
      </w:r>
      <w:r>
        <w:t xml:space="preserve">1. </w:t>
      </w:r>
      <w:r>
        <w:t>stroški nakupa rabljene opreme, rabljenega mobilnega predelovalnega obrata, rabljenega namenskega aparata za prodajo, rabljenega stroja za prekladanje materialov in rabljenega tovornega vozila;</w:t>
      </w:r>
    </w:p>
    <w:p>
      <w:pPr>
        <w:spacing w:after="0" w:line="260" w:lineRule="auto"/>
      </w:pPr>
      <w:r>
        <w:tab/>
      </w:r>
      <w:r>
        <w:t xml:space="preserve">2. </w:t>
      </w:r>
      <w:r>
        <w:t>stroški obratnih sredstev;</w:t>
      </w:r>
    </w:p>
    <w:p>
      <w:pPr>
        <w:spacing w:after="0" w:line="260" w:lineRule="auto"/>
      </w:pPr>
      <w:r>
        <w:tab/>
      </w:r>
      <w:r>
        <w:t xml:space="preserve">3. </w:t>
      </w:r>
      <w:r>
        <w:t>stroški nakupa tovornega vozila z opremo za namen dostave in ohranjanja kakovosti kmetijskih proizvodov, če se podpora dodeli kot regionalna pomoč;</w:t>
      </w:r>
    </w:p>
    <w:p>
      <w:pPr>
        <w:spacing w:after="0" w:line="260" w:lineRule="auto"/>
      </w:pPr>
      <w:r>
        <w:tab/>
      </w:r>
      <w:r>
        <w:t xml:space="preserve">4. </w:t>
      </w:r>
      <w:r>
        <w:t>stroški lizinga, razen če je ta odplačan do vložitve zadnjega zahtevka za izplačilo sredstev, pri čemer stroški odobritve, zavarovanja in drugi stroški tega lizinga niso upravičeni;</w:t>
      </w:r>
    </w:p>
    <w:p>
      <w:pPr>
        <w:spacing w:after="0" w:line="260" w:lineRule="auto"/>
      </w:pPr>
      <w:r>
        <w:tab/>
      </w:r>
      <w:r>
        <w:t xml:space="preserve">5. </w:t>
      </w:r>
      <w:r>
        <w:t>stroški zakupa objekta, naprave in opreme;</w:t>
      </w:r>
    </w:p>
    <w:p>
      <w:pPr>
        <w:spacing w:after="0" w:line="260" w:lineRule="auto"/>
      </w:pPr>
      <w:r>
        <w:tab/>
      </w:r>
      <w:r>
        <w:t xml:space="preserve">6. </w:t>
      </w:r>
      <w:r>
        <w:t>stroški postavitve začasnega objekta v skladu z gradbenim zakonom;</w:t>
      </w:r>
    </w:p>
    <w:p>
      <w:pPr>
        <w:spacing w:after="0" w:line="260" w:lineRule="auto"/>
      </w:pPr>
      <w:r>
        <w:tab/>
      </w:r>
      <w:r>
        <w:t xml:space="preserve">7. </w:t>
      </w:r>
      <w:r>
        <w:t>stroški priprave zahtevka za izplačilo sredstev;</w:t>
      </w:r>
    </w:p>
    <w:p>
      <w:pPr>
        <w:spacing w:after="0" w:line="260" w:lineRule="auto"/>
      </w:pPr>
      <w:r>
        <w:tab/>
      </w:r>
      <w:r>
        <w:t xml:space="preserve">8. </w:t>
      </w:r>
      <w:r>
        <w:t>stroški podelitve patenta, pridobitve licence, plačilne pravice, avtorske in sorodne pravice ter registracije znamke;</w:t>
      </w:r>
    </w:p>
    <w:p>
      <w:pPr>
        <w:spacing w:after="0" w:line="260" w:lineRule="auto"/>
      </w:pPr>
      <w:r>
        <w:tab/>
      </w:r>
      <w:r>
        <w:t xml:space="preserve">9. </w:t>
      </w:r>
      <w:r>
        <w:t>davek na dodano vrednost;</w:t>
      </w:r>
    </w:p>
    <w:p>
      <w:pPr>
        <w:spacing w:after="0" w:line="260" w:lineRule="auto"/>
      </w:pPr>
      <w:r>
        <w:tab/>
      </w:r>
      <w:r>
        <w:t xml:space="preserve">10. </w:t>
      </w:r>
      <w:r>
        <w:t>carine in dajatve;</w:t>
      </w:r>
    </w:p>
    <w:p>
      <w:pPr>
        <w:spacing w:after="0" w:line="260" w:lineRule="auto"/>
      </w:pPr>
      <w:r>
        <w:tab/>
      </w:r>
      <w:r>
        <w:t xml:space="preserve">11. </w:t>
      </w:r>
      <w:r>
        <w:t>obresti na dolg, bančni stroški, stroški garancij in</w:t>
      </w:r>
    </w:p>
    <w:p>
      <w:pPr>
        <w:spacing w:after="0" w:line="260" w:lineRule="auto"/>
      </w:pPr>
      <w:r>
        <w:tab/>
      </w:r>
      <w:r>
        <w:t xml:space="preserve">12. </w:t>
      </w:r>
      <w:r>
        <w:t>upravna taksa.</w:t>
      </w:r>
    </w:p>
    <w:p>
      <w:pPr>
        <w:spacing w:after="0" w:line="260" w:lineRule="auto"/>
        <w:rPr>
          <w:rFonts w:ascii="Arial" w:hAnsi="Arial" w:cs="Arial"/>
        </w:rPr>
      </w:pPr>
    </w:p>
    <w:p>
      <w:pPr>
        <w:spacing w:after="0" w:line="260" w:lineRule="auto"/>
      </w:pPr>
      <w:r>
        <w:tab/>
      </w:r>
      <w:r>
        <w:t xml:space="preserve">(3) </w:t>
      </w:r>
      <w:r>
        <w:t>Podpora za upravičene stroške iz prvega odstavka tega člena se dodeli v obliki povračila dejansko nastalih stroškov v skladu z uredbo, ki ureja skupne določbe.</w:t>
      </w:r>
    </w:p>
    <w:p>
      <w:pPr>
        <w:pStyle w:val="len"/>
        <w:spacing w:after="0" w:line="260" w:lineRule="auto"/>
      </w:pPr>
      <w:r>
        <w:t>7. člen</w:t>
      </w:r>
    </w:p>
    <w:p>
      <w:pPr>
        <w:pStyle w:val="lennaslov"/>
        <w:spacing w:after="0" w:line="260" w:lineRule="auto"/>
      </w:pPr>
      <w:r>
        <w:t>(začetek upravičenosti stroškov)</w:t>
      </w:r>
    </w:p>
    <w:p>
      <w:pPr>
        <w:spacing w:after="0" w:line="260" w:lineRule="auto"/>
        <w:rPr>
          <w:rFonts w:ascii="Arial" w:hAnsi="Arial" w:cs="Arial"/>
        </w:rPr>
      </w:pPr>
    </w:p>
    <w:p>
      <w:pPr>
        <w:spacing w:after="0" w:line="260" w:lineRule="auto"/>
      </w:pPr>
      <w:r>
        <w:tab/>
      </w:r>
      <w:r>
        <w:t xml:space="preserve">(1) </w:t>
      </w:r>
      <w:r>
        <w:t>V skladu s četrtim odstavkom 86. člena Uredbe 2021/2115/EU so stroški iz 1. do 8. točke prvega odstavka prejšnjega člena upravičeni, če so nastali po vložitvi vloge na javni razpis.</w:t>
      </w:r>
    </w:p>
    <w:p>
      <w:pPr>
        <w:spacing w:after="0" w:line="260" w:lineRule="auto"/>
        <w:rPr>
          <w:rFonts w:ascii="Arial" w:hAnsi="Arial" w:cs="Arial"/>
        </w:rPr>
      </w:pPr>
    </w:p>
    <w:p>
      <w:pPr>
        <w:spacing w:after="0" w:line="260" w:lineRule="auto"/>
      </w:pPr>
      <w:r>
        <w:tab/>
      </w:r>
      <w:r>
        <w:t xml:space="preserve">(2) </w:t>
      </w:r>
      <w:r>
        <w:t>V skladu s četrtim odstavkom 86. člena Uredbe 2021/2115/EU so stroški iz 9. točke prvega odstavka prejšnjega člena upravičeni, če so nastali po 1. januarju 2023.</w:t>
      </w:r>
    </w:p>
    <w:p>
      <w:pPr>
        <w:spacing w:after="0" w:line="260" w:lineRule="auto"/>
        <w:rPr>
          <w:rFonts w:ascii="Arial" w:hAnsi="Arial" w:cs="Arial"/>
        </w:rPr>
      </w:pPr>
    </w:p>
    <w:p>
      <w:pPr>
        <w:spacing w:after="0" w:line="260" w:lineRule="auto"/>
      </w:pPr>
      <w:r>
        <w:tab/>
      </w:r>
      <w:r>
        <w:t xml:space="preserve">(3) </w:t>
      </w:r>
      <w:r>
        <w:t>Če se podpora dodeli kot regionalna pomoč, so, ne glede na prejšnji odstavek, stroški iz 9. točke prvega odstavka prejšnjega člena upravičeni, če so nastali po vložitvi vloge na javni razpis.</w:t>
      </w:r>
    </w:p>
    <w:p>
      <w:pPr>
        <w:pStyle w:val="len"/>
        <w:spacing w:after="0" w:line="260" w:lineRule="auto"/>
      </w:pPr>
      <w:r>
        <w:t>8. člen</w:t>
      </w:r>
    </w:p>
    <w:p>
      <w:pPr>
        <w:pStyle w:val="lennaslov"/>
        <w:spacing w:after="0" w:line="260" w:lineRule="auto"/>
      </w:pPr>
      <w:r>
        <w:t>(pogoji za dodelitev podpore)</w:t>
      </w:r>
    </w:p>
    <w:p>
      <w:pPr>
        <w:spacing w:after="0" w:line="260" w:lineRule="auto"/>
        <w:rPr>
          <w:rFonts w:ascii="Arial" w:hAnsi="Arial" w:cs="Arial"/>
        </w:rPr>
      </w:pPr>
    </w:p>
    <w:p>
      <w:pPr>
        <w:spacing w:after="0" w:line="260" w:lineRule="auto"/>
      </w:pPr>
      <w:r>
        <w:tab/>
      </w:r>
      <w:r>
        <w:t xml:space="preserve">(1) </w:t>
      </w:r>
      <w:r>
        <w:t>Vlagatelj mora poleg splošnih pogojev za dodelitev podpore iz uredbe, ki ureja skupne določbe, izpolniti tudi naslednje pogoje:</w:t>
      </w:r>
    </w:p>
    <w:p>
      <w:pPr>
        <w:spacing w:after="0" w:line="260" w:lineRule="auto"/>
      </w:pPr>
      <w:r>
        <w:tab/>
      </w:r>
      <w:r>
        <w:t xml:space="preserve">1. </w:t>
      </w:r>
      <w:r>
        <w:t>če je vlagatelj zadruga:</w:t>
      </w:r>
    </w:p>
    <w:p>
      <w:pPr>
        <w:spacing w:after="0" w:line="260" w:lineRule="auto"/>
      </w:pPr>
      <w:r>
        <w:tab/>
      </w:r>
      <w:r>
        <w:t xml:space="preserve">a) </w:t>
      </w:r>
      <w:r>
        <w:t>vlogi na javni razpis priloži seznam vseh njenih članov in seznam članov, ki pridelujejo kmetijske proizvode, za katere je namenjena naložba,</w:t>
      </w:r>
    </w:p>
    <w:p>
      <w:pPr>
        <w:spacing w:after="0" w:line="260" w:lineRule="auto"/>
      </w:pPr>
      <w:r>
        <w:tab/>
      </w:r>
      <w:r>
        <w:t xml:space="preserve">b) </w:t>
      </w:r>
      <w:r>
        <w:t>lahko naložbo uporablja tudi zadruga, če ima lastno predelavo kmetijskih proizvodov in to navede v seznamu iz prejšnje točke,</w:t>
      </w:r>
    </w:p>
    <w:p>
      <w:pPr>
        <w:spacing w:after="0" w:line="260" w:lineRule="auto"/>
      </w:pPr>
      <w:r>
        <w:tab/>
      </w:r>
      <w:r>
        <w:t xml:space="preserve">c) </w:t>
      </w:r>
      <w:r>
        <w:t>mora imeti ob vložitvi vloge na javni razpis najmanj 80 % članov vpisanih v RKG;</w:t>
      </w:r>
    </w:p>
    <w:p>
      <w:pPr>
        <w:spacing w:after="0" w:line="260" w:lineRule="auto"/>
      </w:pPr>
      <w:r>
        <w:tab/>
      </w:r>
      <w:r>
        <w:t xml:space="preserve">2. </w:t>
      </w:r>
      <w:r>
        <w:t>vlogi na javni razpis mora priložiti:</w:t>
      </w:r>
    </w:p>
    <w:p>
      <w:pPr>
        <w:spacing w:after="0" w:line="260" w:lineRule="auto"/>
      </w:pPr>
      <w:r>
        <w:tab/>
      </w:r>
      <w:r>
        <w:t xml:space="preserve">a) </w:t>
      </w:r>
      <w:r>
        <w:t>poslovni načrt v skladu z 9. členom te uredbe,</w:t>
      </w:r>
    </w:p>
    <w:p>
      <w:pPr>
        <w:spacing w:after="0" w:line="260" w:lineRule="auto"/>
      </w:pPr>
      <w:r>
        <w:tab/>
      </w:r>
      <w:r>
        <w:t xml:space="preserve">b) </w:t>
      </w:r>
      <w:r>
        <w:t>dokumentacijo za pridobitev gradbenega dovoljenja za nezahtevni objekt v skladu s predpisi, ki urejajo graditev objektov, če se naložba nanaša na ureditev nezahtevnega objekta v skladu s predpisi, ki urejajo graditev objektov,</w:t>
      </w:r>
    </w:p>
    <w:p>
      <w:pPr>
        <w:spacing w:after="0" w:line="260" w:lineRule="auto"/>
      </w:pPr>
      <w:r>
        <w:tab/>
      </w:r>
      <w:r>
        <w:t xml:space="preserve">c) </w:t>
      </w:r>
      <w:r>
        <w:t>prometno dovoljenje za mobilno prodajalno, ki se glasi na vlagatelja, če uveljavlja podporo za naložbo iz 4. točke drugega odstavka 4. člena te uredbe;</w:t>
      </w:r>
    </w:p>
    <w:p>
      <w:pPr>
        <w:spacing w:after="0" w:line="260" w:lineRule="auto"/>
      </w:pPr>
      <w:r>
        <w:tab/>
      </w:r>
      <w:r>
        <w:t xml:space="preserve">3. </w:t>
      </w:r>
      <w:r>
        <w:t>če gre za naložbo iz 1. oziroma 2. točke drugega odstavka 3. člena te uredbe, mora vlagatelj ob vložitvi vloge na javni razpis opravljati živilsko dejavnost skladu s pravilnikom, ki ureja registracijo in odobritev obratov na področju živil;</w:t>
      </w:r>
    </w:p>
    <w:p>
      <w:pPr>
        <w:spacing w:after="0" w:line="260" w:lineRule="auto"/>
      </w:pPr>
      <w:r>
        <w:tab/>
      </w:r>
      <w:r>
        <w:t xml:space="preserve">4. </w:t>
      </w:r>
      <w:r>
        <w:t>izpolniti mora pogoj ekonomske upravičenosti naložbe, kar se izkazuje s pozitivno interno stopnjo donosnosti, razvidno iz poslovnega načrta iz 9. člena te uredbe, pri čemer se za vlagatelja iz 4. točke prvega odstavka 5. člena te uredbe upošteva povprečna interna stopnja donosnosti članov združenja organizacij proizvajalcev;</w:t>
      </w:r>
    </w:p>
    <w:p>
      <w:pPr>
        <w:spacing w:after="0" w:line="260" w:lineRule="auto"/>
      </w:pPr>
      <w:r>
        <w:tab/>
      </w:r>
      <w:r>
        <w:t xml:space="preserve">5. </w:t>
      </w:r>
      <w:r>
        <w:t>z vlogo na javni razpis lahko uveljavlja podporo za največ tri stroje za prekladanje materialov iz 5. točke prvega odstavka 4. člena te uredbe oziroma največ tri tovorna vozila iz 6. točke prvega odstavka 4. člena te uredbe;</w:t>
      </w:r>
    </w:p>
    <w:p>
      <w:pPr>
        <w:spacing w:after="0" w:line="260" w:lineRule="auto"/>
      </w:pPr>
      <w:r>
        <w:tab/>
      </w:r>
      <w:r>
        <w:t xml:space="preserve">6. </w:t>
      </w:r>
      <w:r>
        <w:t>če se uveljavlja podpora za naložbo iz 1., 3., 4. in 5. točke prvega odstavka 4. člena te uredbe, ki se uporablja hkrati za namen iz 1. in 2. točke drugega odstavka 3. člena te uredbe, se v vlogi na javni razpis opredelita vrednost naložbe, ki se uporablja za namen iz 1. točke drugega odstavka 3. člena te uredbe, in vrednost naložbe, ki se uporablja za namen iz 2. točke drugega odstavka 3. člena te uredbe. Če se uveljavlja podpora za naložbo iz drugega odstavka 4. člena te uredbe, ki se uporablja hkrati za namen pod a), pod b) oziroma pod c) 3. točke drugega odstavka 3. člena te uredbe, se v vlogi na javni razpis opredeli vrednost naložbe, ki se uporablja za namen pod a) 3. točke drugega odstavka 3. člena te uredbe, vrednost naložbe, ki se uporablja za namen pod b) 3. točke drugega odstavka 3. člena te uredbe in vrednost naložbe, ki se uporablja za namen pod c) 3. točke drugega odstavka 3. člena te uredbe. Kriteriji za ugotavljanje vrednosti naložbe, ki se uporablja za posamezni namen iz 1. oziroma 2. točke drugega odstavka 3. člena te uredbe oziroma za namen pod a), pod b) in pod c) 3. točke drugega odstavka 3. člena te uredbe, se določijo v javnem razpisu;</w:t>
      </w:r>
    </w:p>
    <w:p>
      <w:pPr>
        <w:spacing w:after="0" w:line="260" w:lineRule="auto"/>
      </w:pPr>
      <w:r>
        <w:tab/>
      </w:r>
      <w:r>
        <w:t xml:space="preserve">7. </w:t>
      </w:r>
      <w:r>
        <w:t>na posamezni javni razpis lahko vloži eno vlogo.</w:t>
      </w:r>
    </w:p>
    <w:p>
      <w:pPr>
        <w:spacing w:after="0" w:line="260" w:lineRule="auto"/>
        <w:rPr>
          <w:rFonts w:ascii="Arial" w:hAnsi="Arial" w:cs="Arial"/>
        </w:rPr>
      </w:pPr>
    </w:p>
    <w:p>
      <w:pPr>
        <w:spacing w:after="0" w:line="260" w:lineRule="auto"/>
      </w:pPr>
      <w:r>
        <w:tab/>
      </w:r>
      <w:r>
        <w:t xml:space="preserve">(2) </w:t>
      </w:r>
      <w:r>
        <w:t>Če gre za naložbo v nakup opreme za učinkovito rabo energije oziroma opreme za pridobivanje energije iz OVE, mora vlagatelj poleg pogojev iz prejšnjega odstavka izpolnjevati tudi naslednje pogoje:</w:t>
      </w:r>
    </w:p>
    <w:p>
      <w:pPr>
        <w:spacing w:after="0" w:line="260" w:lineRule="auto"/>
      </w:pPr>
      <w:r>
        <w:tab/>
      </w:r>
      <w:r>
        <w:t xml:space="preserve">1. </w:t>
      </w:r>
      <w:r>
        <w:t>če gre za naložbo v nakup opreme za pridobivanje energije iz OVE:</w:t>
      </w:r>
    </w:p>
    <w:p>
      <w:pPr>
        <w:spacing w:after="0" w:line="260" w:lineRule="auto"/>
      </w:pPr>
      <w:r>
        <w:tab/>
      </w:r>
      <w:r>
        <w:t xml:space="preserve">a) </w:t>
      </w:r>
      <w:r>
        <w:t>skupna količina proizvedene energije iz OVE ne sme presegati načrtovane porabe energije v živilsko predelovalnem obratu v koledarskem letu po vložitvi zadnjega zahtevka za izplačilo sredstev, kar je razvidno iz dokazila iz 2. točke tega odstavka,</w:t>
      </w:r>
    </w:p>
    <w:p>
      <w:pPr>
        <w:spacing w:after="0" w:line="260" w:lineRule="auto"/>
      </w:pPr>
      <w:r>
        <w:tab/>
      </w:r>
      <w:r>
        <w:t xml:space="preserve">b) </w:t>
      </w:r>
      <w:r>
        <w:t>se vlogi na javni razpis priloži soglasje za priključitev v skladu z zakonom, ki ureja spodbujanje rabe OVE, če gre za naložbo v proizvodnjo električne energije,</w:t>
      </w:r>
    </w:p>
    <w:p>
      <w:pPr>
        <w:spacing w:after="0" w:line="260" w:lineRule="auto"/>
      </w:pPr>
      <w:r>
        <w:tab/>
      </w:r>
      <w:r>
        <w:t xml:space="preserve">c) </w:t>
      </w:r>
      <w:r>
        <w:t>naložbe v bioplinske naprave so upravičene do podpore, če imajo do 50 kW nazivne moči;</w:t>
      </w:r>
    </w:p>
    <w:p>
      <w:pPr>
        <w:spacing w:after="0" w:line="260" w:lineRule="auto"/>
      </w:pPr>
      <w:r>
        <w:tab/>
      </w:r>
      <w:r>
        <w:t xml:space="preserve">2. </w:t>
      </w:r>
      <w:r>
        <w:t>naložba v nakup opreme za učinkovito rabo energije mora zagotavljati zmanjšanje porabe energije na ravni objekta za najmanj 20 % za objekt, za katerega velja obveznost v skladu s pravilnikom o učinkoviti rabi energije, kar je razvidno iz energetskega pregleda v skladu s pravilnikom, ki ureja metodologijo za izdelavo in vsebino energetskega pregleda.</w:t>
      </w:r>
    </w:p>
    <w:p>
      <w:pPr>
        <w:spacing w:after="0" w:line="260" w:lineRule="auto"/>
        <w:rPr>
          <w:rFonts w:ascii="Arial" w:hAnsi="Arial" w:cs="Arial"/>
        </w:rPr>
      </w:pPr>
    </w:p>
    <w:p>
      <w:pPr>
        <w:spacing w:after="0" w:line="260" w:lineRule="auto"/>
      </w:pPr>
      <w:r>
        <w:tab/>
      </w:r>
      <w:r>
        <w:t xml:space="preserve">(3) </w:t>
      </w:r>
      <w:r>
        <w:t>Če se podpora dodeli kot regionalna pomoč, mora vlagatelj poleg pogojev iz prvega odstavka tega člena ter pogojev iz drugega odstavka tega člena, če gre za naložbo v nakup opreme za učinkovito rabo energije oziroma oprema za pridobivanje energije iz OVE, ob vložitvi vloge na javni razpis izpolnjevati tudi naslednje pogoje:</w:t>
      </w:r>
    </w:p>
    <w:p>
      <w:pPr>
        <w:spacing w:after="0" w:line="260" w:lineRule="auto"/>
      </w:pPr>
      <w:r>
        <w:tab/>
      </w:r>
      <w:r>
        <w:t xml:space="preserve">1. </w:t>
      </w:r>
      <w:r>
        <w:t>vlagatelj, ki izvaja naložbo na območju »a« iz uredbe, ki ureja karto regionalne pomoči, in vlagatelj, ki je MSP in izvaja naložbo na območju »c« iz uredbe, ki ureja karto regionalne pomoči, mora z naložbo, za katero uveljavlja podporo, izpolniti najmanj eno od zahtev pod (a) 49. točke 2. člena Uredbe 651/2014/EU;</w:t>
      </w:r>
    </w:p>
    <w:p>
      <w:pPr>
        <w:spacing w:after="0" w:line="260" w:lineRule="auto"/>
      </w:pPr>
      <w:r>
        <w:tab/>
      </w:r>
      <w:r>
        <w:t xml:space="preserve">2. </w:t>
      </w:r>
      <w:r>
        <w:t>pomoč za naložbo, ki je predmet podpore, mora imeti spodbujevalni učinek v skladu z drugim odstavkom 6. člena Uredbe 651/2014/EU. Vlagatelj v vlogi na javni razpis navede podatke, s katerimi izkazuje izpolnjevanje pogoja iz te točke;</w:t>
      </w:r>
    </w:p>
    <w:p>
      <w:pPr>
        <w:spacing w:after="0" w:line="260" w:lineRule="auto"/>
      </w:pPr>
      <w:r>
        <w:tab/>
      </w:r>
      <w:r>
        <w:t xml:space="preserve">3. </w:t>
      </w:r>
      <w:r>
        <w:t>naložba v neopredmetena sredstva mora izpolnjevati zahteve iz osmega odstavka 14. člena Uredbe 651/2014/EU;</w:t>
      </w:r>
    </w:p>
    <w:p>
      <w:pPr>
        <w:spacing w:after="0" w:line="260" w:lineRule="auto"/>
      </w:pPr>
      <w:r>
        <w:tab/>
      </w:r>
      <w:r>
        <w:t xml:space="preserve">4. </w:t>
      </w:r>
      <w:r>
        <w:t>zagotoviti mora lastna sredstva v skladu s štirinajstim odstavkom 14. člena Uredbe 651/2014/EU;</w:t>
      </w:r>
    </w:p>
    <w:p>
      <w:pPr>
        <w:spacing w:after="0" w:line="260" w:lineRule="auto"/>
      </w:pPr>
      <w:r>
        <w:tab/>
      </w:r>
      <w:r>
        <w:t xml:space="preserve">5. </w:t>
      </w:r>
      <w:r>
        <w:t>vlagatelj ni izvedel premestitve v skladu s šestnajstim odstavkom 14. člena v povezavi z 61a. točko 2. člena Uredbe 651/2014/EU;</w:t>
      </w:r>
    </w:p>
    <w:p>
      <w:pPr>
        <w:spacing w:after="0" w:line="260" w:lineRule="auto"/>
      </w:pPr>
      <w:r>
        <w:tab/>
      </w:r>
      <w:r>
        <w:t xml:space="preserve">6. </w:t>
      </w:r>
      <w:r>
        <w:t>če je vlagatelj veliko podjetje, ki izvaja naložbo na območju »c« iz uredbe o karti regionalne pomoči, mora z naložbo ustvariti novo gospodarsko dejavnost pod (a) 51. točke 2. člena Uredbe 651/2014/EU;</w:t>
      </w:r>
    </w:p>
    <w:p>
      <w:pPr>
        <w:spacing w:after="0" w:line="260" w:lineRule="auto"/>
      </w:pPr>
      <w:r>
        <w:tab/>
      </w:r>
      <w:r>
        <w:t xml:space="preserve">7. </w:t>
      </w:r>
      <w:r>
        <w:t>vlagatelj, ki je veliko podjetje, ni upravičen do podpore za rekonstrukcijo objekta v skladu s šestim odstavkom 14. člena Uredbe 651/2014/EU;</w:t>
      </w:r>
    </w:p>
    <w:p>
      <w:pPr>
        <w:spacing w:after="0" w:line="260" w:lineRule="auto"/>
      </w:pPr>
      <w:r>
        <w:tab/>
      </w:r>
      <w:r>
        <w:t xml:space="preserve">8. </w:t>
      </w:r>
      <w:r>
        <w:t>če je vlagatelj (na ravni skupine) začel novo naložbo v zvezi z enako ali podobno dejavnostjo iz 50. točke 2. člena Uredbe 651/2014/EU v obdobju treh let od datuma začetka del v okviru druge naložbe, za katero prejema pomoč, v isti regiji na ravni 3 standardne klasifikacije statističnih teritorialnih enot, se naložba šteje za del enotnega naložbenega projekta.</w:t>
      </w:r>
    </w:p>
    <w:p>
      <w:pPr>
        <w:spacing w:after="0" w:line="260" w:lineRule="auto"/>
        <w:rPr>
          <w:rFonts w:ascii="Arial" w:hAnsi="Arial" w:cs="Arial"/>
        </w:rPr>
      </w:pPr>
    </w:p>
    <w:p>
      <w:pPr>
        <w:spacing w:after="0" w:line="260" w:lineRule="auto"/>
      </w:pPr>
      <w:r>
        <w:tab/>
      </w:r>
      <w:r>
        <w:t xml:space="preserve">(4) </w:t>
      </w:r>
      <w:r>
        <w:t>Vlagatelj v vlogi na javni razpis navede eno ali več vrst naložb in zahtevo, ki jo bo v skladu s 1. oziroma 6. točko prejšnjega odstavka izpolnil s to naložbo, pri čemer se izpolnjevanje zahteve glede bistvene spremembe v proizvodnem procesu oziroma diverzifikacije obstoječe poslovne enote izkazuje v skladu s 7. točko 14. člena Uredbe 651/2014/EU.</w:t>
      </w:r>
    </w:p>
    <w:p>
      <w:pPr>
        <w:pStyle w:val="len"/>
        <w:spacing w:after="0" w:line="260" w:lineRule="auto"/>
      </w:pPr>
      <w:r>
        <w:t>9. člen</w:t>
      </w:r>
    </w:p>
    <w:p>
      <w:pPr>
        <w:pStyle w:val="lennaslov"/>
        <w:spacing w:after="0" w:line="260" w:lineRule="auto"/>
      </w:pPr>
      <w:r>
        <w:t>(poslovni načrt)</w:t>
      </w:r>
    </w:p>
    <w:p>
      <w:pPr>
        <w:spacing w:after="0" w:line="260" w:lineRule="auto"/>
        <w:rPr>
          <w:rFonts w:ascii="Arial" w:hAnsi="Arial" w:cs="Arial"/>
        </w:rPr>
      </w:pPr>
    </w:p>
    <w:p>
      <w:pPr>
        <w:spacing w:after="0" w:line="260" w:lineRule="auto"/>
      </w:pPr>
      <w:r>
        <w:tab/>
      </w:r>
      <w:r>
        <w:t xml:space="preserve">(1) </w:t>
      </w:r>
      <w:r>
        <w:t>Poslovni načrt se izdela za ekonomsko dobo naložbe, vendar najmanj do datuma, določenega z javnim razpisom.</w:t>
      </w:r>
    </w:p>
    <w:p>
      <w:pPr>
        <w:spacing w:after="0" w:line="260" w:lineRule="auto"/>
        <w:rPr>
          <w:rFonts w:ascii="Arial" w:hAnsi="Arial" w:cs="Arial"/>
        </w:rPr>
      </w:pPr>
    </w:p>
    <w:p>
      <w:pPr>
        <w:spacing w:after="0" w:line="260" w:lineRule="auto"/>
      </w:pPr>
      <w:r>
        <w:tab/>
      </w:r>
      <w:r>
        <w:t xml:space="preserve">(2) </w:t>
      </w:r>
      <w:r>
        <w:t>Poslovni načrt mora temeljiti na podatkih o dejanskih prihodkih in dejanskih ali normiranih odhodkih iz obračuna davka od dohodka pravnih oseb (v nadaljnjem besedilu: podatki knjigovodstva) za leto, ki se opredeli za javnim razpisom.</w:t>
      </w:r>
    </w:p>
    <w:p>
      <w:pPr>
        <w:spacing w:after="0" w:line="260" w:lineRule="auto"/>
        <w:rPr>
          <w:rFonts w:ascii="Arial" w:hAnsi="Arial" w:cs="Arial"/>
        </w:rPr>
      </w:pPr>
    </w:p>
    <w:p>
      <w:pPr>
        <w:spacing w:after="0" w:line="260" w:lineRule="auto"/>
      </w:pPr>
      <w:r>
        <w:tab/>
      </w:r>
      <w:r>
        <w:t xml:space="preserve">(3) </w:t>
      </w:r>
      <w:r>
        <w:t>Poslovni načrt vsebuje sestavine iz Priloge, ki je sestavni del te uredbe.</w:t>
      </w:r>
    </w:p>
    <w:p>
      <w:pPr>
        <w:pStyle w:val="len"/>
        <w:spacing w:after="0" w:line="260" w:lineRule="auto"/>
      </w:pPr>
      <w:r>
        <w:t>10. člen</w:t>
      </w:r>
    </w:p>
    <w:p>
      <w:pPr>
        <w:pStyle w:val="lennaslov"/>
        <w:spacing w:after="0" w:line="260" w:lineRule="auto"/>
      </w:pPr>
      <w:r>
        <w:t>(merila za ocenjevanje vlog)</w:t>
      </w:r>
    </w:p>
    <w:p>
      <w:pPr>
        <w:spacing w:after="0" w:line="260" w:lineRule="auto"/>
        <w:rPr>
          <w:rFonts w:ascii="Arial" w:hAnsi="Arial" w:cs="Arial"/>
        </w:rPr>
      </w:pPr>
    </w:p>
    <w:p>
      <w:pPr>
        <w:spacing w:after="0" w:line="260" w:lineRule="auto"/>
      </w:pPr>
      <w:r>
        <w:tab/>
      </w:r>
      <w:r>
        <w:t xml:space="preserve">(1) </w:t>
      </w:r>
      <w:r>
        <w:t>Vloge, vložene na javni razpis, se točkujejo na podlagi naslednjih meril za izbor:</w:t>
      </w:r>
    </w:p>
    <w:p>
      <w:pPr>
        <w:spacing w:after="0" w:line="260" w:lineRule="auto"/>
      </w:pPr>
      <w:r>
        <w:tab/>
      </w:r>
      <w:r>
        <w:t xml:space="preserve">1. </w:t>
      </w:r>
      <w:r>
        <w:t>ekonomski vidik naložbe:</w:t>
      </w:r>
    </w:p>
    <w:p>
      <w:pPr>
        <w:spacing w:after="0" w:line="260" w:lineRule="auto"/>
      </w:pPr>
      <w:r>
        <w:tab/>
      </w:r>
      <w:r>
        <w:t xml:space="preserve">a) </w:t>
      </w:r>
      <w:r>
        <w:t>razmerje med letnim prihodkom vlagatelja in skupno načrtovano vrednostjo naložbe. Če je vlagatelj združenje organizacij proizvajalcev, se kot letni prihodek upošteva povprečni letni prihodek organizacij proizvajalcev, ki so povezane v združenje organizacij proizvajalcev,</w:t>
      </w:r>
    </w:p>
    <w:p>
      <w:pPr>
        <w:spacing w:after="0" w:line="260" w:lineRule="auto"/>
      </w:pPr>
      <w:r>
        <w:tab/>
      </w:r>
      <w:r>
        <w:t xml:space="preserve">b) </w:t>
      </w:r>
      <w:r>
        <w:t>načrtovani delež odkupa ekoloških proizvodov vlagatelja glede na vrednost celotnega odkupa kmetijskih proizvodov od članov vlagatelj ali članov zadruge, ki bodo uporabljali naložbo. Če je vlagatelj združenje organizacij proizvajalcev, se upošteva vrednost odkupljenih ekoloških proizvodov glede na vrednost vseh odkupljenih proizvodov organizacij proizvajalcev, ki so povezane v združenje organizacij proizvajalcev,</w:t>
      </w:r>
    </w:p>
    <w:p>
      <w:pPr>
        <w:spacing w:after="0" w:line="260" w:lineRule="auto"/>
      </w:pPr>
      <w:r>
        <w:tab/>
      </w:r>
      <w:r>
        <w:t xml:space="preserve">c) </w:t>
      </w:r>
      <w:r>
        <w:t>vključenost članov skupine proizvajalcev, organizacije proizvajalcev ali članov zadruge v shemo kakovosti. Če je vlagatelj združenje organizacij proizvajalcev, se upošteva vključenost članov organizacij proizvajalcev, ki so povezane v združenje organizacij proizvajalcev;</w:t>
      </w:r>
    </w:p>
    <w:p>
      <w:pPr>
        <w:spacing w:after="0" w:line="260" w:lineRule="auto"/>
      </w:pPr>
      <w:r>
        <w:tab/>
      </w:r>
      <w:r>
        <w:t xml:space="preserve">2. </w:t>
      </w:r>
      <w:r>
        <w:t>socialni in geografski vidik vlagatelja:</w:t>
      </w:r>
    </w:p>
    <w:p>
      <w:pPr>
        <w:spacing w:after="0" w:line="260" w:lineRule="auto"/>
      </w:pPr>
      <w:r>
        <w:tab/>
      </w:r>
      <w:r>
        <w:t xml:space="preserve">a) </w:t>
      </w:r>
      <w:r>
        <w:t>vlogo na javni razpis vloži vlagateljica, ki je odgovorna oseba pravne osebe, in je bila odgovorna oseba pravne osebe že v letu pred vložitvijo vloge na javni razpis,</w:t>
      </w:r>
    </w:p>
    <w:p>
      <w:pPr>
        <w:spacing w:after="0" w:line="260" w:lineRule="auto"/>
      </w:pPr>
      <w:r>
        <w:tab/>
      </w:r>
      <w:r>
        <w:t xml:space="preserve">b) </w:t>
      </w:r>
      <w:r>
        <w:t>sedež vlagatelja je v občini v obmejnem problemskem območju v skladu z uredbo, ki ureja določitev obmejnih problemskih območij;</w:t>
      </w:r>
    </w:p>
    <w:p>
      <w:pPr>
        <w:spacing w:after="0" w:line="260" w:lineRule="auto"/>
      </w:pPr>
      <w:r>
        <w:tab/>
      </w:r>
      <w:r>
        <w:t xml:space="preserve">3. </w:t>
      </w:r>
      <w:r>
        <w:t>zeleni prehod:</w:t>
      </w:r>
    </w:p>
    <w:p>
      <w:pPr>
        <w:spacing w:after="0" w:line="260" w:lineRule="auto"/>
      </w:pPr>
      <w:r>
        <w:tab/>
      </w:r>
      <w:r>
        <w:t xml:space="preserve">a) </w:t>
      </w:r>
      <w:r>
        <w:t>naložba prispeva k ohranjanju objekta kulturne dediščine,</w:t>
      </w:r>
    </w:p>
    <w:p>
      <w:pPr>
        <w:spacing w:after="0" w:line="260" w:lineRule="auto"/>
      </w:pPr>
      <w:r>
        <w:tab/>
      </w:r>
      <w:r>
        <w:t xml:space="preserve">b) </w:t>
      </w:r>
      <w:r>
        <w:t>z vlogo na javni razpis se uveljavlja podpora za naložbo v nakup opreme za zmanjšano rabo vode, rabo odpadne vode, rabo meteorne vode oziroma za naložbo v nakup opreme za zbiranje odpadne vode,</w:t>
      </w:r>
    </w:p>
    <w:p>
      <w:pPr>
        <w:spacing w:after="0" w:line="260" w:lineRule="auto"/>
      </w:pPr>
      <w:r>
        <w:tab/>
      </w:r>
      <w:r>
        <w:t xml:space="preserve">c) </w:t>
      </w:r>
      <w:r>
        <w:t>z vlogo na javni razpis se uveljavlja podpora za naložbo v nakup opreme za pridobivanje energije iz OVE,</w:t>
      </w:r>
    </w:p>
    <w:p>
      <w:pPr>
        <w:spacing w:after="0" w:line="260" w:lineRule="auto"/>
      </w:pPr>
      <w:r>
        <w:tab/>
      </w:r>
      <w:r>
        <w:t xml:space="preserve">č) </w:t>
      </w:r>
      <w:r>
        <w:t>z vlogo na javni razpis se uveljavlja podpora za naložbo v nakup opreme za učinkovito rabo energije,</w:t>
      </w:r>
    </w:p>
    <w:p>
      <w:pPr>
        <w:spacing w:after="0" w:line="260" w:lineRule="auto"/>
      </w:pPr>
      <w:r>
        <w:tab/>
      </w:r>
      <w:r>
        <w:t xml:space="preserve">d) </w:t>
      </w:r>
      <w:r>
        <w:t>z vlogo na javni razpis se uveljavlja podpora za naložbo v nakup opreme za uporabo stranskih proizvodov,</w:t>
      </w:r>
    </w:p>
    <w:p>
      <w:pPr>
        <w:spacing w:after="0" w:line="260" w:lineRule="auto"/>
      </w:pPr>
      <w:r>
        <w:tab/>
      </w:r>
      <w:r>
        <w:t xml:space="preserve">e) </w:t>
      </w:r>
      <w:r>
        <w:t>doniranje hrane v skladu z zakonom, ki ureja hrano,</w:t>
      </w:r>
    </w:p>
    <w:p>
      <w:pPr>
        <w:spacing w:after="0" w:line="260" w:lineRule="auto"/>
      </w:pPr>
      <w:r>
        <w:tab/>
      </w:r>
      <w:r>
        <w:t xml:space="preserve">f) </w:t>
      </w:r>
      <w:r>
        <w:t>z vlogo na javni razpis se uveljavlja podpora za naložbo v digitalizacijo procesov.</w:t>
      </w:r>
    </w:p>
    <w:p>
      <w:pPr>
        <w:spacing w:after="0" w:line="260" w:lineRule="auto"/>
        <w:rPr>
          <w:rFonts w:ascii="Arial" w:hAnsi="Arial" w:cs="Arial"/>
        </w:rPr>
      </w:pPr>
    </w:p>
    <w:p>
      <w:pPr>
        <w:spacing w:after="0" w:line="260" w:lineRule="auto"/>
      </w:pPr>
      <w:r>
        <w:tab/>
      </w:r>
      <w:r>
        <w:t xml:space="preserve">(2) </w:t>
      </w:r>
      <w:r>
        <w:t>Med vlogami na javni razpis, ki dosežejo vstopni prag 30 % možnega števila točk, se izberejo tiste, ki dosežejo višje število točk, do porabe razpisanih sredstev.</w:t>
      </w:r>
    </w:p>
    <w:p>
      <w:pPr>
        <w:pStyle w:val="len"/>
        <w:spacing w:after="0" w:line="260" w:lineRule="auto"/>
      </w:pPr>
      <w:r>
        <w:t>11. člen</w:t>
      </w:r>
    </w:p>
    <w:p>
      <w:pPr>
        <w:pStyle w:val="lennaslov"/>
        <w:spacing w:after="0" w:line="260" w:lineRule="auto"/>
      </w:pPr>
      <w:r>
        <w:t>(pogoji ob vložitvi zahtevka za izplačilo sredstev)</w:t>
      </w:r>
    </w:p>
    <w:p>
      <w:pPr>
        <w:spacing w:after="0" w:line="260" w:lineRule="auto"/>
        <w:rPr>
          <w:rFonts w:ascii="Arial" w:hAnsi="Arial" w:cs="Arial"/>
        </w:rPr>
      </w:pPr>
    </w:p>
    <w:p>
      <w:pPr>
        <w:spacing w:after="0" w:line="260" w:lineRule="auto"/>
      </w:pPr>
      <w:r>
        <w:tab/>
      </w:r>
      <w:r>
        <w:t xml:space="preserve">(1) </w:t>
      </w:r>
      <w:r>
        <w:t>Upravičenec mora izpolnjevati splošne pogoje ob vložitvi zahtevka za izplačilo sredstev iz uredbe, ki ureja skupne določbe, ter zahtevku za izplačilo sredstev priložiti:</w:t>
      </w:r>
    </w:p>
    <w:p>
      <w:pPr>
        <w:spacing w:after="0" w:line="260" w:lineRule="auto"/>
      </w:pPr>
      <w:r>
        <w:tab/>
      </w:r>
      <w:r>
        <w:t xml:space="preserve">1. </w:t>
      </w:r>
      <w:r>
        <w:t>izjavo o vključitvi naložbe v uporabo in račun s specifikacijo, iz katerega so razvidni najmanj serijska številka, tip stroja ali opreme in nazivna moč, ter dobavnico, transportni list ali drugo dokazilo, ki izkazuje prevzem opreme, stroja, aparata za prodajo oziroma mobilnega predelovalnega obrata, če gre za naložbo v nakup stroja, opreme oziroma mobilnega predelovalnega obrata;</w:t>
      </w:r>
    </w:p>
    <w:p>
      <w:pPr>
        <w:spacing w:after="0" w:line="260" w:lineRule="auto"/>
      </w:pPr>
      <w:r>
        <w:tab/>
      </w:r>
      <w:r>
        <w:t xml:space="preserve">2. </w:t>
      </w:r>
      <w:r>
        <w:t>pogodbo o uporabi sistema z elektrooperaterjem v skladu z zakonom, ki ureja oskrbo z električno energijo, če gre za naložbo v nakup opreme za pridobivanje energije iz OVE pod a) 3. točke prvega odstavka 4. člena te uredbe oziroma za naložbo v nakup opreme za pridobivanje energije iz OVE iz 2. točke drugega odstavka 4. člena te uredbe;</w:t>
      </w:r>
    </w:p>
    <w:p>
      <w:pPr>
        <w:spacing w:after="0" w:line="260" w:lineRule="auto"/>
      </w:pPr>
      <w:r>
        <w:tab/>
      </w:r>
      <w:r>
        <w:t xml:space="preserve">3. </w:t>
      </w:r>
      <w:r>
        <w:t>potrdilo o skladnosti vozila z vpisom ustreznosti predelanega vozila v skladu z zakonom, ki ureja motorna vozila, če gre za naložbo iz 6. točke prvega odstavka 4. člena te uredbe oziroma za naložbo iz 4. točke drugega odstavka 4. člena te uredbe;</w:t>
      </w:r>
    </w:p>
    <w:p>
      <w:pPr>
        <w:spacing w:after="0" w:line="260" w:lineRule="auto"/>
      </w:pPr>
      <w:r>
        <w:tab/>
      </w:r>
      <w:r>
        <w:t xml:space="preserve">4. </w:t>
      </w:r>
      <w:r>
        <w:t>datumsko in lokacijsko označene fotografije opreme oziroma stroja, če gre naložbo v nakup mobilnega predelovalnega obrata, nakup namenskega aparata za prodajo, nakup opreme za nadgradnjo lastne mobilne prodajalne ali nakup stroja za prekladanje materialov.</w:t>
      </w:r>
    </w:p>
    <w:p>
      <w:pPr>
        <w:spacing w:after="0" w:line="260" w:lineRule="auto"/>
        <w:rPr>
          <w:rFonts w:ascii="Arial" w:hAnsi="Arial" w:cs="Arial"/>
        </w:rPr>
      </w:pPr>
    </w:p>
    <w:p>
      <w:pPr>
        <w:spacing w:after="0" w:line="260" w:lineRule="auto"/>
      </w:pPr>
      <w:r>
        <w:tab/>
      </w:r>
      <w:r>
        <w:t xml:space="preserve">(2) </w:t>
      </w:r>
      <w:r>
        <w:t>Poleg pogojev iz prejšnjega odstavka morajo biti ob vložitvi zadnjega zahtevka za izplačilo sredstev izpolnjeni tudi naslednji pogoji:</w:t>
      </w:r>
    </w:p>
    <w:p>
      <w:pPr>
        <w:spacing w:after="0" w:line="260" w:lineRule="auto"/>
      </w:pPr>
      <w:r>
        <w:tab/>
      </w:r>
      <w:r>
        <w:t xml:space="preserve">1. </w:t>
      </w:r>
      <w:r>
        <w:t>upravičenec mora imeti živilski obrat vpisan v register obratov v skladu s pravilnikom, ki ureja registracijo in odobritev obratov na področju živil, če gre za naložbo iz 1. oziroma 2. točke drugega odstavka 3. člena te uredbe;</w:t>
      </w:r>
    </w:p>
    <w:p>
      <w:pPr>
        <w:spacing w:after="0" w:line="260" w:lineRule="auto"/>
      </w:pPr>
      <w:r>
        <w:tab/>
      </w:r>
      <w:r>
        <w:t xml:space="preserve">2. </w:t>
      </w:r>
      <w:r>
        <w:t>odgovorna oseba pravne osebe mora biti upravičenka, če so bile vlagatelju pri ocenjevanju vloge na javni razpis dodeljene točke v okviru merila pod a) 2. točke prvega odstavka prejšnjega člena;</w:t>
      </w:r>
    </w:p>
    <w:p>
      <w:pPr>
        <w:spacing w:after="0" w:line="260" w:lineRule="auto"/>
      </w:pPr>
      <w:r>
        <w:tab/>
      </w:r>
      <w:r>
        <w:t xml:space="preserve">3. </w:t>
      </w:r>
      <w:r>
        <w:t>zahtevku za izplačilo sredstev mora biti priložena pogodba o darovanju presežka kmetijskih oziroma nekmetijskih proizvodov, če so bila vlagatelju pri ocenjevanju vloge na javni razpis dodeljene točke v okviru merila pod e) 3. točke prvega odstavka prejšnjega člena.</w:t>
      </w:r>
    </w:p>
    <w:p>
      <w:pPr>
        <w:spacing w:after="0" w:line="260" w:lineRule="auto"/>
        <w:rPr>
          <w:rFonts w:ascii="Arial" w:hAnsi="Arial" w:cs="Arial"/>
        </w:rPr>
      </w:pPr>
    </w:p>
    <w:p>
      <w:pPr>
        <w:spacing w:after="0" w:line="260" w:lineRule="auto"/>
      </w:pPr>
      <w:r>
        <w:tab/>
      </w:r>
      <w:r>
        <w:t xml:space="preserve">(3) </w:t>
      </w:r>
      <w:r>
        <w:t>Za zaključek naložbe se šteje:</w:t>
      </w:r>
    </w:p>
    <w:p>
      <w:pPr>
        <w:spacing w:after="0" w:line="260" w:lineRule="auto"/>
      </w:pPr>
      <w:r>
        <w:tab/>
      </w:r>
      <w:r>
        <w:t xml:space="preserve">1. </w:t>
      </w:r>
      <w:r>
        <w:t>vključitev naložbe v uporabo, kar upravičenec izkaže z izjavo o vključitvi naložbe v uporabo v zahtevku za izplačilo sredstev;</w:t>
      </w:r>
    </w:p>
    <w:p>
      <w:pPr>
        <w:spacing w:after="0" w:line="260" w:lineRule="auto"/>
      </w:pPr>
      <w:r>
        <w:tab/>
      </w:r>
      <w:r>
        <w:t xml:space="preserve">2. </w:t>
      </w:r>
      <w:r>
        <w:t>pravnomočno uporabno dovoljenje, če gre za naložbo v ureditev manj zahtevnega ali zahtevnega objekta.</w:t>
      </w:r>
    </w:p>
    <w:p>
      <w:pPr>
        <w:spacing w:after="0" w:line="260" w:lineRule="auto"/>
        <w:rPr>
          <w:rFonts w:ascii="Arial" w:hAnsi="Arial" w:cs="Arial"/>
        </w:rPr>
      </w:pPr>
    </w:p>
    <w:p>
      <w:pPr>
        <w:spacing w:after="0" w:line="260" w:lineRule="auto"/>
      </w:pPr>
      <w:r>
        <w:tab/>
      </w:r>
      <w:r>
        <w:t xml:space="preserve">(4) </w:t>
      </w:r>
      <w:r>
        <w:t>Upravičenec lahko na posamezno vlogo vloži:</w:t>
      </w:r>
    </w:p>
    <w:p>
      <w:pPr>
        <w:spacing w:after="0" w:line="260" w:lineRule="auto"/>
      </w:pPr>
      <w:r>
        <w:tab/>
      </w:r>
      <w:r>
        <w:t xml:space="preserve">1. </w:t>
      </w:r>
      <w:r>
        <w:t>en zahtevek za izplačilo sredstev, če gre za enostavno naložbo;</w:t>
      </w:r>
    </w:p>
    <w:p>
      <w:pPr>
        <w:spacing w:after="0" w:line="260" w:lineRule="auto"/>
      </w:pPr>
      <w:r>
        <w:tab/>
      </w:r>
      <w:r>
        <w:t xml:space="preserve">2. </w:t>
      </w:r>
      <w:r>
        <w:t>največ tri zahtevke za izplačilo sredstev, če gre za zahtevno naložbo, pri čemer se lahko posamezni zahtevek nanaša na eno vrsto naložbe iz prvega oziroma drugega odstavka 4. člena te uredbe, razen za naložbo v ureditev zahtevnega ali manj zahtevnega objekta, za katero se lahko vložijo največ trije zahtevki za izplačilo sredstev.</w:t>
      </w:r>
    </w:p>
    <w:p>
      <w:pPr>
        <w:pStyle w:val="len"/>
        <w:spacing w:after="0" w:line="260" w:lineRule="auto"/>
      </w:pPr>
      <w:r>
        <w:t>12. člen</w:t>
      </w:r>
    </w:p>
    <w:p>
      <w:pPr>
        <w:pStyle w:val="lennaslov"/>
        <w:spacing w:after="0" w:line="260" w:lineRule="auto"/>
      </w:pPr>
      <w:r>
        <w:t>(obveznosti upravičenca)</w:t>
      </w:r>
    </w:p>
    <w:p>
      <w:pPr>
        <w:spacing w:after="0" w:line="260" w:lineRule="auto"/>
        <w:rPr>
          <w:rFonts w:ascii="Arial" w:hAnsi="Arial" w:cs="Arial"/>
        </w:rPr>
      </w:pPr>
    </w:p>
    <w:p>
      <w:pPr>
        <w:spacing w:after="0" w:line="260" w:lineRule="auto"/>
      </w:pPr>
      <w:r>
        <w:tab/>
      </w:r>
      <w:r>
        <w:t xml:space="preserve">(1) </w:t>
      </w:r>
      <w:r>
        <w:t>Poleg splošnih obveznosti iz uredbe, ki ureja skupne določbe, mora upravičenec izpolniti tudi naslednje obveznosti:</w:t>
      </w:r>
    </w:p>
    <w:p>
      <w:pPr>
        <w:spacing w:after="0" w:line="260" w:lineRule="auto"/>
      </w:pPr>
      <w:r>
        <w:tab/>
      </w:r>
      <w:r>
        <w:t xml:space="preserve">1. </w:t>
      </w:r>
      <w:r>
        <w:t>najpozneje v tretjem koledarskem letu po vložitvi zadnjega zahtevka za izplačilo sredstev mora doseči načrtovani delež odkupa ekoloških proizvodov, za katerega so mu bile dodeljene točke v okviru merila pod b) 1. točke prvega odstavka 10. člena te uredbe, glede na vrednost celotnega odkupa kmetijskih proizvodov od članov vlagatelja ali članov zadruge, ki uporabljajo naložbo. Če je vlagatelj združenje organizacij proizvajalcev, se upošteva načrtovani delež odkupa ekoloških proizvodov glede na vrednost celotnega odkupa kmetijskih proizvodov od organizacij proizvajalcev, ki so povezane v združenje organizacij proizvajalcev;</w:t>
      </w:r>
    </w:p>
    <w:p>
      <w:pPr>
        <w:spacing w:after="0" w:line="260" w:lineRule="auto"/>
      </w:pPr>
      <w:r>
        <w:tab/>
      </w:r>
      <w:r>
        <w:t xml:space="preserve">2. </w:t>
      </w:r>
      <w:r>
        <w:t>tri koledarska leta po vložitvi zadnjega zahtevka za izplačilo sredstev mora poročati o izpolnjevanju obveznosti v skladu s 15. členom te uredbe;</w:t>
      </w:r>
    </w:p>
    <w:p>
      <w:pPr>
        <w:spacing w:after="0" w:line="260" w:lineRule="auto"/>
      </w:pPr>
      <w:r>
        <w:tab/>
      </w:r>
      <w:r>
        <w:t xml:space="preserve">3. </w:t>
      </w:r>
      <w:r>
        <w:t>neprekinjeno tri leta od vložitve zadnjega zahtevka za izplačilo sredstev mora izpolnjevati obveznosti iz 1. točke drugega odstavka prejšnjega člena;</w:t>
      </w:r>
    </w:p>
    <w:p>
      <w:pPr>
        <w:spacing w:after="0" w:line="260" w:lineRule="auto"/>
      </w:pPr>
      <w:r>
        <w:tab/>
      </w:r>
      <w:r>
        <w:t xml:space="preserve">4. </w:t>
      </w:r>
      <w:r>
        <w:t>najmanj pet zaporednih koledarskih let po vložitvi zadnjega zahtevka za izplačilo sredstev:</w:t>
      </w:r>
    </w:p>
    <w:p>
      <w:pPr>
        <w:spacing w:after="0" w:line="260" w:lineRule="auto"/>
      </w:pPr>
      <w:r>
        <w:tab/>
      </w:r>
      <w:r>
        <w:t xml:space="preserve">a) </w:t>
      </w:r>
      <w:r>
        <w:t>mora vsako leto do 15. oktobra Agenciji Republike Slovenije za kmetijske trge in razvoj podeželja (v nadaljnjem besedilu: agencija) poslati podatke knjigovodstva,</w:t>
      </w:r>
    </w:p>
    <w:p>
      <w:pPr>
        <w:spacing w:after="0" w:line="260" w:lineRule="auto"/>
      </w:pPr>
      <w:r>
        <w:tab/>
      </w:r>
      <w:r>
        <w:t xml:space="preserve">b) </w:t>
      </w:r>
      <w:r>
        <w:t>mora naložbo, ki je predmet podpore, v skladu z uredbo, ki ureja skupne določbe, uporabljati za namen dejavnosti iz drugega odstavka 3. člena te uredbe, za katero mu je bila dodeljena podpora,</w:t>
      </w:r>
    </w:p>
    <w:p>
      <w:pPr>
        <w:spacing w:after="0" w:line="260" w:lineRule="auto"/>
      </w:pPr>
      <w:r>
        <w:tab/>
      </w:r>
      <w:r>
        <w:t xml:space="preserve">c) </w:t>
      </w:r>
      <w:r>
        <w:t>mora biti surovina za pridobivanje energije lesna biomasa oziroma kmetijski proizvod, če gre za naložbo v nakup opreme za pridobivanje energije iz OVE, pri čemer uporaba žita in drugih poljščin, bogatih s škrobom in sladkorjem, ter oljnic ni dovoljena,</w:t>
      </w:r>
    </w:p>
    <w:p>
      <w:pPr>
        <w:spacing w:after="0" w:line="260" w:lineRule="auto"/>
      </w:pPr>
      <w:r>
        <w:tab/>
      </w:r>
      <w:r>
        <w:t xml:space="preserve">č) </w:t>
      </w:r>
      <w:r>
        <w:t>mora voditi seznam članov, ki uporabljajo naložbo, če je upravičenec zadruga. Seznam članov iz te točke se priloži poročilu o izpolnjevanju obveznosti iz 15. člena te uredbe.</w:t>
      </w:r>
    </w:p>
    <w:p>
      <w:pPr>
        <w:spacing w:after="0" w:line="260" w:lineRule="auto"/>
        <w:rPr>
          <w:rFonts w:ascii="Arial" w:hAnsi="Arial" w:cs="Arial"/>
        </w:rPr>
      </w:pPr>
    </w:p>
    <w:p>
      <w:pPr>
        <w:spacing w:after="0" w:line="260" w:lineRule="auto"/>
      </w:pPr>
      <w:r>
        <w:tab/>
      </w:r>
      <w:r>
        <w:t xml:space="preserve">(2) </w:t>
      </w:r>
      <w:r>
        <w:t>Če gre za naložbo v nakup stroja, za katerega je obvezno ugotavljanje skladnosti s standardi in predpisi o varnosti strojev, mora upravičenec dokument, ki to izkazuje, hraniti na kraju samem, ter ga predložiti na zahtevo agencije.</w:t>
      </w:r>
    </w:p>
    <w:p>
      <w:pPr>
        <w:pStyle w:val="len"/>
        <w:spacing w:after="0" w:line="260" w:lineRule="auto"/>
      </w:pPr>
      <w:r>
        <w:t>13. člen</w:t>
      </w:r>
    </w:p>
    <w:p>
      <w:pPr>
        <w:pStyle w:val="lennaslov"/>
        <w:spacing w:after="0" w:line="260" w:lineRule="auto"/>
      </w:pPr>
      <w:r>
        <w:t>(javni razpis)</w:t>
      </w:r>
    </w:p>
    <w:p>
      <w:pPr>
        <w:spacing w:after="0" w:line="260" w:lineRule="auto"/>
        <w:rPr>
          <w:rFonts w:ascii="Arial" w:hAnsi="Arial" w:cs="Arial"/>
        </w:rPr>
      </w:pPr>
    </w:p>
    <w:p>
      <w:pPr>
        <w:spacing w:after="0" w:line="260" w:lineRule="auto"/>
      </w:pPr>
      <w:r>
        <w:tab/>
      </w:r>
      <w:r>
        <w:t xml:space="preserve">(1) </w:t>
      </w:r>
      <w:r>
        <w:t>Sredstva se razpišejo z zaprtim javnim razpisom v skladu z zakonom, ki ureja kmetijstvo.</w:t>
      </w:r>
    </w:p>
    <w:p>
      <w:pPr>
        <w:spacing w:after="0" w:line="260" w:lineRule="auto"/>
        <w:rPr>
          <w:rFonts w:ascii="Arial" w:hAnsi="Arial" w:cs="Arial"/>
        </w:rPr>
      </w:pPr>
    </w:p>
    <w:p>
      <w:pPr>
        <w:spacing w:after="0" w:line="260" w:lineRule="auto"/>
      </w:pPr>
      <w:r>
        <w:tab/>
      </w:r>
      <w:r>
        <w:t xml:space="preserve">(2) </w:t>
      </w:r>
      <w:r>
        <w:t>Vlaganje vlog na javni razpis se začne prvi delovni dan po izteku 21 dni od objave javnega razpisa.</w:t>
      </w:r>
    </w:p>
    <w:p>
      <w:pPr>
        <w:spacing w:after="0" w:line="260" w:lineRule="auto"/>
        <w:rPr>
          <w:rFonts w:ascii="Arial" w:hAnsi="Arial" w:cs="Arial"/>
        </w:rPr>
      </w:pPr>
    </w:p>
    <w:p>
      <w:pPr>
        <w:spacing w:after="0" w:line="260" w:lineRule="auto"/>
      </w:pPr>
      <w:r>
        <w:tab/>
      </w:r>
      <w:r>
        <w:t xml:space="preserve">(3) </w:t>
      </w:r>
      <w:r>
        <w:t>Če dve ali več vlog na javni razpis prejmejo enako število točk in razpisana sredstva ne zadoščajo za odobritev vseh teh vlog v celoti, se vloge izberejo na podlagi ponderiranja meril za ocenjevanje vlog, ki se določi v javnem razpisu.</w:t>
      </w:r>
    </w:p>
    <w:p>
      <w:pPr>
        <w:spacing w:after="0" w:line="260" w:lineRule="auto"/>
        <w:rPr>
          <w:rFonts w:ascii="Arial" w:hAnsi="Arial" w:cs="Arial"/>
        </w:rPr>
      </w:pPr>
    </w:p>
    <w:p>
      <w:pPr>
        <w:spacing w:after="0" w:line="260" w:lineRule="auto"/>
      </w:pPr>
      <w:r>
        <w:tab/>
      </w:r>
      <w:r>
        <w:t xml:space="preserve">(4) </w:t>
      </w:r>
      <w:r>
        <w:t>V skladu z zakonom, ki ureja kmetijstvo, se prva vloga na javni razpis po vrstnem redu točkovanja, ki izpolnjuje predpisane pogoje in dosega zadostno število točk, vendar razpoložljiva sredstva ne zadoščajo za dodelitev sredstev v celoti, odobri do višine razpoložljivih sredstev:</w:t>
      </w:r>
    </w:p>
    <w:p>
      <w:pPr>
        <w:spacing w:after="0" w:line="260" w:lineRule="auto"/>
      </w:pPr>
      <w:r>
        <w:tab/>
      </w:r>
      <w:r>
        <w:t xml:space="preserve">1. </w:t>
      </w:r>
      <w:r>
        <w:t>če se vlagatelj s tem strinja, kar izkaže z izjavo, ki jo mora poslati agenciji v 15 dneh od vročitve obvestila o tem, da razpoložljiva sredstva ne zadoščajo za dodelitev sredstev v celoti, in</w:t>
      </w:r>
    </w:p>
    <w:p>
      <w:pPr>
        <w:spacing w:after="0" w:line="260" w:lineRule="auto"/>
      </w:pPr>
      <w:r>
        <w:tab/>
      </w:r>
      <w:r>
        <w:t xml:space="preserve">2. </w:t>
      </w:r>
      <w:r>
        <w:t>če vlagatelj v roku iz prejšnje točke agenciji predloži nov izkaz o zaprtosti finančne konstrukcije iz uredbe, ki ureja skupne določbe.</w:t>
      </w:r>
    </w:p>
    <w:p>
      <w:pPr>
        <w:spacing w:after="0" w:line="260" w:lineRule="auto"/>
        <w:rPr>
          <w:rFonts w:ascii="Arial" w:hAnsi="Arial" w:cs="Arial"/>
        </w:rPr>
      </w:pPr>
    </w:p>
    <w:p>
      <w:pPr>
        <w:spacing w:after="0" w:line="260" w:lineRule="auto"/>
      </w:pPr>
      <w:r>
        <w:tab/>
      </w:r>
      <w:r>
        <w:t xml:space="preserve">(5) </w:t>
      </w:r>
      <w:r>
        <w:t>V javnem razpisu se podrobneje določijo vrste naložb, višina razpisanih sredstev, upravičeni in neupravičeni stroški, pogoji in dokazila za dodelitev podpore, merila in točkovnik za ocenjevanje vlog, pogoji in dokazila za izplačilo sredstev in obveznosti upravičenca.</w:t>
      </w:r>
    </w:p>
    <w:p>
      <w:pPr>
        <w:pStyle w:val="len"/>
        <w:spacing w:after="0" w:line="260" w:lineRule="auto"/>
      </w:pPr>
      <w:r>
        <w:t>14. člen</w:t>
      </w:r>
    </w:p>
    <w:p>
      <w:pPr>
        <w:pStyle w:val="lennaslov"/>
        <w:spacing w:after="0" w:line="260" w:lineRule="auto"/>
      </w:pPr>
      <w:r>
        <w:t>(finančne določbe)</w:t>
      </w:r>
    </w:p>
    <w:p>
      <w:pPr>
        <w:spacing w:after="0" w:line="260" w:lineRule="auto"/>
        <w:rPr>
          <w:rFonts w:ascii="Arial" w:hAnsi="Arial" w:cs="Arial"/>
        </w:rPr>
      </w:pPr>
    </w:p>
    <w:p>
      <w:pPr>
        <w:spacing w:after="0" w:line="260" w:lineRule="auto"/>
      </w:pPr>
      <w:r>
        <w:tab/>
      </w:r>
      <w:r>
        <w:t xml:space="preserve">(1) </w:t>
      </w:r>
      <w:r>
        <w:t>Stopnja javne podpore je 50 % upravičenih stroškov naložbe.</w:t>
      </w:r>
    </w:p>
    <w:p>
      <w:pPr>
        <w:spacing w:after="0" w:line="260" w:lineRule="auto"/>
        <w:rPr>
          <w:rFonts w:ascii="Arial" w:hAnsi="Arial" w:cs="Arial"/>
        </w:rPr>
      </w:pPr>
    </w:p>
    <w:p>
      <w:pPr>
        <w:spacing w:after="0" w:line="260" w:lineRule="auto"/>
      </w:pPr>
      <w:r>
        <w:tab/>
      </w:r>
      <w:r>
        <w:t xml:space="preserve">(2) </w:t>
      </w:r>
      <w:r>
        <w:t>Pri določitvi višine podpore kot regionalne pomoči:</w:t>
      </w:r>
    </w:p>
    <w:p>
      <w:pPr>
        <w:spacing w:after="0" w:line="260" w:lineRule="auto"/>
      </w:pPr>
      <w:r>
        <w:tab/>
      </w:r>
      <w:r>
        <w:t xml:space="preserve">1. </w:t>
      </w:r>
      <w:r>
        <w:t>se upošteva stopnja javne podpore v skladu s prejšnjim odstavkom, pri čemer stopnja javne podpore ne sme preseči stopnje javne podpore, določene v uredbi, ki ureja karto regionalne pomoči;</w:t>
      </w:r>
    </w:p>
    <w:p>
      <w:pPr>
        <w:spacing w:after="0" w:line="260" w:lineRule="auto"/>
      </w:pPr>
      <w:r>
        <w:tab/>
      </w:r>
      <w:r>
        <w:t xml:space="preserve">2. </w:t>
      </w:r>
      <w:r>
        <w:t>najvišji dovoljeni znesek pomoči ne sme presegati najvišjega zneska pomoči, izračunanega na podlagi dovoljenih intenzivnosti pomoči, kot so določene v uredbi, ki ureja karto regionalne pomoči;</w:t>
      </w:r>
    </w:p>
    <w:p>
      <w:pPr>
        <w:spacing w:after="0" w:line="260" w:lineRule="auto"/>
      </w:pPr>
      <w:r>
        <w:tab/>
      </w:r>
      <w:r>
        <w:t xml:space="preserve">3. </w:t>
      </w:r>
      <w:r>
        <w:t>v primeru velikega naložbenega projekta iz 52. točke 2. člena ali 13. točke 14. člena Uredbe 651/2014/EU najvišja dovoljena pomoč ne sme presegati prilagojenega zneska pomoči, izračunanega na podlagi enačbe iz 20. točke 2. člena Uredbe 651/2014/EU.</w:t>
      </w:r>
    </w:p>
    <w:p>
      <w:pPr>
        <w:spacing w:after="0" w:line="260" w:lineRule="auto"/>
        <w:rPr>
          <w:rFonts w:ascii="Arial" w:hAnsi="Arial" w:cs="Arial"/>
        </w:rPr>
      </w:pPr>
    </w:p>
    <w:p>
      <w:pPr>
        <w:spacing w:after="0" w:line="260" w:lineRule="auto"/>
      </w:pPr>
      <w:r>
        <w:tab/>
      </w:r>
      <w:r>
        <w:t xml:space="preserve">(3) </w:t>
      </w:r>
      <w:r>
        <w:t>Najnižji znesek javne podpore je 10.000 eurov na vlogo.</w:t>
      </w:r>
    </w:p>
    <w:p>
      <w:pPr>
        <w:pStyle w:val="len"/>
        <w:spacing w:after="0" w:line="260" w:lineRule="auto"/>
      </w:pPr>
      <w:r>
        <w:t>15. člen</w:t>
      </w:r>
    </w:p>
    <w:p>
      <w:pPr>
        <w:pStyle w:val="lennaslov"/>
        <w:spacing w:after="0" w:line="260" w:lineRule="auto"/>
      </w:pPr>
      <w:r>
        <w:t>(poročilo o izpolnjevanju obveznosti)</w:t>
      </w:r>
    </w:p>
    <w:p>
      <w:pPr>
        <w:spacing w:after="0" w:line="260" w:lineRule="auto"/>
        <w:rPr>
          <w:rFonts w:ascii="Arial" w:hAnsi="Arial" w:cs="Arial"/>
        </w:rPr>
      </w:pPr>
    </w:p>
    <w:p>
      <w:pPr>
        <w:spacing w:after="0" w:line="260" w:lineRule="auto"/>
      </w:pPr>
      <w:r>
        <w:tab/>
      </w:r>
      <w:r>
        <w:t>Upravičenec ali njegov pooblaščenec predloži poročilo o obveznostih iz 1. točke prvega odstavka 12. člena te uredbe do 15. oktobra tekočega leta za obveznosti iz prejšnjega koledarskega leta, in sicer v aplikacijo, ki je za ta namen vzpostavljena na osrednjem spletnem mestu državne uprave, in na način, kot je določen za vložitev vloge na javni razpis v skladu z uredbo, ki ureja skupne določbe.</w:t>
      </w:r>
    </w:p>
    <w:p>
      <w:pPr>
        <w:pStyle w:val="len"/>
        <w:spacing w:after="0" w:line="260" w:lineRule="auto"/>
      </w:pPr>
      <w:r>
        <w:t>16. člen</w:t>
      </w:r>
    </w:p>
    <w:p>
      <w:pPr>
        <w:pStyle w:val="lennaslov"/>
        <w:spacing w:after="0" w:line="260" w:lineRule="auto"/>
      </w:pPr>
      <w:r>
        <w:t>(predplačilo)</w:t>
      </w:r>
    </w:p>
    <w:p>
      <w:pPr>
        <w:spacing w:after="0" w:line="260" w:lineRule="auto"/>
        <w:rPr>
          <w:rFonts w:ascii="Arial" w:hAnsi="Arial" w:cs="Arial"/>
        </w:rPr>
      </w:pPr>
    </w:p>
    <w:p>
      <w:pPr>
        <w:spacing w:after="0" w:line="260" w:lineRule="auto"/>
      </w:pPr>
      <w:r>
        <w:tab/>
      </w:r>
      <w:r>
        <w:t>Upravičenec lahko uveljavlja predplačilo do vključno 50 % odobrenih sredstev v skladu z uredbo, ki ureja skupne določbe.</w:t>
      </w:r>
    </w:p>
    <w:p>
      <w:pPr>
        <w:pStyle w:val="len"/>
        <w:spacing w:after="0" w:line="260" w:lineRule="auto"/>
      </w:pPr>
      <w:r>
        <w:t>17. člen</w:t>
      </w:r>
    </w:p>
    <w:p>
      <w:pPr>
        <w:pStyle w:val="lennaslov"/>
        <w:spacing w:after="0" w:line="260" w:lineRule="auto"/>
      </w:pPr>
      <w:r>
        <w:t>(odrek pravici do sredstev)</w:t>
      </w:r>
    </w:p>
    <w:p>
      <w:pPr>
        <w:spacing w:after="0" w:line="260" w:lineRule="auto"/>
        <w:rPr>
          <w:rFonts w:ascii="Arial" w:hAnsi="Arial" w:cs="Arial"/>
        </w:rPr>
      </w:pPr>
    </w:p>
    <w:p>
      <w:pPr>
        <w:spacing w:after="0" w:line="260" w:lineRule="auto"/>
      </w:pPr>
      <w:r>
        <w:tab/>
      </w:r>
      <w:r>
        <w:t>Če se upravičenec odreče pravici do sredstev iz odločbe o pravici do sredstev, o tem v skladu z zakonom, ki ureja kmetijstvo, pisno obvesti agencijo najpozneje v 90 dneh od dneva vročitve odločbe o pravici do sredstev.</w:t>
      </w:r>
    </w:p>
    <w:p>
      <w:pPr>
        <w:pStyle w:val="len"/>
        <w:spacing w:after="0" w:line="260" w:lineRule="auto"/>
      </w:pPr>
      <w:r>
        <w:t>18. člen</w:t>
      </w:r>
    </w:p>
    <w:p>
      <w:pPr>
        <w:pStyle w:val="lennaslov"/>
        <w:spacing w:after="0" w:line="260" w:lineRule="auto"/>
      </w:pPr>
      <w:r>
        <w:t>(majhna naložba in majhno tveganje za namen izvajanja upravnega pregleda)</w:t>
      </w:r>
    </w:p>
    <w:p>
      <w:pPr>
        <w:spacing w:after="0" w:line="260" w:lineRule="auto"/>
        <w:rPr>
          <w:rFonts w:ascii="Arial" w:hAnsi="Arial" w:cs="Arial"/>
        </w:rPr>
      </w:pPr>
    </w:p>
    <w:p>
      <w:pPr>
        <w:spacing w:after="0" w:line="260" w:lineRule="auto"/>
      </w:pPr>
      <w:r>
        <w:tab/>
      </w:r>
      <w:r>
        <w:t xml:space="preserve">(1) </w:t>
      </w:r>
      <w:r>
        <w:t>Za majhno naložbo iz uredbe, ki ureja skupne določbe, se šteje ena ali več naložb, ki se uveljavljajo z vlogo na posamezni javni razpis in za katere je skupno odobrenih do vključno 15.000 eurov sredstev.</w:t>
      </w:r>
    </w:p>
    <w:p>
      <w:pPr>
        <w:spacing w:after="0" w:line="260" w:lineRule="auto"/>
        <w:rPr>
          <w:rFonts w:ascii="Arial" w:hAnsi="Arial" w:cs="Arial"/>
        </w:rPr>
      </w:pPr>
    </w:p>
    <w:p>
      <w:pPr>
        <w:spacing w:after="0" w:line="260" w:lineRule="auto"/>
      </w:pPr>
      <w:r>
        <w:tab/>
      </w:r>
      <w:r>
        <w:t xml:space="preserve">(2) </w:t>
      </w:r>
      <w:r>
        <w:t>Za naložbo z majhnim tveganjem, da pogoji za izplačilo sredstev ne bi bili izpolnjeni ali da naložba ne bi bila izvedena, iz uredbe, ki ureja skupne določbe, se štejeta naložba iz 2. točke prvega odstavka 4. člena te uredbe in naložba iz 4. točke drugega odstavka 4. člena te uredbe.</w:t>
      </w:r>
    </w:p>
    <w:p>
      <w:pPr>
        <w:spacing w:after="0" w:line="260" w:lineRule="auto"/>
        <w:rPr>
          <w:rFonts w:ascii="Arial" w:hAnsi="Arial" w:cs="Arial"/>
        </w:rPr>
      </w:pPr>
    </w:p>
    <w:p>
      <w:pPr>
        <w:spacing w:after="0" w:line="260" w:lineRule="auto"/>
      </w:pPr>
      <w:r>
        <w:tab/>
      </w:r>
      <w:r>
        <w:t xml:space="preserve">(3) </w:t>
      </w:r>
      <w:r>
        <w:t>Ne glede na prejšnji odstavek se naložba ne šteje za naložbo z majhnim tveganjem, če je z odločbo o pravici do sredstev poleg naložbe iz prejšnjega odstavka odobrena tudi druga vrsta naložbe.</w:t>
      </w:r>
    </w:p>
    <w:p>
      <w:pPr>
        <w:pStyle w:val="len"/>
        <w:spacing w:after="0" w:line="260" w:lineRule="auto"/>
      </w:pPr>
      <w:r>
        <w:t>19. člen</w:t>
      </w:r>
    </w:p>
    <w:p>
      <w:pPr>
        <w:pStyle w:val="lennaslov"/>
        <w:spacing w:after="0" w:line="260" w:lineRule="auto"/>
      </w:pPr>
      <w:r>
        <w:t>(upravne sankcije)</w:t>
      </w:r>
    </w:p>
    <w:p>
      <w:pPr>
        <w:spacing w:after="0" w:line="260" w:lineRule="auto"/>
        <w:rPr>
          <w:rFonts w:ascii="Arial" w:hAnsi="Arial" w:cs="Arial"/>
        </w:rPr>
      </w:pPr>
    </w:p>
    <w:p>
      <w:pPr>
        <w:spacing w:after="0" w:line="260" w:lineRule="auto"/>
      </w:pPr>
      <w:r>
        <w:tab/>
      </w:r>
      <w:r>
        <w:t xml:space="preserve">(1) </w:t>
      </w:r>
      <w:r>
        <w:t>Upravičenec, ki ne izpolni obveznosti iz 1. točke prvega odstavka 12. člena te uredbe, mora v proračun Republike Slovenije vrniti izplačana sredstva, in sicer:</w:t>
      </w:r>
    </w:p>
    <w:p>
      <w:pPr>
        <w:spacing w:after="0" w:line="260" w:lineRule="auto"/>
      </w:pPr>
      <w:r>
        <w:tab/>
      </w:r>
      <w:r>
        <w:t xml:space="preserve">1. </w:t>
      </w:r>
      <w:r>
        <w:t>20 % izplačanih sredstev, če izpolni najmanj 70 % in manj kot 80 % zahtevanega odkupa ekoloških proizvodov;</w:t>
      </w:r>
    </w:p>
    <w:p>
      <w:pPr>
        <w:spacing w:after="0" w:line="260" w:lineRule="auto"/>
      </w:pPr>
      <w:r>
        <w:tab/>
      </w:r>
      <w:r>
        <w:t xml:space="preserve">2. </w:t>
      </w:r>
      <w:r>
        <w:t>50 % izplačanih sredstev, če izpolni najmanj 60 % in manj kot 70 % zahtevanega odkupa ekoloških proizvodov;</w:t>
      </w:r>
    </w:p>
    <w:p>
      <w:pPr>
        <w:spacing w:after="0" w:line="260" w:lineRule="auto"/>
      </w:pPr>
      <w:r>
        <w:tab/>
      </w:r>
      <w:r>
        <w:t xml:space="preserve">3. </w:t>
      </w:r>
      <w:r>
        <w:t>vsa izplačana sredstva, če izpolni manj kot 60 % zahtevanega odkupa ekoloških proizvodov.</w:t>
      </w:r>
    </w:p>
    <w:p>
      <w:pPr>
        <w:spacing w:after="0" w:line="260" w:lineRule="auto"/>
        <w:rPr>
          <w:rFonts w:ascii="Arial" w:hAnsi="Arial" w:cs="Arial"/>
        </w:rPr>
      </w:pPr>
    </w:p>
    <w:p>
      <w:pPr>
        <w:spacing w:after="0" w:line="260" w:lineRule="auto"/>
      </w:pPr>
      <w:r>
        <w:tab/>
      </w:r>
      <w:r>
        <w:t xml:space="preserve">(2) </w:t>
      </w:r>
      <w:r>
        <w:t>Upravičenec, ki ne izpolni obveznosti iz 3. točke prvega odstavka 12. člena te uredbe, mora v proračun Republike Slovenije vrniti izplačana sredstva, in sicer:</w:t>
      </w:r>
    </w:p>
    <w:p>
      <w:pPr>
        <w:spacing w:after="0" w:line="260" w:lineRule="auto"/>
      </w:pPr>
      <w:r>
        <w:tab/>
      </w:r>
      <w:r>
        <w:t xml:space="preserve">1. </w:t>
      </w:r>
      <w:r>
        <w:t>po prvi ugotovljeni kršitvi 50 % izplačanih sredstev;</w:t>
      </w:r>
    </w:p>
    <w:p>
      <w:pPr>
        <w:spacing w:after="0" w:line="260" w:lineRule="auto"/>
      </w:pPr>
      <w:r>
        <w:tab/>
      </w:r>
      <w:r>
        <w:t xml:space="preserve">2. </w:t>
      </w:r>
      <w:r>
        <w:t>po drugi ugotovljeni kršitvi razliko med skupno višino izplačanih sredstev in vrnjenimi sredstvi.</w:t>
      </w:r>
    </w:p>
    <w:p>
      <w:pPr>
        <w:spacing w:after="0" w:line="260" w:lineRule="auto"/>
        <w:rPr>
          <w:rFonts w:ascii="Arial" w:hAnsi="Arial" w:cs="Arial"/>
        </w:rPr>
      </w:pPr>
    </w:p>
    <w:p>
      <w:pPr>
        <w:spacing w:after="0" w:line="260" w:lineRule="auto"/>
      </w:pPr>
      <w:r>
        <w:tab/>
      </w:r>
      <w:r>
        <w:t xml:space="preserve">(3) </w:t>
      </w:r>
      <w:r>
        <w:t>Upravičenec, ki ne izpolni obveznosti pod a) 4. točke prvega odstavka 12. člena te uredbe, mora v proračun Republike Slovenije vrniti izplačana sredstva, in sicer:</w:t>
      </w:r>
    </w:p>
    <w:p>
      <w:pPr>
        <w:spacing w:after="0" w:line="260" w:lineRule="auto"/>
      </w:pPr>
      <w:r>
        <w:tab/>
      </w:r>
      <w:r>
        <w:t xml:space="preserve">1. </w:t>
      </w:r>
      <w:r>
        <w:t>po prvi ugotovljeni kršitvi 10 % izplačanih sredstev;</w:t>
      </w:r>
    </w:p>
    <w:p>
      <w:pPr>
        <w:spacing w:after="0" w:line="260" w:lineRule="auto"/>
      </w:pPr>
      <w:r>
        <w:tab/>
      </w:r>
      <w:r>
        <w:t xml:space="preserve">2. </w:t>
      </w:r>
      <w:r>
        <w:t>po drugi ugotovljeni kršitvi 50 % izplačanih sredstev;</w:t>
      </w:r>
    </w:p>
    <w:p>
      <w:pPr>
        <w:spacing w:after="0" w:line="260" w:lineRule="auto"/>
      </w:pPr>
      <w:r>
        <w:tab/>
      </w:r>
      <w:r>
        <w:t xml:space="preserve">3. </w:t>
      </w:r>
      <w:r>
        <w:t>po tretji ugotovljeni kršitvi razliko med skupno višino izplačanih sredstev in vrnjenimi sredstvi.</w:t>
      </w:r>
    </w:p>
    <w:p>
      <w:pPr>
        <w:spacing w:after="0" w:line="260" w:lineRule="auto"/>
        <w:rPr>
          <w:rFonts w:ascii="Arial" w:hAnsi="Arial" w:cs="Arial"/>
        </w:rPr>
      </w:pPr>
    </w:p>
    <w:p>
      <w:pPr>
        <w:spacing w:after="0" w:line="260" w:lineRule="auto"/>
      </w:pPr>
      <w:r>
        <w:tab/>
      </w:r>
      <w:r>
        <w:t xml:space="preserve">(4) </w:t>
      </w:r>
      <w:r>
        <w:t>Upravičenec, ki ne izpolni obveznosti pod c) 4. točke prvega odstavka 12. člena te uredbe, mora v proračun Republike Slovenije vrniti 30 % izplačanih sredstev.</w:t>
      </w:r>
    </w:p>
    <w:p>
      <w:pPr>
        <w:spacing w:after="0" w:line="260" w:lineRule="auto"/>
        <w:rPr>
          <w:rFonts w:ascii="Arial" w:hAnsi="Arial" w:cs="Arial"/>
        </w:rPr>
      </w:pPr>
    </w:p>
    <w:p>
      <w:pPr>
        <w:spacing w:after="0" w:line="260" w:lineRule="auto"/>
      </w:pPr>
      <w:r>
        <w:tab/>
      </w:r>
      <w:r>
        <w:t xml:space="preserve">(5) </w:t>
      </w:r>
      <w:r>
        <w:t>Upravičenec, ki ne izpolni obveznosti pod č) 4. točke prvega odstavka 12. člena te uredbe ali ne izpolni obveznosti iz 2. točke prvega odstavka 12. člena te uredbe:</w:t>
      </w:r>
    </w:p>
    <w:p>
      <w:pPr>
        <w:spacing w:after="0" w:line="260" w:lineRule="auto"/>
      </w:pPr>
      <w:r>
        <w:tab/>
      </w:r>
      <w:r>
        <w:t xml:space="preserve">1. </w:t>
      </w:r>
      <w:r>
        <w:t>po prvi ugotovljeni kršitvi dobi opozorilo;</w:t>
      </w:r>
    </w:p>
    <w:p>
      <w:pPr>
        <w:spacing w:after="0" w:line="260" w:lineRule="auto"/>
      </w:pPr>
      <w:r>
        <w:tab/>
      </w:r>
      <w:r>
        <w:t xml:space="preserve">2. </w:t>
      </w:r>
      <w:r>
        <w:t>po drugi ugotovljeni kršitvi mora v proračun Republike Slovenije vrniti 50 % izplačanih sredstev;</w:t>
      </w:r>
    </w:p>
    <w:p>
      <w:pPr>
        <w:spacing w:after="0" w:line="260" w:lineRule="auto"/>
      </w:pPr>
      <w:r>
        <w:tab/>
      </w:r>
      <w:r>
        <w:t xml:space="preserve">3. </w:t>
      </w:r>
      <w:r>
        <w:t>po tretji ugotovljeni kršitvi mora v proračun Republike Slovenije vrniti razliko med skupno višino izplačanih sredstev in vrnjenimi sredstvi.</w:t>
      </w:r>
    </w:p>
    <w:p>
      <w:pPr>
        <w:pStyle w:val="Poglavje"/>
        <w:spacing w:after="0" w:line="260" w:lineRule="auto"/>
      </w:pPr>
      <w:r>
        <w:t>KONČNA DOLOČBA</w:t>
      </w:r>
    </w:p>
    <w:p>
      <w:pPr>
        <w:pStyle w:val="len"/>
        <w:spacing w:after="0" w:line="260" w:lineRule="auto"/>
      </w:pPr>
      <w:r>
        <w:t>20.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uredba začne veljati petnajsti dan po objavi v Uradnem listu Republike Slovenije.</w:t>
      </w:r>
    </w:p>
    <w:p>
      <w:pPr>
        <w:spacing w:after="0" w:line="260" w:lineRule="auto"/>
        <w:rPr>
          <w:rFonts w:ascii="Arial" w:hAnsi="Arial" w:cs="Arial"/>
        </w:rPr>
      </w:pPr>
    </w:p>
    <w:p>
      <w:pPr>
        <w:spacing w:after="0" w:line="260" w:lineRule="auto"/>
      </w:pPr>
      <w:r>
        <w:t>Št. [007-452/2025</w:t>
      </w:r>
      <w:r>
        <w:t>]</w:t>
      </w:r>
    </w:p>
    <w:p>
      <w:pPr>
        <w:spacing w:after="0" w:line="260" w:lineRule="auto"/>
        <w:rPr>
          <w:rFonts w:ascii="Arial" w:hAnsi="Arial" w:cs="Arial"/>
        </w:rPr>
      </w:pPr>
    </w:p>
    <w:p>
      <w:pPr>
        <w:spacing w:after="0" w:line="260" w:lineRule="auto"/>
      </w:pPr>
      <w:r>
        <w:t>Ljubljana,</w:t>
      </w:r>
    </w:p>
    <w:p>
      <w:pPr>
        <w:spacing w:after="0" w:line="260" w:lineRule="auto"/>
        <w:rPr>
          <w:rFonts w:ascii="Arial" w:hAnsi="Arial" w:cs="Arial"/>
        </w:rPr>
      </w:pPr>
    </w:p>
    <w:p>
      <w:pPr>
        <w:spacing w:after="0" w:line="260" w:lineRule="auto"/>
      </w:pPr>
      <w:r>
        <w:t>EVA 2025-2330-0103</w:t>
      </w:r>
    </w:p>
    <w:p>
      <w:pPr>
        <w:spacing w:after="0" w:line="260" w:lineRule="auto"/>
        <w:rPr>
          <w:rFonts w:ascii="Arial" w:hAnsi="Arial" w:cs="Arial"/>
        </w:rPr>
      </w:pPr>
    </w:p>
    <w:p>
      <w:pPr>
        <w:pStyle w:val="Podpisnik"/>
        <w:spacing w:after="0" w:line="260" w:lineRule="auto"/>
      </w:pPr>
      <w:r>
        <w:t>Vlada Republike Slovenije</w:t>
      </w:r>
      <w:r>
        <w:br/>
      </w:r>
      <w:r>
        <w:t>Janez Janša</w:t>
      </w:r>
      <w:r>
        <w:br/>
      </w:r>
      <w:r>
        <w:t>predsednik</w:t>
      </w:r>
    </w:p>
    <w:p>
      <w:pPr>
        <w:spacing w:after="0" w:line="260" w:lineRule="auto"/>
        <w:rPr>
          <w:rFonts w:ascii="Arial" w:hAnsi="Arial" w:cs="Arial"/>
        </w:rPr>
      </w:pPr>
    </w:p>
    <w:p>
      <w:pPr>
        <w:spacing w:after="0" w:line="240" w:lineRule="auto"/>
      </w:pPr>
      <w:r>
        <w:t xml:space="preserve">Priloga: </w:t>
      </w:r>
    </w:p>
    <w:p>
      <w:pPr>
        <w:spacing w:after="0" w:line="240" w:lineRule="auto"/>
      </w:pPr>
      <w:r>
        <w:t>Priloga.docx</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Člen določa pravno podlago za izvajanje intervencije  kolektivne naložbe v kmetijstvu za skupno predelavo in trženje kmetijskih proizvodov in razvoj močnih in odpornih verig vrednosti preskrbe s hrano.</w:t>
      </w:r>
    </w:p>
    <w:p>
      <w:pPr>
        <w:spacing w:after="0" w:line="240" w:lineRule="auto"/>
      </w:pPr>
      <w:r>
        <w:t>Podlaga za dodeljevanje podpore je prvi odstavek 44. člena Zakona o kmetijstvu (Uradni list RS, št. 100/25).</w:t>
      </w:r>
    </w:p>
    <w:p>
      <w:pPr>
        <w:spacing w:after="0" w:line="260" w:lineRule="auto"/>
        <w:rPr>
          <w:rFonts w:ascii="Arial" w:hAnsi="Arial" w:cs="Arial"/>
        </w:rPr>
      </w:pPr>
    </w:p>
    <w:p>
      <w:pPr>
        <w:pStyle w:val="Odebeljeno"/>
        <w:spacing w:after="0" w:line="260" w:lineRule="auto"/>
      </w:pPr>
      <w:r>
        <w:t>K 2. členu:</w:t>
      </w:r>
    </w:p>
    <w:p>
      <w:pPr>
        <w:spacing w:after="0" w:line="240" w:lineRule="auto"/>
      </w:pPr>
      <w:r>
        <w:t>S členom se določa pomen ključnih izrazov, s čemer se preprečijo različne razlage in olajša uporaba uredbe v praksi.</w:t>
      </w:r>
    </w:p>
    <w:p>
      <w:pPr>
        <w:spacing w:after="0" w:line="260" w:lineRule="auto"/>
        <w:rPr>
          <w:rFonts w:ascii="Arial" w:hAnsi="Arial" w:cs="Arial"/>
        </w:rPr>
      </w:pPr>
    </w:p>
    <w:p>
      <w:pPr>
        <w:pStyle w:val="Odebeljeno"/>
        <w:spacing w:after="0" w:line="260" w:lineRule="auto"/>
      </w:pPr>
      <w:r>
        <w:t>K 3. členu:</w:t>
      </w:r>
    </w:p>
    <w:p>
      <w:pPr>
        <w:spacing w:after="0" w:line="240" w:lineRule="auto"/>
      </w:pPr>
      <w:r>
        <w:t>Člen opredeljuje vrsto naložb, ki so predmet podpore in cilje intervencije. Podpora je namenjena kolektivnim naložbam v predelavo kmetijskih proizvodov, katerih končni proizvod je lahko kmetijski ali nekmetijski proizvod, ter naložbam v trženje lastnih kmetijskih proizvodov in predelanih proizvodov.</w:t>
      </w:r>
    </w:p>
    <w:p>
      <w:pPr>
        <w:spacing w:after="0" w:line="260" w:lineRule="auto"/>
        <w:rPr>
          <w:rFonts w:ascii="Arial" w:hAnsi="Arial" w:cs="Arial"/>
        </w:rPr>
      </w:pPr>
    </w:p>
    <w:p>
      <w:pPr>
        <w:pStyle w:val="Odebeljeno"/>
        <w:spacing w:after="0" w:line="260" w:lineRule="auto"/>
      </w:pPr>
      <w:r>
        <w:t>K 4. členu:</w:t>
      </w:r>
    </w:p>
    <w:p>
      <w:pPr>
        <w:spacing w:after="0" w:line="240" w:lineRule="auto"/>
      </w:pPr>
      <w:r>
        <w:t>Člen podrobneje določa vrste upravičenih naložb. Določene so naložbe za predelavo kmetijskih proizvodov v kmetijske oziroma nekmetijske proizvode in naložbe za trženje kmetijskih proizvodov iz lastne pridelave oziroma trženje predelanih kmetijskih oziroma nekmetijskih proizvodov.</w:t>
      </w:r>
    </w:p>
    <w:p>
      <w:pPr>
        <w:spacing w:after="0" w:line="260" w:lineRule="auto"/>
        <w:rPr>
          <w:rFonts w:ascii="Arial" w:hAnsi="Arial" w:cs="Arial"/>
        </w:rPr>
      </w:pPr>
    </w:p>
    <w:p>
      <w:pPr>
        <w:pStyle w:val="Odebeljeno"/>
        <w:spacing w:after="0" w:line="260" w:lineRule="auto"/>
      </w:pPr>
      <w:r>
        <w:t>K 5. členu:</w:t>
      </w:r>
    </w:p>
    <w:p>
      <w:pPr>
        <w:spacing w:after="0" w:line="240" w:lineRule="auto"/>
      </w:pPr>
      <w:r>
        <w:t>Člen določa vlagatelja in upravičenca. Vlagatelj je lahko organizacija proizvajalcev, skupina proizvajalcev, združenje organizacij proizvajalcev ali zadruga.</w:t>
      </w:r>
    </w:p>
    <w:p>
      <w:pPr>
        <w:spacing w:after="0" w:line="240" w:lineRule="auto"/>
        <w:jc w:val="left"/>
      </w:pPr>
      <w:r>
        <w:t xml:space="preserve">Tretji odstavek določa, da se podpori, namenjeni predelavi kmetijskih proizvodov v nekmetijske proizvode, pomoč dodeli kot regionalna pomoč ali kot pomoč </w:t>
      </w:r>
      <w:r>
        <w:rPr>
          <w:i/>
        </w:rPr>
        <w:t>de minimis</w:t>
      </w:r>
      <w:r>
        <w:t>.</w:t>
      </w:r>
    </w:p>
    <w:p>
      <w:pPr>
        <w:spacing w:after="0" w:line="240" w:lineRule="auto"/>
        <w:jc w:val="left"/>
      </w:pPr>
      <w:r>
        <w:t xml:space="preserve">V petem odstavku je določeno, da se podpori namenjeni predelavi kmetijskih proizvodov v nekmetijske proizvode, če gre za naložbo v nakup opreme za učinkovito rabo energije oziroma pridobivanje energije iz OVE, pomoč vedno dodeli kot pomoč </w:t>
      </w:r>
      <w:r>
        <w:rPr>
          <w:i/>
        </w:rPr>
        <w:t>de minimis</w:t>
      </w:r>
      <w:r>
        <w:t>.</w:t>
      </w:r>
    </w:p>
    <w:p>
      <w:pPr>
        <w:spacing w:after="0" w:line="260" w:lineRule="auto"/>
        <w:rPr>
          <w:rFonts w:ascii="Arial" w:hAnsi="Arial" w:cs="Arial"/>
        </w:rPr>
      </w:pPr>
    </w:p>
    <w:p>
      <w:pPr>
        <w:pStyle w:val="Odebeljeno"/>
        <w:spacing w:after="0" w:line="260" w:lineRule="auto"/>
      </w:pPr>
      <w:r>
        <w:t>K 6. členu:</w:t>
      </w:r>
    </w:p>
    <w:p>
      <w:pPr>
        <w:spacing w:after="0" w:line="240" w:lineRule="auto"/>
      </w:pPr>
      <w:r>
        <w:t>Člen določa upravičene in neupravičene stroške za upravičene naložbe, ki so opredeljene v 4. členu te uredbe.</w:t>
      </w:r>
    </w:p>
    <w:p>
      <w:pPr>
        <w:spacing w:after="0" w:line="260" w:lineRule="auto"/>
        <w:rPr>
          <w:rFonts w:ascii="Arial" w:hAnsi="Arial" w:cs="Arial"/>
        </w:rPr>
      </w:pPr>
    </w:p>
    <w:p>
      <w:pPr>
        <w:pStyle w:val="Odebeljeno"/>
        <w:spacing w:after="0" w:line="260" w:lineRule="auto"/>
      </w:pPr>
      <w:r>
        <w:t>K 7. členu:</w:t>
      </w:r>
    </w:p>
    <w:p>
      <w:pPr>
        <w:spacing w:after="0" w:line="240" w:lineRule="auto"/>
      </w:pPr>
      <w:r>
        <w:t>Člen določa začetek upravičenosti stroškov. Uredba 2021/2115/EU določa, da so stroški upravičeni do podpore, če so nastali po vložitvi vloge na javni razpis. Izjema so splošni stroški, ki so upravičeni od 1. januarja 2023. Če se pomoč dodeli kot regionalna pomoč, so stroški upravičeni do podpore, če so nastali po vložitvi vloge na javni razpis.</w:t>
      </w:r>
    </w:p>
    <w:p>
      <w:pPr>
        <w:spacing w:after="0" w:line="260" w:lineRule="auto"/>
        <w:rPr>
          <w:rFonts w:ascii="Arial" w:hAnsi="Arial" w:cs="Arial"/>
        </w:rPr>
      </w:pPr>
    </w:p>
    <w:p>
      <w:pPr>
        <w:pStyle w:val="Odebeljeno"/>
        <w:spacing w:after="0" w:line="260" w:lineRule="auto"/>
      </w:pPr>
      <w:r>
        <w:t>K 8. členu:</w:t>
      </w:r>
    </w:p>
    <w:p>
      <w:pPr>
        <w:spacing w:after="0" w:line="240" w:lineRule="auto"/>
      </w:pPr>
      <w:r>
        <w:t>Člen določa pogoje za dodelitev podpore, ki so za to intervencijo opredeljeni že v SN SKP. Poleg teh pogojev mora upravičenec predložiti poslovni načrt, v katerem izkaže, da naložba izhaja iz potreb članov vlagatelja.</w:t>
      </w:r>
    </w:p>
    <w:p>
      <w:pPr>
        <w:spacing w:after="0" w:line="240" w:lineRule="auto"/>
      </w:pPr>
      <w:r>
        <w:t>Za naložbo namenjeno predelavi kmetijskih proizvodov je določen pogoj, da mora vlagatelj imeti registrirano živilsko dejavnost.</w:t>
      </w:r>
    </w:p>
    <w:p>
      <w:pPr>
        <w:spacing w:after="0" w:line="240" w:lineRule="auto"/>
      </w:pPr>
      <w:r>
        <w:t>Če je vlagatelj zadruga, mora biti 80 % njenih članov vpisanih v register kmetijskih gospodarstev, pri čemer so lahko v register kmetijskih gospodarstev vpisani kot nosilci kmetijskega gospodarstva ali kot člani družinske kmetije.</w:t>
      </w:r>
    </w:p>
    <w:p>
      <w:pPr>
        <w:spacing w:after="0" w:line="240" w:lineRule="auto"/>
      </w:pPr>
      <w:r>
        <w:t>Ker se pomoč v primeru predelave kmetijskih proizvodov dodeli kot državna pomoč, je določeno, da je treba v vlogi na javni razpis razdeliti vrednost naložbe na del, ki se nanaša na kmetijske proizvode in del, ki se nanaša na nekmetijske proizvode. Pogoji, ki se nanašajo na ureditev objektov, izhajajo iz predpisov s področja graditve.</w:t>
      </w:r>
    </w:p>
    <w:p>
      <w:pPr>
        <w:spacing w:after="0" w:line="260" w:lineRule="auto"/>
        <w:rPr>
          <w:rFonts w:ascii="Arial" w:hAnsi="Arial" w:cs="Arial"/>
        </w:rPr>
      </w:pPr>
    </w:p>
    <w:p>
      <w:pPr>
        <w:pStyle w:val="Odebeljeno"/>
        <w:spacing w:after="0" w:line="260" w:lineRule="auto"/>
      </w:pPr>
      <w:r>
        <w:t>K 9. členu:</w:t>
      </w:r>
    </w:p>
    <w:p>
      <w:pPr>
        <w:spacing w:after="0" w:line="240" w:lineRule="auto"/>
      </w:pPr>
      <w:r>
        <w:t>Člen določa poslovni načrt, ki je podrobneje opredeljen v Prilogi 1 uredbe. Na podlagi poslovnega načrta se ugotavlja tudi ekonomska upravičenost naložbe.</w:t>
      </w:r>
    </w:p>
    <w:p>
      <w:pPr>
        <w:spacing w:after="0" w:line="260" w:lineRule="auto"/>
        <w:rPr>
          <w:rFonts w:ascii="Arial" w:hAnsi="Arial" w:cs="Arial"/>
        </w:rPr>
      </w:pPr>
    </w:p>
    <w:p>
      <w:pPr>
        <w:pStyle w:val="Odebeljeno"/>
        <w:spacing w:after="0" w:line="260" w:lineRule="auto"/>
      </w:pPr>
      <w:r>
        <w:t>K 10. členu:</w:t>
      </w:r>
    </w:p>
    <w:p>
      <w:pPr>
        <w:spacing w:after="0" w:line="240" w:lineRule="auto"/>
      </w:pPr>
      <w:r>
        <w:t>Člen določa, da se vloge na javni razpis točkujejo na podlagi meril, predpisanih v tem členu. Nabor meril za ocenjevanje vlog je povzet iz dokumenta Merila za izbor operacij.</w:t>
      </w:r>
    </w:p>
    <w:p>
      <w:pPr>
        <w:spacing w:after="0" w:line="260" w:lineRule="auto"/>
        <w:rPr>
          <w:rFonts w:ascii="Arial" w:hAnsi="Arial" w:cs="Arial"/>
        </w:rPr>
      </w:pPr>
    </w:p>
    <w:p>
      <w:pPr>
        <w:pStyle w:val="Odebeljeno"/>
        <w:spacing w:after="0" w:line="260" w:lineRule="auto"/>
      </w:pPr>
      <w:r>
        <w:t>K 11. členu:</w:t>
      </w:r>
    </w:p>
    <w:p>
      <w:pPr>
        <w:spacing w:after="0" w:line="240" w:lineRule="auto"/>
      </w:pPr>
      <w:r>
        <w:t>Člen določa pogoje ob vložitvi zahtevka za izplačilo sredstev, ki jih mora izpolnjevati upravičenec, da bi bil upravičen do izplačila sredstev. Pogoji ob vložitvi zahtevka se nanašajo na naložbo, ki je predmet podpore, nekateri pogoji pa izhajajo iz meril za izbor vlog, na podlagi katerih so bile vlagatelju dodeljene točke pri ocenjevanju vloge na javni razpis.</w:t>
      </w:r>
    </w:p>
    <w:p>
      <w:pPr>
        <w:spacing w:after="0" w:line="260" w:lineRule="auto"/>
        <w:rPr>
          <w:rFonts w:ascii="Arial" w:hAnsi="Arial" w:cs="Arial"/>
        </w:rPr>
      </w:pPr>
    </w:p>
    <w:p>
      <w:pPr>
        <w:pStyle w:val="Odebeljeno"/>
        <w:spacing w:after="0" w:line="260" w:lineRule="auto"/>
      </w:pPr>
      <w:r>
        <w:t>K 12. členu:</w:t>
      </w:r>
    </w:p>
    <w:p>
      <w:pPr>
        <w:spacing w:after="0" w:line="240" w:lineRule="auto"/>
      </w:pPr>
      <w:r>
        <w:t>Člen določa obveznosti upravičenca po izplačilu sredstev. Nekatere obveznosti izhajajo iz meril za izbor vlog, na podlagi katerih so bile vlagatelju dodeljene točke pri ocenjevanju vloge na javni razpis.</w:t>
      </w:r>
    </w:p>
    <w:p>
      <w:pPr>
        <w:spacing w:after="0" w:line="260" w:lineRule="auto"/>
        <w:rPr>
          <w:rFonts w:ascii="Arial" w:hAnsi="Arial" w:cs="Arial"/>
        </w:rPr>
      </w:pPr>
    </w:p>
    <w:p>
      <w:pPr>
        <w:pStyle w:val="Odebeljeno"/>
        <w:spacing w:after="0" w:line="260" w:lineRule="auto"/>
      </w:pPr>
      <w:r>
        <w:t>K 13. členu:</w:t>
      </w:r>
    </w:p>
    <w:p>
      <w:pPr>
        <w:spacing w:after="0" w:line="240" w:lineRule="auto"/>
      </w:pPr>
      <w:r>
        <w:t>Člen ureja vrsto javnega razpisa, začetek vlaganja vlog ter obravnavo vlog, vloženih na javni razpis.</w:t>
      </w:r>
    </w:p>
    <w:p>
      <w:pPr>
        <w:spacing w:after="0" w:line="260" w:lineRule="auto"/>
        <w:rPr>
          <w:rFonts w:ascii="Arial" w:hAnsi="Arial" w:cs="Arial"/>
        </w:rPr>
      </w:pPr>
    </w:p>
    <w:p>
      <w:pPr>
        <w:pStyle w:val="Odebeljeno"/>
        <w:spacing w:after="0" w:line="260" w:lineRule="auto"/>
      </w:pPr>
      <w:r>
        <w:t>K 14. členu:</w:t>
      </w:r>
    </w:p>
    <w:p>
      <w:pPr>
        <w:spacing w:after="0" w:line="240" w:lineRule="auto"/>
      </w:pPr>
      <w:r>
        <w:t>Člen določa stopnje javne podpore in najnižji znesek javne podpore, kar je določeno že v SN SKP.</w:t>
      </w:r>
    </w:p>
    <w:p>
      <w:pPr>
        <w:spacing w:after="0" w:line="260" w:lineRule="auto"/>
        <w:rPr>
          <w:rFonts w:ascii="Arial" w:hAnsi="Arial" w:cs="Arial"/>
        </w:rPr>
      </w:pPr>
    </w:p>
    <w:p>
      <w:pPr>
        <w:pStyle w:val="Odebeljeno"/>
        <w:spacing w:after="0" w:line="260" w:lineRule="auto"/>
      </w:pPr>
      <w:r>
        <w:t>K 15. členu:</w:t>
      </w:r>
    </w:p>
    <w:p>
      <w:pPr>
        <w:spacing w:after="0" w:line="240" w:lineRule="auto"/>
      </w:pPr>
      <w:r>
        <w:t>Člen določa poročilo o izpolnjevanju obveznosti, ki ga mora predložiti upravičenec.</w:t>
      </w:r>
    </w:p>
    <w:p>
      <w:pPr>
        <w:spacing w:after="0" w:line="260" w:lineRule="auto"/>
        <w:rPr>
          <w:rFonts w:ascii="Arial" w:hAnsi="Arial" w:cs="Arial"/>
        </w:rPr>
      </w:pPr>
    </w:p>
    <w:p>
      <w:pPr>
        <w:pStyle w:val="Odebeljeno"/>
        <w:spacing w:after="0" w:line="260" w:lineRule="auto"/>
      </w:pPr>
      <w:r>
        <w:t>K 16. členu:</w:t>
      </w:r>
    </w:p>
    <w:p>
      <w:pPr>
        <w:spacing w:after="0" w:line="240" w:lineRule="auto"/>
      </w:pPr>
      <w:r>
        <w:t xml:space="preserve">Člen določa višino predplačila, ki se uveljavlja v skladu z uredbo, ki ureja skupne določbe za izvajanje intervencij razvoja podeželja, ki niso vezane na površino ali živali, iz strateškega načrta skupne kmetijske politike 2023–2027.  </w:t>
      </w:r>
    </w:p>
    <w:p>
      <w:pPr>
        <w:spacing w:after="0" w:line="240" w:lineRule="auto"/>
      </w:pPr>
      <w:r>
        <w:t>Predplačilo upravičenec uveljavlja z vlogo na javni razpis. Na voljo sta dve možnosti pridobitve predplačila:</w:t>
      </w:r>
    </w:p>
    <w:p>
      <w:pPr>
        <w:spacing w:after="0" w:line="240" w:lineRule="auto"/>
      </w:pPr>
      <w:r>
        <w:t>a) predplačilo, ki je zavarovano z bančno garancijo, ali</w:t>
      </w:r>
    </w:p>
    <w:p>
      <w:pPr>
        <w:spacing w:after="0" w:line="240" w:lineRule="auto"/>
      </w:pPr>
      <w:r>
        <w:t>b) predplačilo, ki ni zavarovano z bančno garancijo, pod pogoji zakona, ki ureja izvrševanje proračunov Republike Slovenije.</w:t>
      </w:r>
    </w:p>
    <w:p>
      <w:pPr>
        <w:spacing w:after="0" w:line="260" w:lineRule="auto"/>
        <w:rPr>
          <w:rFonts w:ascii="Arial" w:hAnsi="Arial" w:cs="Arial"/>
        </w:rPr>
      </w:pPr>
    </w:p>
    <w:p>
      <w:pPr>
        <w:pStyle w:val="Odebeljeno"/>
        <w:spacing w:after="0" w:line="260" w:lineRule="auto"/>
      </w:pPr>
      <w:r>
        <w:t>K 17. členu:</w:t>
      </w:r>
    </w:p>
    <w:p>
      <w:pPr>
        <w:spacing w:after="0" w:line="240" w:lineRule="auto"/>
      </w:pPr>
      <w:r>
        <w:t>Člen določa rok za odrek pravici do sredstev v skladu z zakonom, ki ureja kmetijstvo.</w:t>
      </w:r>
    </w:p>
    <w:p>
      <w:pPr>
        <w:spacing w:after="0" w:line="260" w:lineRule="auto"/>
        <w:rPr>
          <w:rFonts w:ascii="Arial" w:hAnsi="Arial" w:cs="Arial"/>
        </w:rPr>
      </w:pPr>
    </w:p>
    <w:p>
      <w:pPr>
        <w:pStyle w:val="Odebeljeno"/>
        <w:spacing w:after="0" w:line="260" w:lineRule="auto"/>
      </w:pPr>
      <w:r>
        <w:t>K 18. členu:</w:t>
      </w:r>
    </w:p>
    <w:p>
      <w:pPr>
        <w:spacing w:after="0" w:line="240" w:lineRule="auto"/>
      </w:pPr>
      <w:r>
        <w:t>Člen določa majhno naložbo za namen izvajanja upravnega pregleda v skladu z uredbo, ki ureja skupne določbe za izvajanje intervencij razvoja podeželja, ki niso vezane na površino ali živali, iz strateškega načrta skupne kmetijske politike 2023–2027.</w:t>
      </w:r>
    </w:p>
    <w:p>
      <w:pPr>
        <w:spacing w:after="0" w:line="260" w:lineRule="auto"/>
        <w:rPr>
          <w:rFonts w:ascii="Arial" w:hAnsi="Arial" w:cs="Arial"/>
        </w:rPr>
      </w:pPr>
    </w:p>
    <w:p>
      <w:pPr>
        <w:pStyle w:val="Odebeljeno"/>
        <w:spacing w:after="0" w:line="260" w:lineRule="auto"/>
      </w:pPr>
      <w:r>
        <w:t>K 19. členu:</w:t>
      </w:r>
    </w:p>
    <w:p>
      <w:pPr>
        <w:spacing w:after="0" w:line="240" w:lineRule="auto"/>
      </w:pPr>
      <w:r>
        <w:t>Člen določa sankcije, ki se izrečejo upravičencu v primeru neizpolnjevanja obveznosti iz odločbe o pravici do sredstev.</w:t>
      </w:r>
    </w:p>
    <w:p>
      <w:pPr>
        <w:spacing w:after="0" w:line="260" w:lineRule="auto"/>
        <w:rPr>
          <w:rFonts w:ascii="Arial" w:hAnsi="Arial" w:cs="Arial"/>
        </w:rPr>
      </w:pPr>
    </w:p>
    <w:p>
      <w:pPr>
        <w:pStyle w:val="Odebeljeno"/>
        <w:spacing w:after="0" w:line="260" w:lineRule="auto"/>
      </w:pPr>
      <w:r>
        <w:t>K 20. členu:</w:t>
      </w:r>
    </w:p>
    <w:p>
      <w:pPr>
        <w:spacing w:after="0" w:line="240" w:lineRule="auto"/>
      </w:pPr>
      <w:r>
        <w:t>Člen določa začetek veljavnosti uredbe.</w:t>
      </w:r>
    </w:p>
    <w:p>
      <w:pPr>
        <w:spacing w:after="0" w:line="260" w:lineRule="auto"/>
        <w:rPr>
          <w:rFonts w:ascii="Arial" w:hAnsi="Arial" w:cs="Arial"/>
        </w:rPr>
      </w:pPr>
    </w:p>
    <w:p>
      <w:r>
        <w:br w:type="page"/>
      </w:r>
    </w:p>
    <w:p>
      <w:pPr>
        <w:pStyle w:val="Odebeljeno"/>
        <w:spacing w:after="0" w:line="260" w:lineRule="auto"/>
      </w:pPr>
      <w:r>
        <w:t>IV.</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rPr>
        <w:i/>
        <w:sz w:val="16"/>
      </w:rPr>
      <w:t>Ustvarjeno v MOPED-DOCS, 06. 10. 2026 13:21:42, verzija 21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