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B979" w14:textId="77777777" w:rsidR="000317F7" w:rsidRDefault="000317F7">
      <w:pPr>
        <w:spacing w:after="0" w:line="260" w:lineRule="auto"/>
        <w:rPr>
          <w:rFonts w:cs="Arial"/>
        </w:rPr>
      </w:pPr>
    </w:p>
    <w:p w14:paraId="635C0629" w14:textId="77777777" w:rsidR="000317F7" w:rsidRDefault="000317F7">
      <w:pPr>
        <w:spacing w:after="0" w:line="260" w:lineRule="auto"/>
        <w:rPr>
          <w:rFonts w:cs="Arial"/>
        </w:rPr>
      </w:pPr>
    </w:p>
    <w:p w14:paraId="5C653D5E" w14:textId="77777777" w:rsidR="000317F7" w:rsidRDefault="000317F7">
      <w:pPr>
        <w:spacing w:after="0" w:line="260" w:lineRule="auto"/>
        <w:rPr>
          <w:rFonts w:cs="Arial"/>
        </w:rPr>
      </w:pPr>
    </w:p>
    <w:p w14:paraId="32F01D42" w14:textId="77777777" w:rsidR="000317F7" w:rsidRDefault="000317F7">
      <w:pPr>
        <w:spacing w:after="0" w:line="260" w:lineRule="auto"/>
        <w:rPr>
          <w:rFonts w:cs="Arial"/>
        </w:rPr>
      </w:pPr>
    </w:p>
    <w:p w14:paraId="409F4C36" w14:textId="77777777" w:rsidR="000317F7" w:rsidRDefault="000317F7">
      <w:pPr>
        <w:spacing w:after="0" w:line="260" w:lineRule="auto"/>
        <w:rPr>
          <w:rFonts w:cs="Arial"/>
        </w:rPr>
      </w:pPr>
    </w:p>
    <w:p w14:paraId="3A3B8849" w14:textId="77777777" w:rsidR="000317F7" w:rsidRDefault="000317F7">
      <w:pPr>
        <w:spacing w:after="0" w:line="260" w:lineRule="auto"/>
        <w:rPr>
          <w:rFonts w:cs="Arial"/>
        </w:rPr>
      </w:pPr>
    </w:p>
    <w:p w14:paraId="18E83C1A" w14:textId="77777777" w:rsidR="000317F7" w:rsidRDefault="000317F7">
      <w:pPr>
        <w:spacing w:after="0" w:line="260" w:lineRule="auto"/>
        <w:rPr>
          <w:rFonts w:cs="Arial"/>
        </w:rPr>
      </w:pPr>
    </w:p>
    <w:p w14:paraId="20567449" w14:textId="77777777" w:rsidR="000317F7" w:rsidRDefault="000317F7">
      <w:pPr>
        <w:spacing w:after="0" w:line="260" w:lineRule="auto"/>
        <w:rPr>
          <w:rFonts w:cs="Arial"/>
        </w:rPr>
      </w:pPr>
    </w:p>
    <w:p w14:paraId="2FB7C8E5" w14:textId="77777777" w:rsidR="000317F7" w:rsidRDefault="000317F7">
      <w:pPr>
        <w:spacing w:after="0" w:line="260" w:lineRule="auto"/>
        <w:rPr>
          <w:rFonts w:cs="Arial"/>
        </w:rPr>
      </w:pPr>
    </w:p>
    <w:p w14:paraId="38A2D1C2" w14:textId="77777777" w:rsidR="000317F7" w:rsidRDefault="000317F7">
      <w:pPr>
        <w:spacing w:after="0" w:line="260" w:lineRule="auto"/>
        <w:rPr>
          <w:rFonts w:cs="Arial"/>
        </w:rPr>
      </w:pPr>
    </w:p>
    <w:p w14:paraId="5955CDC7" w14:textId="77777777" w:rsidR="000317F7" w:rsidRDefault="000317F7">
      <w:pPr>
        <w:spacing w:after="0" w:line="260" w:lineRule="auto"/>
        <w:rPr>
          <w:rFonts w:cs="Arial"/>
        </w:rPr>
      </w:pPr>
    </w:p>
    <w:p w14:paraId="4BC41E03" w14:textId="77777777" w:rsidR="000317F7" w:rsidRDefault="000317F7">
      <w:pPr>
        <w:spacing w:after="0" w:line="260" w:lineRule="auto"/>
        <w:rPr>
          <w:rFonts w:cs="Arial"/>
        </w:rPr>
      </w:pPr>
    </w:p>
    <w:p w14:paraId="3DC0474F" w14:textId="77777777" w:rsidR="000317F7" w:rsidRDefault="000317F7">
      <w:pPr>
        <w:spacing w:after="0" w:line="260" w:lineRule="auto"/>
        <w:rPr>
          <w:rFonts w:cs="Arial"/>
        </w:rPr>
      </w:pPr>
    </w:p>
    <w:p w14:paraId="147C82F6" w14:textId="77777777" w:rsidR="000317F7" w:rsidRDefault="000317F7">
      <w:pPr>
        <w:spacing w:after="0" w:line="260" w:lineRule="auto"/>
        <w:rPr>
          <w:rFonts w:cs="Arial"/>
        </w:rPr>
      </w:pPr>
    </w:p>
    <w:p w14:paraId="07B8C201" w14:textId="77777777" w:rsidR="000317F7" w:rsidRDefault="00F06B25">
      <w:pPr>
        <w:pStyle w:val="SredinskoOdebeljeno"/>
        <w:spacing w:line="260" w:lineRule="auto"/>
      </w:pPr>
      <w:r>
        <w:t>ZAKON O SPREMEMBAH IN DOPOLNITVAH ZAKONA O TRGU FINANČNIH INSTRUMENTOV</w:t>
      </w:r>
    </w:p>
    <w:p w14:paraId="55F76166" w14:textId="77777777" w:rsidR="000317F7" w:rsidRDefault="000317F7">
      <w:pPr>
        <w:spacing w:after="0" w:line="260" w:lineRule="auto"/>
        <w:rPr>
          <w:rFonts w:cs="Arial"/>
        </w:rPr>
      </w:pPr>
    </w:p>
    <w:p w14:paraId="0E60795F" w14:textId="77777777" w:rsidR="000317F7" w:rsidRDefault="00F06B25">
      <w:pPr>
        <w:pStyle w:val="Sredinsko"/>
        <w:spacing w:line="260" w:lineRule="auto"/>
      </w:pPr>
      <w:r>
        <w:t>PREDLOG</w:t>
      </w:r>
    </w:p>
    <w:p w14:paraId="261CF9E5" w14:textId="77777777" w:rsidR="000317F7" w:rsidRDefault="000317F7">
      <w:pPr>
        <w:spacing w:after="0" w:line="260" w:lineRule="auto"/>
        <w:rPr>
          <w:rFonts w:cs="Arial"/>
        </w:rPr>
      </w:pPr>
    </w:p>
    <w:p w14:paraId="40AB8B80" w14:textId="77777777" w:rsidR="000317F7" w:rsidRDefault="000317F7">
      <w:pPr>
        <w:spacing w:after="0" w:line="260" w:lineRule="auto"/>
        <w:rPr>
          <w:rFonts w:cs="Arial"/>
        </w:rPr>
      </w:pPr>
    </w:p>
    <w:p w14:paraId="10138804" w14:textId="77777777" w:rsidR="000317F7" w:rsidRDefault="00F06B25">
      <w:pPr>
        <w:pStyle w:val="Sredinsko"/>
        <w:spacing w:line="260" w:lineRule="auto"/>
      </w:pPr>
      <w:r>
        <w:t>EVA: 2026-1611-0040</w:t>
      </w:r>
    </w:p>
    <w:p w14:paraId="5855C51D" w14:textId="77777777" w:rsidR="000317F7" w:rsidRDefault="000317F7">
      <w:pPr>
        <w:spacing w:after="0" w:line="260" w:lineRule="auto"/>
        <w:rPr>
          <w:rFonts w:cs="Arial"/>
        </w:rPr>
      </w:pPr>
    </w:p>
    <w:p w14:paraId="6D77C432" w14:textId="77777777" w:rsidR="000317F7" w:rsidRDefault="00F06B25">
      <w:r>
        <w:br w:type="page"/>
      </w:r>
    </w:p>
    <w:p w14:paraId="26AEAA20" w14:textId="77777777" w:rsidR="000317F7" w:rsidRDefault="00F06B25">
      <w:pPr>
        <w:pStyle w:val="Odebeljeno"/>
        <w:spacing w:line="260" w:lineRule="auto"/>
      </w:pPr>
      <w:r>
        <w:lastRenderedPageBreak/>
        <w:t>I.</w:t>
      </w:r>
      <w:r>
        <w:tab/>
        <w:t>UVOD</w:t>
      </w:r>
    </w:p>
    <w:p w14:paraId="15C16020" w14:textId="77777777" w:rsidR="000317F7" w:rsidRDefault="00F06B25">
      <w:pPr>
        <w:pStyle w:val="Odebeljeno"/>
        <w:spacing w:line="260" w:lineRule="auto"/>
      </w:pPr>
      <w:r>
        <w:t>1.</w:t>
      </w:r>
      <w:r>
        <w:tab/>
        <w:t>Ocena stanja in razlogi za sprejetje predloga zakona</w:t>
      </w:r>
    </w:p>
    <w:p w14:paraId="36915E94" w14:textId="77777777" w:rsidR="000317F7" w:rsidRDefault="000317F7">
      <w:pPr>
        <w:spacing w:after="0" w:line="260" w:lineRule="auto"/>
        <w:rPr>
          <w:rFonts w:cs="Arial"/>
        </w:rPr>
      </w:pPr>
    </w:p>
    <w:p w14:paraId="01E61B07" w14:textId="77777777" w:rsidR="000317F7" w:rsidRDefault="00F06B25">
      <w:pPr>
        <w:spacing w:after="0" w:line="240" w:lineRule="auto"/>
      </w:pPr>
      <w:r>
        <w:t xml:space="preserve">Zakon o trgu finančnih instrumentov (Uradni list RS, št. 77/18, 17/19 – </w:t>
      </w:r>
      <w:proofErr w:type="spellStart"/>
      <w:r>
        <w:t>popr</w:t>
      </w:r>
      <w:proofErr w:type="spellEnd"/>
      <w:r>
        <w:t>., 66/19, 123/21, 45/24 in 77/25; v nadaljnjem besedilu: ZTFI-1) je temeljni pravni okvir, ki ureja delovanje slovenskega trga kapitala, saj med drugim ureja organiziranost, delovanje in nadzor nad trgovanjem z različnimi finančnimi instrumenti in pogoje za vstop na trg, zagotavlja preglednost trga ter postavlja pravila za zaščito vlagateljev. Z ZTFI-1 so v pravni red prenesene direktive Evropske unije (v nadaljnjem besedilu: EU) s področja trga kapitala, prav tako pa zakon podrobneje ureja izvajanje nekaterih uredb EU, s čimer zagotavlja skladnost slovenskega trga finančnih instrumentov s pravnim okvirjem EU. ZTFI-1 zagotavlja pravno varnost in jasna pravila za vse udeležence na trgu finančnih instrumentov in s tem prispeva k stabilnosti in učinkovitosti finančnega sistema, krepi zaupanje vlagateljev ter omogoča boljšo vključenost slovenskega trga v širši evropski finančni prostor.</w:t>
      </w:r>
    </w:p>
    <w:p w14:paraId="73A7850D" w14:textId="77777777" w:rsidR="000317F7" w:rsidRDefault="00F06B25">
      <w:pPr>
        <w:spacing w:after="0" w:line="240" w:lineRule="auto"/>
      </w:pPr>
      <w:r>
        <w:br/>
        <w:t>Razvoj kapitalskih trgov v EU in Republiki Sloveniji je bistven za doseganje ključnih ciljev gospodarske politike EU. Pogoj za to so dobro delujoči, globoki in med seboj povezani kapitalski trgi, ki zagotavljajo vire financiranja za podjetja v vseh obdobjih njihovega razvoja, vlagateljem pa nudijo raznolike naložbene priložnosti. Podjetja, ki kotirajo na borzah, so pogosto uspešnejša od podjetij v zasebni lasti glede letne rasti prihodkov in ustvarjanja delovnih mest, s kotiranjem pa si pridobijo dostop do razpršene baze vlagateljev, zmanjšajo odvisnost od bančnega financiranja in povečajo svojo prepoznavnost. V skladu s tem se zakonodajno področje v EU nenehno posodablja oziroma razvija, kar mora upoštevati tudi nacionalna zakonodaja.</w:t>
      </w:r>
    </w:p>
    <w:p w14:paraId="7CA835B0" w14:textId="77777777" w:rsidR="000317F7" w:rsidRDefault="00F06B25">
      <w:pPr>
        <w:spacing w:after="0" w:line="240" w:lineRule="auto"/>
      </w:pPr>
      <w:r>
        <w:br/>
        <w:t xml:space="preserve">Evropski parlament in Svet sta 23. oktobra 2024 sprejela sveženj zakonodajnih aktov za povečanje privlačnosti javnih kapitalskih trgov v Uniji (tako imenovani </w:t>
      </w:r>
      <w:proofErr w:type="spellStart"/>
      <w:r>
        <w:t>Listing</w:t>
      </w:r>
      <w:proofErr w:type="spellEnd"/>
      <w:r>
        <w:t xml:space="preserve"> </w:t>
      </w:r>
      <w:proofErr w:type="spellStart"/>
      <w:r>
        <w:t>Act</w:t>
      </w:r>
      <w:proofErr w:type="spellEnd"/>
      <w:r>
        <w:t>), ki ga sestavljajo:</w:t>
      </w:r>
    </w:p>
    <w:p w14:paraId="5C209C58" w14:textId="77777777" w:rsidR="000317F7" w:rsidRDefault="00F06B25">
      <w:pPr>
        <w:spacing w:after="0" w:line="240" w:lineRule="auto"/>
        <w:ind w:left="454"/>
      </w:pPr>
      <w:r>
        <w:t>- Direktiva (EU) 2024/2811 Evropskega parlamenta in Sveta z dne 23. oktobra 2024 o spremembi Direktive 2014/65/EU za povečanje privlačnosti javnih kapitalskih trgov v Uniji za podjetja in olajšanje dostopa do kapitala za mala in srednja podjetja ter razveljavitvi Direktive 2001/34/ES (UL L št. 2024/2811 z dne 14. 11. 2024; v nadaljnjem besedilu: Direktiva 2024/2811/EU),</w:t>
      </w:r>
    </w:p>
    <w:p w14:paraId="6A1ABC19" w14:textId="77777777" w:rsidR="000317F7" w:rsidRDefault="00F06B25">
      <w:pPr>
        <w:spacing w:after="0" w:line="240" w:lineRule="auto"/>
        <w:ind w:left="454"/>
      </w:pPr>
      <w:r>
        <w:t>- Direktiva (EU) 2024/2810 Evropskega parlamenta in Sveta z dne 23. oktobra 2024 o delniških strukturah z delnicami z večkratno glasovalno pravico v družbah, ki želijo uvrstiti svoje delnice v večstranski sistem trgovanja (UL L št. 2024/2810 z dne 14. 11. 2024; v nadaljnjem besedilu: Direktiva 2024/2810/EU), in</w:t>
      </w:r>
    </w:p>
    <w:p w14:paraId="1EAF0D03" w14:textId="77777777" w:rsidR="000317F7" w:rsidRDefault="00F06B25">
      <w:pPr>
        <w:spacing w:after="0" w:line="240" w:lineRule="auto"/>
        <w:ind w:left="454"/>
      </w:pPr>
      <w:r>
        <w:t>- Uredba (EU) 2024/2809 Evropskega parlamenta in Sveta z dne 23. oktobra 2024 o spremembi uredb (EU) 2017/1129, (EU) št. 596/2014 in (EU) št. 600/2014 za povečanje privlačnosti javnih kapitalskih trgov v Uniji za podjetja in za olajšanje dostopa do kapitala za mala in srednja podjetja (UL L št. 2024/2809 z dne 14. 11. 2024), zadnjič popravljena s Popravkom (UL L št. 2025/90190 z dne 28. 2. 2025) (v nadaljnjem besedilu: Uredba 2024/2809/EU).</w:t>
      </w:r>
    </w:p>
    <w:p w14:paraId="3C92DE38" w14:textId="77777777" w:rsidR="000317F7" w:rsidRDefault="00F06B25">
      <w:pPr>
        <w:spacing w:after="0" w:line="240" w:lineRule="auto"/>
      </w:pPr>
      <w:r>
        <w:t xml:space="preserve"> </w:t>
      </w:r>
    </w:p>
    <w:p w14:paraId="6963D1AC" w14:textId="77777777" w:rsidR="000317F7" w:rsidRDefault="00F06B25">
      <w:pPr>
        <w:spacing w:after="0" w:line="240" w:lineRule="auto"/>
      </w:pPr>
      <w:r>
        <w:t xml:space="preserve">Sveženj </w:t>
      </w:r>
      <w:proofErr w:type="spellStart"/>
      <w:r>
        <w:t>Listing</w:t>
      </w:r>
      <w:proofErr w:type="spellEnd"/>
      <w:r>
        <w:t xml:space="preserve"> </w:t>
      </w:r>
      <w:proofErr w:type="spellStart"/>
      <w:r>
        <w:t>Act</w:t>
      </w:r>
      <w:proofErr w:type="spellEnd"/>
      <w:r>
        <w:t xml:space="preserve"> je namenjen izboljšanju dostopa podjetij, zlasti malih in srednjih podjetij (v nadaljnjem besedilu: MSP), do javnih kapitalskih trgov v Uniji ter racionalizaciji zakonodajnega okolja za izdajatelje, ki želijo uvrstiti svoje vrednostne papirje v trgovanje. Sveženj je bil pripravljen v okviru unije kapitalskih trgov (</w:t>
      </w:r>
      <w:proofErr w:type="spellStart"/>
      <w:r>
        <w:rPr>
          <w:i/>
        </w:rPr>
        <w:t>Capital</w:t>
      </w:r>
      <w:proofErr w:type="spellEnd"/>
      <w:r>
        <w:rPr>
          <w:i/>
        </w:rPr>
        <w:t xml:space="preserve"> </w:t>
      </w:r>
      <w:proofErr w:type="spellStart"/>
      <w:r>
        <w:rPr>
          <w:i/>
        </w:rPr>
        <w:t>Markets</w:t>
      </w:r>
      <w:proofErr w:type="spellEnd"/>
      <w:r>
        <w:rPr>
          <w:i/>
        </w:rPr>
        <w:t xml:space="preserve"> Union</w:t>
      </w:r>
      <w:r>
        <w:t>), katere osrednji cilj je izboljšanje dostopa do tržnih virov financiranja za podjetja EU v vseh obdobjih njihovega razvoja.</w:t>
      </w:r>
    </w:p>
    <w:p w14:paraId="356FB0B1" w14:textId="77777777" w:rsidR="000317F7" w:rsidRDefault="00F06B25">
      <w:pPr>
        <w:spacing w:after="0" w:line="240" w:lineRule="auto"/>
      </w:pPr>
      <w:r>
        <w:t xml:space="preserve"> </w:t>
      </w:r>
    </w:p>
    <w:p w14:paraId="18DA3DC9" w14:textId="77777777" w:rsidR="000317F7" w:rsidRDefault="00F06B25">
      <w:pPr>
        <w:spacing w:after="0" w:line="240" w:lineRule="auto"/>
      </w:pPr>
      <w:r>
        <w:rPr>
          <w:b/>
        </w:rPr>
        <w:t>Direktiva 2024/2811/EU</w:t>
      </w:r>
      <w:r>
        <w:t xml:space="preserve"> spreminja Direktivo 2014/65/EU Evropskega parlamenta in Sveta z dne 15. maja 2014 o trgih finančnih instrumentov ter spremembi Direktive 2002/92/ES in Direktive 2011/61/EU (UL L št. 173 z dne 12. 6. 2014, str. 349), zadnjič spremenjena z Direktivo (EU) 2024/2811 Evropskega parlamenta in Sveta z dne 23. oktobra 2024 o spremembi Direktive 2014/65/EU za povečanje privlačnosti javnih kapitalskih trgov v Uniji za podjetja in olajšanje dostopa do kapitala za mala in srednja podjetja ter razveljavitvi Direktive 2001/34/ES (UL L št. 2024/2811 z dne 14. 11. 2024), (v nadaljnjem besedilu: Direktiva 2014/65/EU) na naslednjih ključnih področjih:</w:t>
      </w:r>
    </w:p>
    <w:p w14:paraId="07810670" w14:textId="77777777" w:rsidR="000317F7" w:rsidRDefault="00F06B25">
      <w:pPr>
        <w:spacing w:after="0" w:line="240" w:lineRule="auto"/>
      </w:pPr>
      <w:r>
        <w:rPr>
          <w:i/>
        </w:rPr>
        <w:t>Raziskave na področju investicij</w:t>
      </w:r>
      <w:r>
        <w:t xml:space="preserve"> </w:t>
      </w:r>
    </w:p>
    <w:p w14:paraId="7BE0B5EC" w14:textId="77777777" w:rsidR="000317F7" w:rsidRDefault="00F06B25">
      <w:pPr>
        <w:spacing w:after="0" w:line="240" w:lineRule="auto"/>
      </w:pPr>
      <w:r>
        <w:t xml:space="preserve">Kljub uvedbi možnosti združenih plačil za storitve izvrševanja in raziskave z Direktivo (EU) 2021/338, omejene na raziskave o izdajateljih s tržno kapitalizacijo do ene milijarde evrov, se je obseg investicijskih raziskav, zlasti o podjetjih z malo in srednje veliko tržno kapitalizacijo, zmanjševal. To zmanjševanje je </w:t>
      </w:r>
      <w:r>
        <w:lastRenderedPageBreak/>
        <w:t>negativno vplivalo na prepoznavnost manjših izdajateljev, obveščenost vlagateljev in s tem na likvidnost vrednostnih papirjev teh izdajateljev. Direktiva 2024/2811/EU zato odpravlja prag tržne kapitalizacije za združena plačila in uvaja prožnejšo ureditev, ki investicijskim podjetjem omogoča, da se glede plačil za storitve izvrševanja in raziskave odločijo za ločena ali skupna plačila v skladu s svojo politiko (uvodna izjava 4 Direktive 2024/2811/EU). Poleg tega direktiva uvaja institut »raziskav, ki jih plača izdajatelj« (</w:t>
      </w:r>
      <w:proofErr w:type="spellStart"/>
      <w:r>
        <w:rPr>
          <w:i/>
        </w:rPr>
        <w:t>issuer-sponsored</w:t>
      </w:r>
      <w:proofErr w:type="spellEnd"/>
      <w:r>
        <w:rPr>
          <w:i/>
        </w:rPr>
        <w:t xml:space="preserve"> </w:t>
      </w:r>
      <w:proofErr w:type="spellStart"/>
      <w:r>
        <w:rPr>
          <w:i/>
        </w:rPr>
        <w:t>research</w:t>
      </w:r>
      <w:proofErr w:type="spellEnd"/>
      <w:r>
        <w:t>), za katere bo Evropski organ za vrednostne papirje in trge (v nadaljnjem besedilu: ESMA) pripravil kodeks ravnanja EU, s čimer bo izboljšana pokritost manjših izdajateljev z raziskavami ob hkratnem zagotavljanju neodvisnosti in objektivnosti.</w:t>
      </w:r>
    </w:p>
    <w:p w14:paraId="76B02A9F" w14:textId="77777777" w:rsidR="000317F7" w:rsidRDefault="00F06B25">
      <w:pPr>
        <w:spacing w:after="0" w:line="240" w:lineRule="auto"/>
      </w:pPr>
      <w:r>
        <w:t xml:space="preserve"> </w:t>
      </w:r>
    </w:p>
    <w:p w14:paraId="5F601AC2" w14:textId="77777777" w:rsidR="000317F7" w:rsidRDefault="00F06B25">
      <w:pPr>
        <w:spacing w:after="0" w:line="240" w:lineRule="auto"/>
      </w:pPr>
      <w:r>
        <w:rPr>
          <w:i/>
        </w:rPr>
        <w:t>Ureditev razvojnih trgov MSP</w:t>
      </w:r>
      <w:r>
        <w:t xml:space="preserve"> </w:t>
      </w:r>
    </w:p>
    <w:p w14:paraId="04EF6E34" w14:textId="77777777" w:rsidR="000317F7" w:rsidRDefault="00F06B25">
      <w:pPr>
        <w:spacing w:after="0" w:line="240" w:lineRule="auto"/>
      </w:pPr>
      <w:r>
        <w:t xml:space="preserve">Direktiva 2014/65/EU je leta 2018 uvedla kategorijo razvojnega trga MSP kot posebno podkategorijo večstranskega sistema trgovanja (v nadaljnjem besedilu: MTF), namenjeno spodbujanju trgovanja z vrednostnimi papirji MSP. Direktiva 2024/2811/EU uvaja možnost, da se kot razvojni trg MSP registrira tudi posamezni segment MTF, kar zmanjšuje organizacijsko breme za upravljavce MTF in omogoča specializacijo posameznih segmentov ob ohranitvi enotnega sistema trgovanja. Hkrati se razširja zahteva po </w:t>
      </w:r>
      <w:proofErr w:type="spellStart"/>
      <w:r>
        <w:t>nenasprotovanju</w:t>
      </w:r>
      <w:proofErr w:type="spellEnd"/>
      <w:r>
        <w:t xml:space="preserve"> izdajatelja pri uvrstitvi njegovih finančnih instrumentov na druga mesta trgovanja, in sicer na vsa mesta trgovanja, ne le na druge razvojne trge MSP, s čimer se zmanjšuje tveganje razdrobitve likvidnosti (uvodna izjava 9 Direktive 2024/2811/EU).</w:t>
      </w:r>
    </w:p>
    <w:p w14:paraId="70637FAE" w14:textId="77777777" w:rsidR="000317F7" w:rsidRDefault="00F06B25">
      <w:pPr>
        <w:spacing w:after="0" w:line="240" w:lineRule="auto"/>
      </w:pPr>
      <w:r>
        <w:t xml:space="preserve"> </w:t>
      </w:r>
    </w:p>
    <w:p w14:paraId="3426184B" w14:textId="77777777" w:rsidR="000317F7" w:rsidRDefault="00F06B25">
      <w:pPr>
        <w:spacing w:after="0" w:line="240" w:lineRule="auto"/>
      </w:pPr>
      <w:r>
        <w:rPr>
          <w:i/>
        </w:rPr>
        <w:t>Razveljavitev Direktive 2001/34/ES in prenos ustreznih določb</w:t>
      </w:r>
      <w:r>
        <w:t xml:space="preserve"> </w:t>
      </w:r>
    </w:p>
    <w:p w14:paraId="347EC63F" w14:textId="77777777" w:rsidR="000317F7" w:rsidRDefault="00F06B25">
      <w:pPr>
        <w:spacing w:after="0" w:line="240" w:lineRule="auto"/>
      </w:pPr>
      <w:r>
        <w:t>Direktiva 2001/34/ES Evropskega parlamenta in Sveta o sprejemu vrednostnih papirjev v uradno kotacijo na borzi je bila večkrat bistveno spremenjena, velik del njenih določb pa so nadomestile poznejše direktive in uredbe, zlasti Direktiva 2004/109/ES Evropskega parlamenta in Sveta z dne 15. decembra 2004 o uskladitvi zahtev v zvezi s preglednostjo informacij o izdajateljih, katerih vrednostni papirji so sprejeti v trgovanje na reguliranem trgu, in Uredba (EU) 2017/1129 Evropskega parlamenta in Sveta z dne 14. junija 2017 o prospektu (s katero je bila razveljavljena Direktiva 2003/71/ES). Direktiva 2024/2811/EU zato Direktivo 2001/34/ES razveljavlja, ustrezne določbe, ki se še vedno uporabljajo, zlasti zahteve glede minimalnega prostega obtoka in minimalne tržne kapitalizacije, pa prenaša v Direktivo 2014/65/EU z novim 51.a členom.</w:t>
      </w:r>
    </w:p>
    <w:p w14:paraId="7E881FEC" w14:textId="77777777" w:rsidR="000317F7" w:rsidRDefault="00F06B25">
      <w:pPr>
        <w:spacing w:after="0" w:line="240" w:lineRule="auto"/>
      </w:pPr>
      <w:r>
        <w:t xml:space="preserve"> </w:t>
      </w:r>
    </w:p>
    <w:p w14:paraId="473D940D" w14:textId="77777777" w:rsidR="000317F7" w:rsidRDefault="00F06B25">
      <w:pPr>
        <w:spacing w:after="0" w:line="240" w:lineRule="auto"/>
      </w:pPr>
      <w:r>
        <w:rPr>
          <w:b/>
        </w:rPr>
        <w:t>Direktiva 2024/2810/EU</w:t>
      </w:r>
      <w:r>
        <w:t xml:space="preserve"> uvaja skupna pravila o delniških strukturah z delnicami z večkratno glasovalno pravico za družbe, ki želijo uvrstiti svoje delnice v trgovanje na MTF, vključno z razvojnimi trgi MSP.</w:t>
      </w:r>
    </w:p>
    <w:p w14:paraId="20657F2E" w14:textId="77777777" w:rsidR="000317F7" w:rsidRDefault="00F06B25">
      <w:pPr>
        <w:spacing w:after="0" w:line="240" w:lineRule="auto"/>
      </w:pPr>
      <w:r>
        <w:t xml:space="preserve"> </w:t>
      </w:r>
    </w:p>
    <w:p w14:paraId="70CCD3FC" w14:textId="77777777" w:rsidR="000317F7" w:rsidRDefault="00F06B25">
      <w:pPr>
        <w:spacing w:after="0" w:line="240" w:lineRule="auto"/>
      </w:pPr>
      <w:r>
        <w:t xml:space="preserve">Strah pred izgubo obvladovanja družbe je eden ključnih dejavnikov, ki odvračajo obvladujoče delničarje, zlasti ustanovitelje zagonskih podjetij in družb z dolgoročnimi projekti, od dostopa do javnih kapitalskih trgov. Med državami članicami so bile precejšnje razlike v nacionalnih ureditvah. Nekatere so delniške strukture z delnicami z večkratno glasovalno pravico dovoljevale, druge pa jih prepovedovale, kar je ustvarjalo ovire za prosti pretok kapitala in neenake konkurenčne pogoje na notranjem trgu. Direktiva 2024/2810/EU zahteva od držav članic, da družbam omogočijo sprejetje ali spremembo delniške strukture z delnicami z večkratno glasovalno pravico za namen uvrstitve v trgovanje na MTF, ob ustreznih ukrepih za zaščito delničarjev z manj glasovalnimi pravicami. </w:t>
      </w:r>
    </w:p>
    <w:p w14:paraId="7CED674D" w14:textId="77777777" w:rsidR="000317F7" w:rsidRDefault="00F06B25">
      <w:pPr>
        <w:spacing w:after="0" w:line="240" w:lineRule="auto"/>
      </w:pPr>
      <w:r>
        <w:t xml:space="preserve"> </w:t>
      </w:r>
    </w:p>
    <w:p w14:paraId="3AA0DF72" w14:textId="77777777" w:rsidR="000317F7" w:rsidRDefault="00F06B25">
      <w:pPr>
        <w:spacing w:after="0" w:line="240" w:lineRule="auto"/>
      </w:pPr>
      <w:r>
        <w:t>S predlaganimi spremembami ZTFI-1 se bodo v pravni red Republike Slovenije prenesle zadnje spremembe Direktive 2014/65/EU, in sicer tiste, ki jih določa Direktiva 2024/2811/EU. Hkrati se bodo prenesle nekatere določbe Direktive 2024/2810/EU, in sicer le tisti deli, ki se neposredno navezujejo na delovanje večstranskih sistemov trgovanja in so s tem predmet urejanja ZTFI-1.</w:t>
      </w:r>
    </w:p>
    <w:p w14:paraId="48A8F699" w14:textId="77777777" w:rsidR="000317F7" w:rsidRDefault="00F06B25">
      <w:pPr>
        <w:spacing w:after="0" w:line="240" w:lineRule="auto"/>
      </w:pPr>
      <w:r>
        <w:t xml:space="preserve"> </w:t>
      </w:r>
    </w:p>
    <w:p w14:paraId="150931CA" w14:textId="77777777" w:rsidR="000317F7" w:rsidRDefault="00F06B25">
      <w:pPr>
        <w:spacing w:after="0" w:line="240" w:lineRule="auto"/>
      </w:pPr>
      <w:r>
        <w:t>Poleg tega so spremembe ZTFI-1 potrebne zaradi:</w:t>
      </w:r>
    </w:p>
    <w:p w14:paraId="1CC7BC92" w14:textId="77777777" w:rsidR="000317F7" w:rsidRDefault="00F06B25">
      <w:pPr>
        <w:spacing w:after="0" w:line="240" w:lineRule="auto"/>
        <w:ind w:left="454"/>
      </w:pPr>
      <w:r>
        <w:t>- zagotovitve izvedbenih določb za izvajanje Uredbe 2024/2809/EU, ki se neposredno uporablja od 6. junija 2026, in</w:t>
      </w:r>
    </w:p>
    <w:p w14:paraId="3599EAA2" w14:textId="77777777" w:rsidR="000317F7" w:rsidRDefault="00F06B25">
      <w:pPr>
        <w:spacing w:after="0" w:line="240" w:lineRule="auto"/>
        <w:ind w:left="454"/>
      </w:pPr>
      <w:r>
        <w:t>- odprave pomanjkljivosti pri prenosu Direktive 98/26/ES o dokončnosti poravnave.</w:t>
      </w:r>
    </w:p>
    <w:p w14:paraId="6CCB082A" w14:textId="77777777" w:rsidR="000317F7" w:rsidRDefault="000317F7">
      <w:pPr>
        <w:spacing w:after="0" w:line="260" w:lineRule="auto"/>
        <w:rPr>
          <w:rFonts w:cs="Arial"/>
        </w:rPr>
      </w:pPr>
    </w:p>
    <w:p w14:paraId="44051FC1" w14:textId="77777777" w:rsidR="000317F7" w:rsidRDefault="00F06B25">
      <w:pPr>
        <w:pStyle w:val="Odebeljeno"/>
        <w:spacing w:line="260" w:lineRule="auto"/>
      </w:pPr>
      <w:r>
        <w:t>2.</w:t>
      </w:r>
      <w:r>
        <w:tab/>
        <w:t>CILJI, NAČELA IN POGLAVITNE REŠITVE PREDLOGA ZAKONA</w:t>
      </w:r>
    </w:p>
    <w:p w14:paraId="13A0098E" w14:textId="77777777" w:rsidR="000317F7" w:rsidRDefault="00F06B25">
      <w:pPr>
        <w:pStyle w:val="Odebeljeno"/>
        <w:spacing w:line="260" w:lineRule="auto"/>
      </w:pPr>
      <w:r>
        <w:t>2.1</w:t>
      </w:r>
      <w:r>
        <w:tab/>
        <w:t>Cilji</w:t>
      </w:r>
    </w:p>
    <w:p w14:paraId="7D9B4946" w14:textId="77777777" w:rsidR="000317F7" w:rsidRDefault="000317F7">
      <w:pPr>
        <w:spacing w:after="0" w:line="260" w:lineRule="auto"/>
        <w:rPr>
          <w:rFonts w:cs="Arial"/>
        </w:rPr>
      </w:pPr>
    </w:p>
    <w:p w14:paraId="49570794" w14:textId="77777777" w:rsidR="000317F7" w:rsidRDefault="00F06B25">
      <w:pPr>
        <w:spacing w:after="0" w:line="240" w:lineRule="auto"/>
      </w:pPr>
      <w:r>
        <w:lastRenderedPageBreak/>
        <w:t>Temeljni cilj predloga zakona je pravočasen in celovit prenos Direktive 2024/2811/EU in ustreznih delov Direktive 2024/2810/EU v pravni red Republike Slovenije ter zagotovitev pogojev za izvajanje Uredbe 2024/2809/EU.</w:t>
      </w:r>
    </w:p>
    <w:p w14:paraId="2ACA8A10" w14:textId="77777777" w:rsidR="000317F7" w:rsidRDefault="000317F7">
      <w:pPr>
        <w:spacing w:after="0" w:line="260" w:lineRule="auto"/>
        <w:rPr>
          <w:rFonts w:cs="Arial"/>
        </w:rPr>
      </w:pPr>
    </w:p>
    <w:p w14:paraId="371F64B9" w14:textId="77777777" w:rsidR="000317F7" w:rsidRDefault="00F06B25">
      <w:pPr>
        <w:spacing w:after="0" w:line="240" w:lineRule="auto"/>
      </w:pPr>
      <w:r>
        <w:t>Za spremljanje doseganja ciljev predloga zakona o spremembah in dopolnitvah ZTFI-1 se uporabljajo naslednji kazalniki in merila za vrednotenje učinkov:</w:t>
      </w:r>
    </w:p>
    <w:p w14:paraId="4A67F00A" w14:textId="77777777" w:rsidR="000317F7" w:rsidRDefault="00F06B25">
      <w:pPr>
        <w:spacing w:after="0" w:line="240" w:lineRule="auto"/>
        <w:ind w:left="454"/>
      </w:pPr>
      <w:r>
        <w:t>- število in vrsta morebitnih kršitev ali opozoril Evropske komisije glede nepravilnega ali nepopolnega prenosa (cilj: nič opozoril po uveljavitvi);</w:t>
      </w:r>
    </w:p>
    <w:p w14:paraId="10707984" w14:textId="77777777" w:rsidR="000317F7" w:rsidRDefault="00F06B25">
      <w:pPr>
        <w:spacing w:after="0" w:line="240" w:lineRule="auto"/>
        <w:ind w:left="454"/>
      </w:pPr>
      <w:r>
        <w:t>- stopnja skladnosti državne ureditve z zahtevami direktiv (ocena Evropske komisije).</w:t>
      </w:r>
    </w:p>
    <w:p w14:paraId="45F2742D" w14:textId="77777777" w:rsidR="000317F7" w:rsidRDefault="000317F7">
      <w:pPr>
        <w:spacing w:after="0" w:line="260" w:lineRule="auto"/>
        <w:rPr>
          <w:rFonts w:cs="Arial"/>
        </w:rPr>
      </w:pPr>
    </w:p>
    <w:p w14:paraId="015FB72C" w14:textId="77777777" w:rsidR="000317F7" w:rsidRDefault="00F06B25">
      <w:pPr>
        <w:pStyle w:val="Odebeljeno"/>
        <w:spacing w:line="260" w:lineRule="auto"/>
      </w:pPr>
      <w:r>
        <w:t>2.2</w:t>
      </w:r>
      <w:r>
        <w:tab/>
        <w:t>Načela</w:t>
      </w:r>
    </w:p>
    <w:p w14:paraId="5002B7C6" w14:textId="77777777" w:rsidR="000317F7" w:rsidRDefault="000317F7">
      <w:pPr>
        <w:spacing w:after="0" w:line="260" w:lineRule="auto"/>
        <w:rPr>
          <w:rFonts w:cs="Arial"/>
        </w:rPr>
      </w:pPr>
    </w:p>
    <w:p w14:paraId="135107E4" w14:textId="77777777" w:rsidR="000317F7" w:rsidRDefault="00F06B25">
      <w:pPr>
        <w:spacing w:after="0" w:line="240" w:lineRule="auto"/>
      </w:pPr>
      <w:r>
        <w:t xml:space="preserve">Predlog zakona upošteva ta načela: </w:t>
      </w:r>
    </w:p>
    <w:p w14:paraId="26A8766B" w14:textId="77777777" w:rsidR="000317F7" w:rsidRDefault="00F06B25">
      <w:pPr>
        <w:spacing w:after="0" w:line="240" w:lineRule="auto"/>
        <w:ind w:left="454"/>
      </w:pPr>
      <w:r>
        <w:t>- načelo usklajenosti z veljavnim pravnim okvirom: predlagane spremembe se dosledno vključujejo v obstoječo sistematiko ZTFI-1, pri čemer se ohranjata preglednost in uporabnost zakonskega besedila;</w:t>
      </w:r>
    </w:p>
    <w:p w14:paraId="27D3B061" w14:textId="77777777" w:rsidR="000317F7" w:rsidRDefault="00F06B25">
      <w:pPr>
        <w:spacing w:after="0" w:line="240" w:lineRule="auto"/>
        <w:ind w:left="454"/>
      </w:pPr>
      <w:r>
        <w:t>- načelo enakopravne obravnave: predlagana ureditev zagotavlja, da se enaka pravila glede razkritij in identifikacije delnic z večkratno glasovalno pravico uporabljajo za vse izdajatelje, ne glede na to, ali so uvrščeni na razvojni trg MSP ali drugi MTF;</w:t>
      </w:r>
    </w:p>
    <w:p w14:paraId="7F2233FB" w14:textId="77777777" w:rsidR="000317F7" w:rsidRDefault="00F06B25">
      <w:pPr>
        <w:spacing w:after="0" w:line="240" w:lineRule="auto"/>
        <w:ind w:left="454"/>
      </w:pPr>
      <w:r>
        <w:t>- načelo preglednosti: uvajajo se nova pravila o razkritjih delniških struktur in novih oblik investicijskih raziskav, ki zagotavljajo, da imajo vlagatelji in udeleženci na trgu dostop do točnih, celovitih in pravočasnih informacij za sprejemanje informiranih naložbenih odločitev;</w:t>
      </w:r>
    </w:p>
    <w:p w14:paraId="5E310D9B" w14:textId="77777777" w:rsidR="000317F7" w:rsidRDefault="00F06B25">
      <w:pPr>
        <w:spacing w:after="0" w:line="240" w:lineRule="auto"/>
        <w:ind w:left="454"/>
      </w:pPr>
      <w:r>
        <w:t>- načelo skrbnega in učinkovitega nadzora: pristojni organi pridobivajo nova nadzorna pooblastila za nadzor nad skladnostjo borznoposredniških družb, investicijskih podjetij držav članic in investicijskih podjetij tretjih držav s kodeksom ravnanja EU za raziskave, ki jih plača izdajatelj, vključno s pooblastilom za prekinitev distribucije neustrezno označenih raziskav;</w:t>
      </w:r>
    </w:p>
    <w:p w14:paraId="1AE3E307" w14:textId="77777777" w:rsidR="000317F7" w:rsidRDefault="00F06B25">
      <w:pPr>
        <w:spacing w:after="0" w:line="240" w:lineRule="auto"/>
        <w:ind w:left="454"/>
      </w:pPr>
      <w:r>
        <w:t>- načelo sorazmernosti: predlagana ureditev se prilagaja značilnostim in velikosti subjektov, kar zagotavlja, da zahteve ne pomenijo nesorazmernega bremena.</w:t>
      </w:r>
    </w:p>
    <w:p w14:paraId="338956B7" w14:textId="77777777" w:rsidR="000317F7" w:rsidRDefault="000317F7">
      <w:pPr>
        <w:spacing w:after="0" w:line="260" w:lineRule="auto"/>
        <w:rPr>
          <w:rFonts w:cs="Arial"/>
        </w:rPr>
      </w:pPr>
    </w:p>
    <w:p w14:paraId="36D075C9" w14:textId="77777777" w:rsidR="000317F7" w:rsidRDefault="00F06B25">
      <w:pPr>
        <w:pStyle w:val="Odebeljeno"/>
        <w:spacing w:line="260" w:lineRule="auto"/>
      </w:pPr>
      <w:r>
        <w:t>2.3</w:t>
      </w:r>
      <w:r>
        <w:tab/>
        <w:t>Poglavitne rešitve</w:t>
      </w:r>
    </w:p>
    <w:p w14:paraId="7643688C" w14:textId="77777777" w:rsidR="000317F7" w:rsidRDefault="000317F7">
      <w:pPr>
        <w:spacing w:after="0" w:line="260" w:lineRule="auto"/>
        <w:rPr>
          <w:rFonts w:cs="Arial"/>
        </w:rPr>
      </w:pPr>
    </w:p>
    <w:p w14:paraId="130EBC79" w14:textId="77777777" w:rsidR="000317F7" w:rsidRDefault="00F06B25">
      <w:pPr>
        <w:spacing w:after="0" w:line="240" w:lineRule="auto"/>
        <w:jc w:val="left"/>
      </w:pPr>
      <w:r>
        <w:rPr>
          <w:b/>
        </w:rPr>
        <w:t>Prenos Direktive 2024/2811/EU (</w:t>
      </w:r>
      <w:proofErr w:type="spellStart"/>
      <w:r>
        <w:rPr>
          <w:b/>
        </w:rPr>
        <w:t>Listing</w:t>
      </w:r>
      <w:proofErr w:type="spellEnd"/>
      <w:r>
        <w:rPr>
          <w:b/>
        </w:rPr>
        <w:t xml:space="preserve"> </w:t>
      </w:r>
      <w:proofErr w:type="spellStart"/>
      <w:r>
        <w:rPr>
          <w:b/>
        </w:rPr>
        <w:t>Act</w:t>
      </w:r>
      <w:proofErr w:type="spellEnd"/>
      <w:r>
        <w:rPr>
          <w:b/>
        </w:rPr>
        <w:t>)</w:t>
      </w:r>
    </w:p>
    <w:p w14:paraId="376119F1" w14:textId="77777777" w:rsidR="000317F7" w:rsidRDefault="00F06B25">
      <w:pPr>
        <w:spacing w:after="0" w:line="240" w:lineRule="auto"/>
        <w:jc w:val="left"/>
      </w:pPr>
      <w:r>
        <w:rPr>
          <w:i/>
        </w:rPr>
        <w:t>Investicijske raziskave</w:t>
      </w:r>
    </w:p>
    <w:p w14:paraId="232CFDEE" w14:textId="77777777" w:rsidR="000317F7" w:rsidRDefault="00F06B25">
      <w:pPr>
        <w:spacing w:after="0" w:line="240" w:lineRule="auto"/>
        <w:ind w:left="454"/>
      </w:pPr>
      <w:r>
        <w:t>- prenova ureditve plačevanja investicijskih raziskav;</w:t>
      </w:r>
    </w:p>
    <w:p w14:paraId="101662F7" w14:textId="77777777" w:rsidR="000317F7" w:rsidRDefault="00F06B25">
      <w:pPr>
        <w:spacing w:after="0" w:line="240" w:lineRule="auto"/>
        <w:ind w:left="454"/>
      </w:pPr>
      <w:r>
        <w:t>- uvedba instituta raziskav, ki jih plača izdajatelj (kodeks ravnanja EU pripravi ESMA);</w:t>
      </w:r>
    </w:p>
    <w:p w14:paraId="45DF467E" w14:textId="77777777" w:rsidR="000317F7" w:rsidRDefault="00F06B25">
      <w:pPr>
        <w:spacing w:after="0" w:line="240" w:lineRule="auto"/>
        <w:ind w:left="454"/>
      </w:pPr>
      <w:r>
        <w:t>- odprava dosedanjega praga tržne kapitalizacije izdajatelja (ena milijarda evrov), pod katerim so bila dopustna skupna plačila za izvrševanje in raziskave;</w:t>
      </w:r>
    </w:p>
    <w:p w14:paraId="21A0226C" w14:textId="77777777" w:rsidR="000317F7" w:rsidRDefault="00F06B25">
      <w:pPr>
        <w:spacing w:after="0" w:line="240" w:lineRule="auto"/>
        <w:ind w:left="454"/>
      </w:pPr>
      <w:r>
        <w:t>- prosta izbira ločenih ali skupnih plačil ne glede na velikost izdajatelja, ob preglednosti za stranke in letnem ocenjevanju kakovosti raziskav;</w:t>
      </w:r>
    </w:p>
    <w:p w14:paraId="17554A20" w14:textId="77777777" w:rsidR="000317F7" w:rsidRDefault="00F06B25">
      <w:pPr>
        <w:spacing w:after="0" w:line="240" w:lineRule="auto"/>
        <w:ind w:left="454"/>
      </w:pPr>
      <w:r>
        <w:t>- nova nadzorna pooblastila ATVP v zvezi z raziskavami, ki jih plača izdajatelj.</w:t>
      </w:r>
    </w:p>
    <w:p w14:paraId="3E096CA4" w14:textId="77777777" w:rsidR="000317F7" w:rsidRDefault="00F06B25">
      <w:pPr>
        <w:spacing w:after="0" w:line="240" w:lineRule="auto"/>
        <w:jc w:val="left"/>
      </w:pPr>
      <w:r>
        <w:rPr>
          <w:i/>
        </w:rPr>
        <w:t>Razvojni trg MSP in segmenti MTF</w:t>
      </w:r>
    </w:p>
    <w:p w14:paraId="0A99A034" w14:textId="77777777" w:rsidR="000317F7" w:rsidRDefault="00F06B25">
      <w:pPr>
        <w:spacing w:after="0" w:line="240" w:lineRule="auto"/>
        <w:ind w:left="454"/>
      </w:pPr>
      <w:r>
        <w:t>- razširitev opredelitve razvojnega trga MSP tudi na posamezni segment MTF;</w:t>
      </w:r>
    </w:p>
    <w:p w14:paraId="42A3AF73" w14:textId="77777777" w:rsidR="000317F7" w:rsidRDefault="00F06B25">
      <w:pPr>
        <w:spacing w:after="0" w:line="240" w:lineRule="auto"/>
        <w:ind w:left="454"/>
      </w:pPr>
      <w:r>
        <w:t>- pogoji za registracijo segmenta: jasna ločenost, razlikovanje transakcij in zagotavljanje informacij ATVP;</w:t>
      </w:r>
    </w:p>
    <w:p w14:paraId="1C8EB056" w14:textId="77777777" w:rsidR="000317F7" w:rsidRDefault="00F06B25">
      <w:pPr>
        <w:spacing w:after="0" w:line="240" w:lineRule="auto"/>
        <w:ind w:left="454"/>
      </w:pPr>
      <w:r>
        <w:t xml:space="preserve">- razširitev ureditve </w:t>
      </w:r>
      <w:proofErr w:type="spellStart"/>
      <w:r>
        <w:t>nenasprotovanja</w:t>
      </w:r>
      <w:proofErr w:type="spellEnd"/>
      <w:r>
        <w:t xml:space="preserve"> izdajatelja pri uvrstitvi njegovih finančnih instrumentov na druga mesta trgovanja.</w:t>
      </w:r>
    </w:p>
    <w:p w14:paraId="290F99C0" w14:textId="77777777" w:rsidR="000317F7" w:rsidRDefault="00F06B25">
      <w:pPr>
        <w:spacing w:after="0" w:line="240" w:lineRule="auto"/>
        <w:jc w:val="left"/>
      </w:pPr>
      <w:r>
        <w:rPr>
          <w:i/>
        </w:rPr>
        <w:t>Razveljavitev Direktive 2001/34/ES in pogoji za uvrstitev delnic v uradno borzno kotacijo</w:t>
      </w:r>
    </w:p>
    <w:p w14:paraId="568A31AA" w14:textId="77777777" w:rsidR="000317F7" w:rsidRDefault="00F06B25">
      <w:pPr>
        <w:spacing w:after="0" w:line="240" w:lineRule="auto"/>
        <w:ind w:left="454"/>
      </w:pPr>
      <w:r>
        <w:t>- črtanje sklicevanja na razveljavljeno Direktivo 2001/34/ES;</w:t>
      </w:r>
    </w:p>
    <w:p w14:paraId="0EA03B93" w14:textId="77777777" w:rsidR="000317F7" w:rsidRDefault="00F06B25">
      <w:pPr>
        <w:spacing w:after="0" w:line="240" w:lineRule="auto"/>
        <w:ind w:left="454"/>
      </w:pPr>
      <w:r>
        <w:t>- uskladitev pogojev za uvrstitev z Direktivo 2014/65/EU: minimalni prosti obtok 10 % vpisanega kapitala, minimalna tržna kapitalizacija in ureditev za zamenljive delnice;</w:t>
      </w:r>
    </w:p>
    <w:p w14:paraId="341A30B3" w14:textId="77777777" w:rsidR="000317F7" w:rsidRDefault="00F06B25">
      <w:pPr>
        <w:spacing w:after="0" w:line="240" w:lineRule="auto"/>
        <w:ind w:left="454"/>
      </w:pPr>
      <w:r>
        <w:t>- črtanje zahteve po objavi letnih poročil izdajatelja za zadnja tri poslovna leta, saj je njena informacijska funkcija zagotovljena že z Uredbo 2017/1129/EU o prospektu.</w:t>
      </w:r>
    </w:p>
    <w:p w14:paraId="6BCB02A4" w14:textId="77777777" w:rsidR="000317F7" w:rsidRDefault="00F06B25">
      <w:pPr>
        <w:spacing w:after="0" w:line="240" w:lineRule="auto"/>
      </w:pPr>
      <w:r>
        <w:t xml:space="preserve"> </w:t>
      </w:r>
    </w:p>
    <w:p w14:paraId="66312F95" w14:textId="77777777" w:rsidR="000317F7" w:rsidRDefault="00F06B25">
      <w:pPr>
        <w:spacing w:after="0" w:line="240" w:lineRule="auto"/>
        <w:jc w:val="left"/>
      </w:pPr>
      <w:r>
        <w:rPr>
          <w:b/>
        </w:rPr>
        <w:t>Prenos ustreznih delov Direktive 2024/2810/EU</w:t>
      </w:r>
    </w:p>
    <w:p w14:paraId="07FB5773" w14:textId="77777777" w:rsidR="000317F7" w:rsidRDefault="00F06B25">
      <w:pPr>
        <w:spacing w:after="0" w:line="240" w:lineRule="auto"/>
        <w:jc w:val="left"/>
      </w:pPr>
      <w:r>
        <w:rPr>
          <w:i/>
        </w:rPr>
        <w:t>Preglednost delniških struktur z delnicami z večkratno glasovalno pravico</w:t>
      </w:r>
    </w:p>
    <w:p w14:paraId="505694F8" w14:textId="77777777" w:rsidR="000317F7" w:rsidRDefault="00F06B25">
      <w:pPr>
        <w:spacing w:after="0" w:line="240" w:lineRule="auto"/>
        <w:ind w:left="454"/>
      </w:pPr>
      <w:r>
        <w:lastRenderedPageBreak/>
        <w:t>- obveznost izdajateljev z delniško strukturo z delnicami z večkratno glasovalno pravico, da v prospekt ali dokument o uvrstitvi vključijo podatke o tej strukturi;</w:t>
      </w:r>
    </w:p>
    <w:p w14:paraId="249DBECB" w14:textId="77777777" w:rsidR="000317F7" w:rsidRDefault="00F06B25">
      <w:pPr>
        <w:spacing w:after="0" w:line="240" w:lineRule="auto"/>
        <w:ind w:left="454"/>
      </w:pPr>
      <w:r>
        <w:t>- vključeni podatki zajemajo zlasti razrede delnic, glasovalne pravice, omejitve glede prenosa in glasovanja ter identiteto imetnikov delnic z večkratno glasovalno pravico.</w:t>
      </w:r>
    </w:p>
    <w:p w14:paraId="52AD3D46" w14:textId="77777777" w:rsidR="000317F7" w:rsidRDefault="00F06B25">
      <w:pPr>
        <w:spacing w:after="0" w:line="240" w:lineRule="auto"/>
        <w:jc w:val="left"/>
      </w:pPr>
      <w:r>
        <w:rPr>
          <w:i/>
        </w:rPr>
        <w:t>Prepoved zavrnitve uvrstitve in označitev delnic</w:t>
      </w:r>
    </w:p>
    <w:p w14:paraId="5B1483DD" w14:textId="77777777" w:rsidR="000317F7" w:rsidRDefault="00F06B25">
      <w:pPr>
        <w:spacing w:after="0" w:line="240" w:lineRule="auto"/>
        <w:ind w:left="454"/>
      </w:pPr>
      <w:r>
        <w:t>- prepoved upravljavcu MTF, da uvrstitev delnic v trgovanje zavrne zgolj zaradi delniške strukture z večkratno glasovalno pravico;</w:t>
      </w:r>
    </w:p>
    <w:p w14:paraId="3D13A288" w14:textId="77777777" w:rsidR="000317F7" w:rsidRDefault="00F06B25">
      <w:pPr>
        <w:spacing w:after="0" w:line="240" w:lineRule="auto"/>
        <w:ind w:left="454"/>
      </w:pPr>
      <w:r>
        <w:t>- obveznost jasne označitve takih delnic na MTF, ki vlagateljem zagotavlja preglednost in podpira informirano sprejemanje naložbenih odločitev.</w:t>
      </w:r>
    </w:p>
    <w:p w14:paraId="354F0ECD" w14:textId="77777777" w:rsidR="000317F7" w:rsidRDefault="00F06B25">
      <w:pPr>
        <w:spacing w:after="0" w:line="240" w:lineRule="auto"/>
      </w:pPr>
      <w:r>
        <w:t xml:space="preserve"> </w:t>
      </w:r>
    </w:p>
    <w:p w14:paraId="34F7AEAE" w14:textId="77777777" w:rsidR="000317F7" w:rsidRDefault="00F06B25">
      <w:pPr>
        <w:spacing w:after="0" w:line="240" w:lineRule="auto"/>
      </w:pPr>
      <w:r>
        <w:rPr>
          <w:b/>
        </w:rPr>
        <w:t>Druge spremembe</w:t>
      </w:r>
    </w:p>
    <w:p w14:paraId="1CF52BBE" w14:textId="77777777" w:rsidR="000317F7" w:rsidRDefault="00F06B25">
      <w:pPr>
        <w:spacing w:after="0" w:line="240" w:lineRule="auto"/>
      </w:pPr>
      <w:r>
        <w:t>Predlog zakona poleg prenosa obeh navedenih direktiv vsebuje tudi naslednje spremembe, ki ne izhajajo neposredno iz Direktive 2024/2811/EU ali Direktive 2024/2810/EU:</w:t>
      </w:r>
    </w:p>
    <w:p w14:paraId="049BEC66" w14:textId="77777777" w:rsidR="000317F7" w:rsidRDefault="00F06B25">
      <w:pPr>
        <w:spacing w:after="0" w:line="240" w:lineRule="auto"/>
        <w:ind w:left="454"/>
      </w:pPr>
      <w:r>
        <w:t>- odprava manjših  pomanjkljivosti pri prenosu Direktive 98/26/ES Evropskega parlamenta in Sveta z dne 19. maja 1998 o dokončnosti poravnave pri plačilih in sistemih poravnave vrednostnih papirjev (UL L št. 166 z dne 11. 6. 1998, str. 45), zadnjič spremenjena z Uredbo (EU) 2024/886 Evropskega parlamenta in Sveta z dne 13. marca 2024 o spremembi uredb (EU) št. 260/2012 in (EU) 2021/1230 ter direktiv 98/26/ES in (EU) 2015/2366 glede takojšnjih kreditnih prenosov v evrih (UL L št. 2024/886 z dne 19. 3. 2024), (v nadaljnjem besedilu: Direktiva 98/26/ES) - dopolnjuje se ureditev poravnalnih sistemov z ustrezno opredelitvijo člana in udeleženca poravnalnega sistema ter posrednika za poravnavo;</w:t>
      </w:r>
    </w:p>
    <w:p w14:paraId="6CC8A665" w14:textId="77777777" w:rsidR="000317F7" w:rsidRDefault="00F06B25">
      <w:pPr>
        <w:spacing w:after="0" w:line="240" w:lineRule="auto"/>
        <w:ind w:left="454"/>
      </w:pPr>
      <w:r>
        <w:t>- zagotovitev izvedbenih določb za Uredbo 2024/2809/EU – prilagajata se ureditev odškodninske odgovornosti v zvezi s povzetkom prospekta ter ureditev glob;</w:t>
      </w:r>
    </w:p>
    <w:p w14:paraId="68A46A5F" w14:textId="77777777" w:rsidR="000317F7" w:rsidRDefault="00F06B25">
      <w:pPr>
        <w:spacing w:after="0" w:line="240" w:lineRule="auto"/>
        <w:ind w:left="454"/>
      </w:pPr>
      <w:r>
        <w:t>- posebna pravila za kvalificirane deleže – na novo se urejajo roki in postopek odločanja o zahtevi za izdajo dovoljenja za pridobitev kvalificiranega deleža v borznoposredniški družbi, v skladu z zahtevami 12. člena Direktive 2014/65/EU;</w:t>
      </w:r>
    </w:p>
    <w:p w14:paraId="0691BE1E" w14:textId="77777777" w:rsidR="000317F7" w:rsidRDefault="00F06B25">
      <w:pPr>
        <w:spacing w:after="0" w:line="240" w:lineRule="auto"/>
        <w:ind w:left="454"/>
      </w:pPr>
      <w:r>
        <w:t xml:space="preserve">- kazenske določbe – dodajajo se nove </w:t>
      </w:r>
      <w:proofErr w:type="spellStart"/>
      <w:r>
        <w:t>kršitvene</w:t>
      </w:r>
      <w:proofErr w:type="spellEnd"/>
      <w:r>
        <w:t xml:space="preserve"> določbe za kršitve v zvezi z raziskavami ter usklajuje ureditev glob in kršitev v zvezi z referenčnimi vrednostmi;</w:t>
      </w:r>
    </w:p>
    <w:p w14:paraId="20374530" w14:textId="77777777" w:rsidR="000317F7" w:rsidRDefault="00F06B25">
      <w:pPr>
        <w:spacing w:after="0" w:line="240" w:lineRule="auto"/>
        <w:ind w:left="454"/>
      </w:pPr>
      <w:r>
        <w:t>- redakcijska uskladitev pooblastila za izdajo predpisov in uskladitev podzakonskega predpisa.</w:t>
      </w:r>
    </w:p>
    <w:p w14:paraId="03661670" w14:textId="77777777" w:rsidR="000317F7" w:rsidRDefault="000317F7">
      <w:pPr>
        <w:spacing w:after="0" w:line="260" w:lineRule="auto"/>
        <w:rPr>
          <w:rFonts w:cs="Arial"/>
        </w:rPr>
      </w:pPr>
    </w:p>
    <w:p w14:paraId="7E776B8C" w14:textId="77777777" w:rsidR="000317F7" w:rsidRDefault="00F06B25">
      <w:pPr>
        <w:pStyle w:val="Odebeljeno"/>
        <w:spacing w:line="260" w:lineRule="auto"/>
      </w:pPr>
      <w:r>
        <w:t>3.</w:t>
      </w:r>
      <w:r>
        <w:tab/>
        <w:t>Ocena finančnih posledic predloga zakona za državni proračun in druga javna finančna sredstva</w:t>
      </w:r>
    </w:p>
    <w:p w14:paraId="4665E826" w14:textId="77777777" w:rsidR="000317F7" w:rsidRDefault="000317F7">
      <w:pPr>
        <w:spacing w:after="0" w:line="260" w:lineRule="auto"/>
        <w:rPr>
          <w:rFonts w:cs="Arial"/>
        </w:rPr>
      </w:pPr>
    </w:p>
    <w:p w14:paraId="4E87D13F" w14:textId="0AF07863" w:rsidR="000317F7" w:rsidRDefault="00C85571">
      <w:pPr>
        <w:spacing w:after="0" w:line="260" w:lineRule="auto"/>
      </w:pPr>
      <w:r w:rsidRPr="00C85571">
        <w:t>Predlog zakona nima finančnih posledic za državni proračun ali druga javnofinančna sredstva.</w:t>
      </w:r>
    </w:p>
    <w:p w14:paraId="4B7336C0" w14:textId="77777777" w:rsidR="000317F7" w:rsidRDefault="000317F7">
      <w:pPr>
        <w:spacing w:after="0" w:line="260" w:lineRule="auto"/>
        <w:rPr>
          <w:rFonts w:cs="Arial"/>
        </w:rPr>
      </w:pPr>
    </w:p>
    <w:p w14:paraId="1E084DED" w14:textId="77777777" w:rsidR="000317F7" w:rsidRDefault="00F06B25">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3FA23F56" w14:textId="77777777" w:rsidR="000317F7" w:rsidRDefault="000317F7">
      <w:pPr>
        <w:spacing w:after="0" w:line="260" w:lineRule="auto"/>
        <w:rPr>
          <w:rFonts w:cs="Arial"/>
        </w:rPr>
      </w:pPr>
    </w:p>
    <w:p w14:paraId="02E5B3C2" w14:textId="752F39A8" w:rsidR="000317F7" w:rsidRDefault="00565B1C">
      <w:pPr>
        <w:spacing w:after="0" w:line="260" w:lineRule="auto"/>
      </w:pPr>
      <w:r w:rsidRPr="00565B1C">
        <w:t>Za izvajanje zakona ni potrebno zagotoviti finančnih sredstev v sprejetem državnem proračunu.</w:t>
      </w:r>
    </w:p>
    <w:p w14:paraId="060AA94F" w14:textId="77777777" w:rsidR="00565B1C" w:rsidRDefault="00565B1C">
      <w:pPr>
        <w:spacing w:after="0" w:line="260" w:lineRule="auto"/>
        <w:rPr>
          <w:rFonts w:cs="Arial"/>
        </w:rPr>
      </w:pPr>
    </w:p>
    <w:p w14:paraId="412DBE6B" w14:textId="77777777" w:rsidR="000317F7" w:rsidRDefault="00F06B25">
      <w:pPr>
        <w:pStyle w:val="Odebeljeno"/>
        <w:spacing w:line="260" w:lineRule="auto"/>
      </w:pPr>
      <w:r>
        <w:t>5.</w:t>
      </w:r>
      <w:r>
        <w:tab/>
        <w:t>Prikaz ureditve v drugih pravnih sistemih in prilagojenosti predlagane ureditve pravu Evropske unije</w:t>
      </w:r>
    </w:p>
    <w:p w14:paraId="12EED768" w14:textId="77777777" w:rsidR="000317F7" w:rsidRDefault="000317F7">
      <w:pPr>
        <w:spacing w:after="0" w:line="260" w:lineRule="auto"/>
        <w:rPr>
          <w:rFonts w:cs="Arial"/>
        </w:rPr>
      </w:pPr>
    </w:p>
    <w:p w14:paraId="6FCA74AA" w14:textId="77777777" w:rsidR="000317F7" w:rsidRDefault="00F06B25">
      <w:pPr>
        <w:pStyle w:val="Odebeljeno"/>
        <w:spacing w:line="260" w:lineRule="auto"/>
      </w:pPr>
      <w:r>
        <w:t>5.1</w:t>
      </w:r>
      <w:r>
        <w:tab/>
        <w:t>Prikaz ureditve v drugih pravnih sistemih</w:t>
      </w:r>
    </w:p>
    <w:p w14:paraId="44EA8D53" w14:textId="77777777" w:rsidR="000317F7" w:rsidRDefault="000317F7">
      <w:pPr>
        <w:spacing w:after="0" w:line="260" w:lineRule="auto"/>
        <w:rPr>
          <w:rFonts w:cs="Arial"/>
        </w:rPr>
      </w:pPr>
    </w:p>
    <w:p w14:paraId="753C94D2" w14:textId="77777777" w:rsidR="000317F7" w:rsidRDefault="00F06B25">
      <w:pPr>
        <w:spacing w:after="0" w:line="260" w:lineRule="auto"/>
      </w:pPr>
      <w:r>
        <w:t>/</w:t>
      </w:r>
    </w:p>
    <w:p w14:paraId="30263D2B" w14:textId="77777777" w:rsidR="000317F7" w:rsidRDefault="000317F7">
      <w:pPr>
        <w:spacing w:after="0" w:line="260" w:lineRule="auto"/>
        <w:rPr>
          <w:rFonts w:cs="Arial"/>
        </w:rPr>
      </w:pPr>
    </w:p>
    <w:p w14:paraId="46055E48" w14:textId="77777777" w:rsidR="000317F7" w:rsidRDefault="00F06B25">
      <w:pPr>
        <w:pStyle w:val="Odebeljeno"/>
        <w:spacing w:line="260" w:lineRule="auto"/>
      </w:pPr>
      <w:r>
        <w:t>5.2</w:t>
      </w:r>
      <w:r>
        <w:tab/>
        <w:t>Prikaz ureditve v pravnem redu Evropske unije</w:t>
      </w:r>
    </w:p>
    <w:p w14:paraId="79D7CD11" w14:textId="77777777" w:rsidR="00C85571" w:rsidRDefault="00C85571">
      <w:pPr>
        <w:pStyle w:val="Odebeljeno"/>
        <w:spacing w:line="260" w:lineRule="auto"/>
      </w:pPr>
    </w:p>
    <w:p w14:paraId="71E55106" w14:textId="77777777" w:rsidR="00C85571" w:rsidRPr="00BA7F58" w:rsidRDefault="00C85571" w:rsidP="00C85571">
      <w:pPr>
        <w:spacing w:after="0" w:line="260" w:lineRule="auto"/>
        <w:rPr>
          <w:rFonts w:cs="Arial"/>
          <w:b/>
        </w:rPr>
      </w:pPr>
      <w:r w:rsidRPr="00BA7F58">
        <w:rPr>
          <w:rFonts w:cs="Arial"/>
          <w:bCs/>
        </w:rPr>
        <w:t>Predlog zakona je predmet usklajevanja s pravom EU.</w:t>
      </w:r>
    </w:p>
    <w:p w14:paraId="2BF3A733" w14:textId="77777777" w:rsidR="00C85571" w:rsidRDefault="00C85571">
      <w:pPr>
        <w:pStyle w:val="Odebeljeno"/>
        <w:spacing w:line="260" w:lineRule="auto"/>
      </w:pPr>
    </w:p>
    <w:p w14:paraId="56FECAD2" w14:textId="77777777" w:rsidR="000317F7" w:rsidRDefault="000317F7">
      <w:pPr>
        <w:spacing w:after="0" w:line="260" w:lineRule="auto"/>
        <w:rPr>
          <w:rFonts w:cs="Arial"/>
        </w:rPr>
      </w:pPr>
    </w:p>
    <w:tbl>
      <w:tblPr>
        <w:tblStyle w:val="Tabelamrea"/>
        <w:tblW w:w="0" w:type="auto"/>
        <w:tblLook w:val="04A0" w:firstRow="1" w:lastRow="0" w:firstColumn="1" w:lastColumn="0" w:noHBand="0" w:noVBand="1"/>
      </w:tblPr>
      <w:tblGrid>
        <w:gridCol w:w="9062"/>
      </w:tblGrid>
      <w:tr w:rsidR="000317F7" w14:paraId="2C49F5E3" w14:textId="77777777" w:rsidTr="00E91806">
        <w:trPr>
          <w:trHeight w:val="416"/>
        </w:trPr>
        <w:tc>
          <w:tcPr>
            <w:tcW w:w="9062" w:type="dxa"/>
            <w:tcBorders>
              <w:bottom w:val="triple" w:sz="4" w:space="0" w:color="auto"/>
            </w:tcBorders>
            <w:vAlign w:val="center"/>
          </w:tcPr>
          <w:p w14:paraId="07B7ABE4" w14:textId="77777777" w:rsidR="000317F7" w:rsidRDefault="00F06B25">
            <w:pPr>
              <w:jc w:val="center"/>
              <w:rPr>
                <w:b/>
              </w:rPr>
            </w:pPr>
            <w:r>
              <w:rPr>
                <w:b/>
              </w:rPr>
              <w:lastRenderedPageBreak/>
              <w:t>IZJAVA O SKLADNOSTI S PRAVNIM REDOM EU</w:t>
            </w:r>
          </w:p>
        </w:tc>
      </w:tr>
    </w:tbl>
    <w:p w14:paraId="2C6AD7D0" w14:textId="77777777" w:rsidR="000317F7" w:rsidRDefault="00F06B25">
      <w:pPr>
        <w:spacing w:after="0"/>
        <w:rPr>
          <w:b/>
          <w:u w:val="single"/>
        </w:rPr>
      </w:pPr>
      <w:r>
        <w:rPr>
          <w:b/>
          <w:u w:val="single"/>
        </w:rPr>
        <w:t>NASLOV PREDPISA RS</w:t>
      </w:r>
    </w:p>
    <w:p w14:paraId="19E611F1" w14:textId="77777777" w:rsidR="000317F7" w:rsidRDefault="000317F7">
      <w:pPr>
        <w:spacing w:after="0"/>
      </w:pPr>
    </w:p>
    <w:p w14:paraId="2A4B1A0D" w14:textId="77777777" w:rsidR="000317F7" w:rsidRDefault="00F06B25">
      <w:pPr>
        <w:spacing w:after="0" w:line="360" w:lineRule="auto"/>
      </w:pPr>
      <w:r>
        <w:t>Zakon o spremembah in dopolnitvah Zakona o trgu finančnih instrumentov</w:t>
      </w:r>
    </w:p>
    <w:p w14:paraId="1E3333D9" w14:textId="77777777" w:rsidR="000317F7" w:rsidRDefault="000317F7">
      <w:pPr>
        <w:spacing w:after="0"/>
      </w:pPr>
    </w:p>
    <w:p w14:paraId="2D58DE7B" w14:textId="77777777" w:rsidR="000317F7" w:rsidRDefault="00F06B25">
      <w:pPr>
        <w:spacing w:after="0"/>
        <w:rPr>
          <w:b/>
        </w:rPr>
      </w:pPr>
      <w:r>
        <w:rPr>
          <w:b/>
          <w:u w:val="single"/>
        </w:rPr>
        <w:t>EVA</w:t>
      </w:r>
    </w:p>
    <w:p w14:paraId="455BD592" w14:textId="77777777" w:rsidR="000317F7" w:rsidRDefault="00F06B25">
      <w:pPr>
        <w:spacing w:after="0"/>
      </w:pPr>
      <w:r>
        <w:t>2026-1611-0040</w:t>
      </w:r>
    </w:p>
    <w:p w14:paraId="6F1D276A" w14:textId="77777777" w:rsidR="000317F7" w:rsidRDefault="000317F7">
      <w:pPr>
        <w:spacing w:after="0"/>
      </w:pPr>
    </w:p>
    <w:p w14:paraId="4C7E047E" w14:textId="77777777" w:rsidR="000317F7" w:rsidRDefault="00F06B25">
      <w:pPr>
        <w:spacing w:after="0"/>
        <w:rPr>
          <w:b/>
          <w:u w:val="single"/>
        </w:rPr>
      </w:pPr>
      <w:r>
        <w:rPr>
          <w:b/>
          <w:u w:val="single"/>
        </w:rPr>
        <w:t>AKTI EU, KATERIH PRENOS ALI IZVAJANJE SE ZAGOTAVLJA S PREDPISOM RS</w:t>
      </w:r>
    </w:p>
    <w:p w14:paraId="197F40B3" w14:textId="77777777" w:rsidR="000317F7" w:rsidRDefault="000317F7">
      <w:pPr>
        <w:spacing w:after="0"/>
      </w:pPr>
    </w:p>
    <w:tbl>
      <w:tblPr>
        <w:tblStyle w:val="Navadnatabela11"/>
        <w:tblW w:w="8628" w:type="dxa"/>
        <w:tblInd w:w="127" w:type="dxa"/>
        <w:tblLook w:val="04A0" w:firstRow="1" w:lastRow="0" w:firstColumn="1" w:lastColumn="0" w:noHBand="0" w:noVBand="1"/>
      </w:tblPr>
      <w:tblGrid>
        <w:gridCol w:w="672"/>
        <w:gridCol w:w="1540"/>
        <w:gridCol w:w="4751"/>
        <w:gridCol w:w="1665"/>
      </w:tblGrid>
      <w:tr w:rsidR="000317F7" w14:paraId="13DBEC06" w14:textId="77777777" w:rsidTr="000317F7">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41E1CE39" w14:textId="77777777" w:rsidR="000317F7" w:rsidRDefault="00F06B25">
            <w:pPr>
              <w:jc w:val="center"/>
            </w:pPr>
            <w:r>
              <w:t>Št.</w:t>
            </w:r>
          </w:p>
        </w:tc>
        <w:tc>
          <w:tcPr>
            <w:tcW w:w="1559" w:type="dxa"/>
            <w:shd w:val="clear" w:color="auto" w:fill="808080"/>
          </w:tcPr>
          <w:p w14:paraId="0EB12738" w14:textId="77777777" w:rsidR="000317F7" w:rsidRDefault="00F06B25">
            <w:pPr>
              <w:jc w:val="center"/>
            </w:pPr>
            <w:r>
              <w:t>CELEX</w:t>
            </w:r>
          </w:p>
        </w:tc>
        <w:tc>
          <w:tcPr>
            <w:tcW w:w="4816" w:type="dxa"/>
            <w:shd w:val="clear" w:color="auto" w:fill="808080"/>
          </w:tcPr>
          <w:p w14:paraId="3D3A3FE6" w14:textId="77777777" w:rsidR="000317F7" w:rsidRDefault="00F06B25">
            <w:pPr>
              <w:jc w:val="center"/>
            </w:pPr>
            <w:r>
              <w:t>Naslov</w:t>
            </w:r>
          </w:p>
        </w:tc>
        <w:tc>
          <w:tcPr>
            <w:tcW w:w="1559" w:type="dxa"/>
            <w:shd w:val="clear" w:color="auto" w:fill="808080"/>
          </w:tcPr>
          <w:p w14:paraId="7EB22900" w14:textId="77777777" w:rsidR="000317F7" w:rsidRDefault="00F06B25">
            <w:pPr>
              <w:jc w:val="center"/>
            </w:pPr>
            <w:r>
              <w:t>Zadnjič spremenjen z (CELEX)</w:t>
            </w:r>
          </w:p>
        </w:tc>
      </w:tr>
      <w:tr w:rsidR="000317F7" w14:paraId="5FC48105" w14:textId="77777777" w:rsidTr="000317F7">
        <w:trPr>
          <w:cnfStyle w:val="000000100000" w:firstRow="0" w:lastRow="0" w:firstColumn="0" w:lastColumn="0" w:oddVBand="0" w:evenVBand="0" w:oddHBand="1" w:evenHBand="0" w:firstRowFirstColumn="0" w:firstRowLastColumn="0" w:lastRowFirstColumn="0" w:lastRowLastColumn="0"/>
        </w:trPr>
        <w:tc>
          <w:tcPr>
            <w:tcW w:w="694" w:type="dxa"/>
          </w:tcPr>
          <w:p w14:paraId="76FA61F1" w14:textId="77777777" w:rsidR="000317F7" w:rsidRDefault="00F06B25">
            <w:r>
              <w:t>1</w:t>
            </w:r>
          </w:p>
        </w:tc>
        <w:tc>
          <w:tcPr>
            <w:tcW w:w="1559" w:type="dxa"/>
          </w:tcPr>
          <w:p w14:paraId="7E8C4A7D" w14:textId="77777777" w:rsidR="000317F7" w:rsidRDefault="00F06B25">
            <w:r>
              <w:t>32024R2809</w:t>
            </w:r>
          </w:p>
        </w:tc>
        <w:tc>
          <w:tcPr>
            <w:tcW w:w="5099" w:type="dxa"/>
          </w:tcPr>
          <w:p w14:paraId="6712ABFF" w14:textId="77777777" w:rsidR="000317F7" w:rsidRDefault="00F06B25">
            <w:r>
              <w:t>Uredba (EU) 2024/2809 Evropskega parlamenta in Sveta z dne 23. oktobra 2024 o spremembi uredb (EU) 2017/1129, (EU) št. 596/2014 in (EU) št. 600/2014 za povečanje privlačnosti javnih kapitalskih trgov v Uniji za podjetja in za olajšanje dostopa do kapitala za mala in srednja podjetja (Besedilo velja za EGP)</w:t>
            </w:r>
          </w:p>
        </w:tc>
        <w:tc>
          <w:tcPr>
            <w:tcW w:w="1701" w:type="dxa"/>
          </w:tcPr>
          <w:p w14:paraId="525D48F3" w14:textId="77777777" w:rsidR="000317F7" w:rsidRDefault="000317F7"/>
        </w:tc>
      </w:tr>
      <w:tr w:rsidR="000317F7" w14:paraId="4773DF8C" w14:textId="77777777" w:rsidTr="000317F7">
        <w:tc>
          <w:tcPr>
            <w:tcW w:w="694" w:type="dxa"/>
          </w:tcPr>
          <w:p w14:paraId="1096887E" w14:textId="77777777" w:rsidR="000317F7" w:rsidRDefault="00F06B25">
            <w:r>
              <w:t>2</w:t>
            </w:r>
          </w:p>
        </w:tc>
        <w:tc>
          <w:tcPr>
            <w:tcW w:w="1559" w:type="dxa"/>
          </w:tcPr>
          <w:p w14:paraId="79FEFDEC" w14:textId="77777777" w:rsidR="000317F7" w:rsidRDefault="00F06B25">
            <w:r>
              <w:t>32024L2810</w:t>
            </w:r>
          </w:p>
        </w:tc>
        <w:tc>
          <w:tcPr>
            <w:tcW w:w="5099" w:type="dxa"/>
          </w:tcPr>
          <w:p w14:paraId="466030C2" w14:textId="77777777" w:rsidR="000317F7" w:rsidRDefault="00F06B25">
            <w:r>
              <w:t>Direktiva (EU) 2024/2810 Evropskega parlamenta in Sveta z dne 23. oktobra 2024 o delniških strukturah z delnicami z večkratno glasovalno pravico v družbah, ki želijo uvrstiti svoje delnice v večstranski sistem trgovanja (Besedilo velja za EGP)</w:t>
            </w:r>
          </w:p>
        </w:tc>
        <w:tc>
          <w:tcPr>
            <w:tcW w:w="1701" w:type="dxa"/>
          </w:tcPr>
          <w:p w14:paraId="733B5D36" w14:textId="77777777" w:rsidR="000317F7" w:rsidRDefault="000317F7"/>
        </w:tc>
      </w:tr>
      <w:tr w:rsidR="000317F7" w14:paraId="7BF0983F" w14:textId="77777777" w:rsidTr="000317F7">
        <w:trPr>
          <w:cnfStyle w:val="000000100000" w:firstRow="0" w:lastRow="0" w:firstColumn="0" w:lastColumn="0" w:oddVBand="0" w:evenVBand="0" w:oddHBand="1" w:evenHBand="0" w:firstRowFirstColumn="0" w:firstRowLastColumn="0" w:lastRowFirstColumn="0" w:lastRowLastColumn="0"/>
        </w:trPr>
        <w:tc>
          <w:tcPr>
            <w:tcW w:w="694" w:type="dxa"/>
          </w:tcPr>
          <w:p w14:paraId="4353CC4F" w14:textId="77777777" w:rsidR="000317F7" w:rsidRDefault="00F06B25">
            <w:r>
              <w:t>3</w:t>
            </w:r>
          </w:p>
        </w:tc>
        <w:tc>
          <w:tcPr>
            <w:tcW w:w="1559" w:type="dxa"/>
          </w:tcPr>
          <w:p w14:paraId="00D1D35C" w14:textId="77777777" w:rsidR="000317F7" w:rsidRDefault="00F06B25">
            <w:r>
              <w:t>32024L2811</w:t>
            </w:r>
          </w:p>
        </w:tc>
        <w:tc>
          <w:tcPr>
            <w:tcW w:w="5099" w:type="dxa"/>
          </w:tcPr>
          <w:p w14:paraId="0CA6300A" w14:textId="77777777" w:rsidR="000317F7" w:rsidRDefault="00F06B25">
            <w:r>
              <w:t>Direktiva (EU) 2024/2811 Evropskega parlamenta in Sveta z dne 23. oktobra 2024 o spremembi Direktive 2014/65/EU za povečanje privlačnosti javnih kapitalskih trgov v Uniji za podjetja in olajšanje dostopa do kapitala za mala in srednja podjetja ter razveljavitvi Direktive 2001/34/ES (Besedilo velja za EGP)</w:t>
            </w:r>
          </w:p>
        </w:tc>
        <w:tc>
          <w:tcPr>
            <w:tcW w:w="1701" w:type="dxa"/>
          </w:tcPr>
          <w:p w14:paraId="5E8DAB46" w14:textId="77777777" w:rsidR="000317F7" w:rsidRDefault="000317F7"/>
        </w:tc>
      </w:tr>
      <w:tr w:rsidR="000317F7" w14:paraId="64CAB10B" w14:textId="77777777" w:rsidTr="000317F7">
        <w:tc>
          <w:tcPr>
            <w:tcW w:w="694" w:type="dxa"/>
          </w:tcPr>
          <w:p w14:paraId="580D9C20" w14:textId="77777777" w:rsidR="000317F7" w:rsidRDefault="00F06B25">
            <w:r>
              <w:t>4</w:t>
            </w:r>
          </w:p>
        </w:tc>
        <w:tc>
          <w:tcPr>
            <w:tcW w:w="1559" w:type="dxa"/>
          </w:tcPr>
          <w:p w14:paraId="1D2B5F8E" w14:textId="77777777" w:rsidR="000317F7" w:rsidRDefault="00F06B25">
            <w:r>
              <w:t>32026L0374</w:t>
            </w:r>
          </w:p>
        </w:tc>
        <w:tc>
          <w:tcPr>
            <w:tcW w:w="5099" w:type="dxa"/>
          </w:tcPr>
          <w:p w14:paraId="23FD7B97" w14:textId="77777777" w:rsidR="000317F7" w:rsidRDefault="00F06B25">
            <w:r>
              <w:t>Delegirana direktiva Komisije (EU) 2026/374 z dne 20. februarja 2026 o spremembi Delegirane direktive (EU) 2017/593 v zvezi s pogoji za opravljanje storitev izvrševanja in raziskav s strani tretjih oseb za investicijska podjetja, ki opravljajo storitve upravljanja portfeljev ali druge investicijske ali pomožne storitve</w:t>
            </w:r>
          </w:p>
        </w:tc>
        <w:tc>
          <w:tcPr>
            <w:tcW w:w="1701" w:type="dxa"/>
          </w:tcPr>
          <w:p w14:paraId="4E7B21C0" w14:textId="77777777" w:rsidR="000317F7" w:rsidRDefault="000317F7"/>
        </w:tc>
      </w:tr>
      <w:tr w:rsidR="000317F7" w14:paraId="72A00A20" w14:textId="77777777" w:rsidTr="000317F7">
        <w:trPr>
          <w:cnfStyle w:val="000000100000" w:firstRow="0" w:lastRow="0" w:firstColumn="0" w:lastColumn="0" w:oddVBand="0" w:evenVBand="0" w:oddHBand="1" w:evenHBand="0" w:firstRowFirstColumn="0" w:firstRowLastColumn="0" w:lastRowFirstColumn="0" w:lastRowLastColumn="0"/>
        </w:trPr>
        <w:tc>
          <w:tcPr>
            <w:tcW w:w="694" w:type="dxa"/>
          </w:tcPr>
          <w:p w14:paraId="4EF6DB39" w14:textId="77777777" w:rsidR="000317F7" w:rsidRDefault="00F06B25">
            <w:r>
              <w:t>5</w:t>
            </w:r>
          </w:p>
        </w:tc>
        <w:tc>
          <w:tcPr>
            <w:tcW w:w="1559" w:type="dxa"/>
          </w:tcPr>
          <w:p w14:paraId="6F44E695" w14:textId="77777777" w:rsidR="000317F7" w:rsidRDefault="00F06B25">
            <w:r>
              <w:t>32025R0914</w:t>
            </w:r>
          </w:p>
        </w:tc>
        <w:tc>
          <w:tcPr>
            <w:tcW w:w="5099" w:type="dxa"/>
          </w:tcPr>
          <w:p w14:paraId="414EC9E8" w14:textId="77777777" w:rsidR="000317F7" w:rsidRDefault="00F06B25">
            <w:r>
              <w:t>Uredba (EU) 2025/914 Evropskega parlamenta in Sveta z dne 7. maja 2025 o spremembi Uredbe (EU) 2016/1011 v zvezi s področjem uporabe pravil za referenčne vrednosti, uporabo referenčnih vrednosti, ki jih zagotavlja upravljavec s sedežem v tretji državi, v Uniji in nekaterimi zahtevami glede poročanja (Besedilo velja za EGP)</w:t>
            </w:r>
          </w:p>
        </w:tc>
        <w:tc>
          <w:tcPr>
            <w:tcW w:w="1701" w:type="dxa"/>
          </w:tcPr>
          <w:p w14:paraId="06A492CA" w14:textId="77777777" w:rsidR="000317F7" w:rsidRDefault="000317F7"/>
        </w:tc>
      </w:tr>
      <w:tr w:rsidR="000317F7" w14:paraId="3EE510F4" w14:textId="77777777" w:rsidTr="000317F7">
        <w:tc>
          <w:tcPr>
            <w:tcW w:w="694" w:type="dxa"/>
          </w:tcPr>
          <w:p w14:paraId="00B1570E" w14:textId="77777777" w:rsidR="000317F7" w:rsidRDefault="00F06B25">
            <w:r>
              <w:t>6</w:t>
            </w:r>
          </w:p>
        </w:tc>
        <w:tc>
          <w:tcPr>
            <w:tcW w:w="1559" w:type="dxa"/>
          </w:tcPr>
          <w:p w14:paraId="2E655714" w14:textId="77777777" w:rsidR="000317F7" w:rsidRDefault="00F06B25">
            <w:r>
              <w:t>32014L0065</w:t>
            </w:r>
          </w:p>
        </w:tc>
        <w:tc>
          <w:tcPr>
            <w:tcW w:w="5099" w:type="dxa"/>
          </w:tcPr>
          <w:p w14:paraId="00CA6D71" w14:textId="77777777" w:rsidR="000317F7" w:rsidRDefault="00F06B25">
            <w:r>
              <w:t>Direktiva 2014/65/EU Evropskega parlamenta in Sveta z dne 15. maja 2014 o trgih finančnih instrumentov ter spremembi Direktive 2002/92/ES in Direktive 2011/61/EU</w:t>
            </w:r>
          </w:p>
        </w:tc>
        <w:tc>
          <w:tcPr>
            <w:tcW w:w="1701" w:type="dxa"/>
          </w:tcPr>
          <w:p w14:paraId="70D5387D" w14:textId="77777777" w:rsidR="000317F7" w:rsidRDefault="00F06B25">
            <w:r>
              <w:t>32024L2811</w:t>
            </w:r>
          </w:p>
        </w:tc>
      </w:tr>
      <w:tr w:rsidR="000317F7" w14:paraId="55FCF077" w14:textId="77777777" w:rsidTr="000317F7">
        <w:trPr>
          <w:cnfStyle w:val="000000100000" w:firstRow="0" w:lastRow="0" w:firstColumn="0" w:lastColumn="0" w:oddVBand="0" w:evenVBand="0" w:oddHBand="1" w:evenHBand="0" w:firstRowFirstColumn="0" w:firstRowLastColumn="0" w:lastRowFirstColumn="0" w:lastRowLastColumn="0"/>
        </w:trPr>
        <w:tc>
          <w:tcPr>
            <w:tcW w:w="694" w:type="dxa"/>
          </w:tcPr>
          <w:p w14:paraId="74C83FDF" w14:textId="77777777" w:rsidR="000317F7" w:rsidRDefault="00F06B25">
            <w:r>
              <w:t>7</w:t>
            </w:r>
          </w:p>
        </w:tc>
        <w:tc>
          <w:tcPr>
            <w:tcW w:w="1559" w:type="dxa"/>
          </w:tcPr>
          <w:p w14:paraId="4147490B" w14:textId="77777777" w:rsidR="000317F7" w:rsidRDefault="00F06B25">
            <w:r>
              <w:t>32019L0879</w:t>
            </w:r>
          </w:p>
        </w:tc>
        <w:tc>
          <w:tcPr>
            <w:tcW w:w="5099" w:type="dxa"/>
          </w:tcPr>
          <w:p w14:paraId="66CA0EB9" w14:textId="77777777" w:rsidR="000317F7" w:rsidRDefault="00F06B25">
            <w:r>
              <w:t xml:space="preserve">Direktiva (EU) 2019/879 Evropskega parlamenta in Sveta z dne 20. maja 2019 o spremembi Direktive </w:t>
            </w:r>
            <w:r>
              <w:lastRenderedPageBreak/>
              <w:t>2014/59/EU glede sposobnosti kreditnih institucij in investicijskih podjetij za pokrivanje izgub in dokapitalizacijo ter Direktive 98/26/ES</w:t>
            </w:r>
          </w:p>
        </w:tc>
        <w:tc>
          <w:tcPr>
            <w:tcW w:w="1701" w:type="dxa"/>
          </w:tcPr>
          <w:p w14:paraId="70A3C657" w14:textId="77777777" w:rsidR="000317F7" w:rsidRDefault="000317F7"/>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0317F7" w14:paraId="5EA8C5BC" w14:textId="77777777">
        <w:trPr>
          <w:trHeight w:val="452"/>
          <w:tblHeader/>
        </w:trPr>
        <w:tc>
          <w:tcPr>
            <w:tcW w:w="3529" w:type="dxa"/>
            <w:gridSpan w:val="4"/>
            <w:shd w:val="clear" w:color="auto" w:fill="808080"/>
          </w:tcPr>
          <w:p w14:paraId="63A1DE9E" w14:textId="77777777" w:rsidR="000317F7" w:rsidRDefault="00F06B25">
            <w:pPr>
              <w:jc w:val="center"/>
              <w:rPr>
                <w:b/>
              </w:rPr>
            </w:pPr>
            <w:r>
              <w:rPr>
                <w:b/>
              </w:rPr>
              <w:t>Predpis RS</w:t>
            </w:r>
          </w:p>
        </w:tc>
        <w:tc>
          <w:tcPr>
            <w:tcW w:w="1559" w:type="dxa"/>
            <w:vMerge w:val="restart"/>
            <w:shd w:val="clear" w:color="auto" w:fill="808080"/>
          </w:tcPr>
          <w:p w14:paraId="53E647FC" w14:textId="77777777" w:rsidR="000317F7" w:rsidRDefault="00F06B25">
            <w:pPr>
              <w:jc w:val="center"/>
              <w:rPr>
                <w:b/>
              </w:rPr>
            </w:pPr>
            <w:r>
              <w:rPr>
                <w:b/>
              </w:rPr>
              <w:t>Opomba ali CELEX akta EU predpisa</w:t>
            </w:r>
          </w:p>
        </w:tc>
        <w:tc>
          <w:tcPr>
            <w:tcW w:w="3528" w:type="dxa"/>
            <w:gridSpan w:val="4"/>
            <w:shd w:val="clear" w:color="auto" w:fill="808080"/>
          </w:tcPr>
          <w:p w14:paraId="446480AA" w14:textId="77777777" w:rsidR="000317F7" w:rsidRDefault="00F06B25">
            <w:pPr>
              <w:jc w:val="center"/>
              <w:rPr>
                <w:b/>
              </w:rPr>
            </w:pPr>
            <w:r>
              <w:rPr>
                <w:b/>
              </w:rPr>
              <w:t>Akt EU</w:t>
            </w:r>
          </w:p>
        </w:tc>
      </w:tr>
      <w:tr w:rsidR="000317F7" w14:paraId="198DBDC3" w14:textId="77777777">
        <w:trPr>
          <w:trHeight w:val="250"/>
          <w:tblHeader/>
        </w:trPr>
        <w:tc>
          <w:tcPr>
            <w:tcW w:w="709" w:type="dxa"/>
            <w:tcBorders>
              <w:bottom w:val="double" w:sz="4" w:space="0" w:color="auto"/>
            </w:tcBorders>
            <w:shd w:val="clear" w:color="auto" w:fill="808080"/>
          </w:tcPr>
          <w:p w14:paraId="0BB69E2F" w14:textId="77777777" w:rsidR="000317F7" w:rsidRDefault="00F06B25">
            <w:r>
              <w:t>Člen</w:t>
            </w:r>
          </w:p>
        </w:tc>
        <w:tc>
          <w:tcPr>
            <w:tcW w:w="1134" w:type="dxa"/>
            <w:tcBorders>
              <w:bottom w:val="double" w:sz="4" w:space="0" w:color="auto"/>
            </w:tcBorders>
            <w:shd w:val="clear" w:color="auto" w:fill="808080"/>
          </w:tcPr>
          <w:p w14:paraId="77DF1F3A" w14:textId="77777777" w:rsidR="000317F7" w:rsidRDefault="00F06B25">
            <w:r>
              <w:t>Odstavek</w:t>
            </w:r>
          </w:p>
        </w:tc>
        <w:tc>
          <w:tcPr>
            <w:tcW w:w="851" w:type="dxa"/>
            <w:tcBorders>
              <w:bottom w:val="double" w:sz="4" w:space="0" w:color="auto"/>
            </w:tcBorders>
            <w:shd w:val="clear" w:color="auto" w:fill="808080"/>
          </w:tcPr>
          <w:p w14:paraId="45BDF014" w14:textId="77777777" w:rsidR="000317F7" w:rsidRDefault="00F06B25">
            <w:r>
              <w:t>Točka</w:t>
            </w:r>
          </w:p>
        </w:tc>
        <w:tc>
          <w:tcPr>
            <w:tcW w:w="850" w:type="dxa"/>
            <w:tcBorders>
              <w:bottom w:val="double" w:sz="4" w:space="0" w:color="auto"/>
            </w:tcBorders>
            <w:shd w:val="clear" w:color="auto" w:fill="808080"/>
          </w:tcPr>
          <w:p w14:paraId="22AFFA6C" w14:textId="77777777" w:rsidR="000317F7" w:rsidRDefault="00F06B25">
            <w:r>
              <w:t>Alinea</w:t>
            </w:r>
          </w:p>
        </w:tc>
        <w:tc>
          <w:tcPr>
            <w:tcW w:w="1985" w:type="dxa"/>
            <w:vMerge/>
            <w:tcBorders>
              <w:bottom w:val="double" w:sz="4" w:space="0" w:color="auto"/>
            </w:tcBorders>
            <w:shd w:val="clear" w:color="auto" w:fill="808080"/>
          </w:tcPr>
          <w:p w14:paraId="5426BBD4" w14:textId="77777777" w:rsidR="000317F7" w:rsidRDefault="000317F7">
            <w:pPr>
              <w:rPr>
                <w:b/>
              </w:rPr>
            </w:pPr>
          </w:p>
        </w:tc>
        <w:tc>
          <w:tcPr>
            <w:tcW w:w="709" w:type="dxa"/>
            <w:tcBorders>
              <w:bottom w:val="double" w:sz="4" w:space="0" w:color="auto"/>
            </w:tcBorders>
            <w:shd w:val="clear" w:color="auto" w:fill="808080"/>
          </w:tcPr>
          <w:p w14:paraId="6D008F80" w14:textId="77777777" w:rsidR="000317F7" w:rsidRDefault="00F06B25">
            <w:r>
              <w:t>Člen</w:t>
            </w:r>
          </w:p>
        </w:tc>
        <w:tc>
          <w:tcPr>
            <w:tcW w:w="1134" w:type="dxa"/>
            <w:tcBorders>
              <w:bottom w:val="double" w:sz="4" w:space="0" w:color="auto"/>
            </w:tcBorders>
            <w:shd w:val="clear" w:color="auto" w:fill="808080"/>
          </w:tcPr>
          <w:p w14:paraId="498E1963" w14:textId="77777777" w:rsidR="000317F7" w:rsidRDefault="00F06B25">
            <w:r>
              <w:t>Odstavek</w:t>
            </w:r>
          </w:p>
        </w:tc>
        <w:tc>
          <w:tcPr>
            <w:tcW w:w="851" w:type="dxa"/>
            <w:tcBorders>
              <w:bottom w:val="double" w:sz="4" w:space="0" w:color="auto"/>
            </w:tcBorders>
            <w:shd w:val="clear" w:color="auto" w:fill="808080"/>
          </w:tcPr>
          <w:p w14:paraId="6B70B66A" w14:textId="77777777" w:rsidR="000317F7" w:rsidRDefault="00F06B25">
            <w:r>
              <w:t>Točka</w:t>
            </w:r>
          </w:p>
        </w:tc>
        <w:tc>
          <w:tcPr>
            <w:tcW w:w="850" w:type="dxa"/>
            <w:tcBorders>
              <w:bottom w:val="double" w:sz="4" w:space="0" w:color="auto"/>
            </w:tcBorders>
            <w:shd w:val="clear" w:color="auto" w:fill="808080"/>
          </w:tcPr>
          <w:p w14:paraId="5E12FD56" w14:textId="77777777" w:rsidR="000317F7" w:rsidRDefault="00F06B25">
            <w:r>
              <w:t>Alinea</w:t>
            </w:r>
          </w:p>
        </w:tc>
      </w:tr>
      <w:tr w:rsidR="000317F7" w14:paraId="6467BDBE"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59C6E"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F29CF"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3E228"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81163"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4002B9"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B51B25" w14:textId="77777777" w:rsidR="000317F7" w:rsidRDefault="00F06B25">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DF2D2A"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46C1E"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475CB" w14:textId="77777777" w:rsidR="000317F7" w:rsidRDefault="000317F7">
            <w:pPr>
              <w:jc w:val="center"/>
            </w:pPr>
          </w:p>
        </w:tc>
      </w:tr>
      <w:tr w:rsidR="000317F7" w14:paraId="6FC99DED"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7096C"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678D"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CE54AE"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3637C"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C88CE" w14:textId="77777777" w:rsidR="000317F7" w:rsidRDefault="00F06B25">
            <w:pPr>
              <w:jc w:val="center"/>
            </w:pPr>
            <w:r>
              <w:t>32024R2809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0AF2" w14:textId="77777777" w:rsidR="000317F7" w:rsidRDefault="00F06B25">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25C406"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DF96A"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62C2E" w14:textId="77777777" w:rsidR="000317F7" w:rsidRDefault="000317F7">
            <w:pPr>
              <w:jc w:val="center"/>
            </w:pPr>
          </w:p>
        </w:tc>
      </w:tr>
      <w:tr w:rsidR="000317F7" w14:paraId="2285D84D"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C764D"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131C58"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35AE7"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2F800"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11F06"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EFE8F1" w14:textId="77777777" w:rsidR="000317F7" w:rsidRDefault="00F06B25">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C8557F"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84AAF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0EBE0" w14:textId="77777777" w:rsidR="000317F7" w:rsidRDefault="000317F7">
            <w:pPr>
              <w:jc w:val="center"/>
            </w:pPr>
          </w:p>
        </w:tc>
      </w:tr>
      <w:tr w:rsidR="000317F7" w14:paraId="53AE9A06" w14:textId="77777777">
        <w:trPr>
          <w:trHeight w:hRule="exact" w:val="2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C7D96B"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EC9060" w14:textId="77777777" w:rsidR="000317F7" w:rsidRDefault="00F06B25">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6B76B0"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5002D"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D487B4"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6D78F"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687A9D"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4C7EE"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6C8B4" w14:textId="77777777" w:rsidR="000317F7" w:rsidRDefault="000317F7">
            <w:pPr>
              <w:jc w:val="center"/>
            </w:pPr>
          </w:p>
        </w:tc>
      </w:tr>
      <w:tr w:rsidR="000317F7" w14:paraId="6E906F8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7C31A"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49E00"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E5305"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13CBBE"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7C2B90"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01099"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A99CE4"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F4B278"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6F5EB0" w14:textId="77777777" w:rsidR="000317F7" w:rsidRDefault="000317F7">
            <w:pPr>
              <w:jc w:val="center"/>
            </w:pPr>
          </w:p>
        </w:tc>
      </w:tr>
      <w:tr w:rsidR="000317F7" w14:paraId="44442E2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2CBE2" w14:textId="77777777" w:rsidR="000317F7" w:rsidRDefault="00F06B25">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4681C"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AA6D5"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EF6BE"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CCE29"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DCD64"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2D4EA5" w14:textId="77777777" w:rsidR="000317F7" w:rsidRDefault="00F06B25">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ED732"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028F66" w14:textId="77777777" w:rsidR="000317F7" w:rsidRDefault="000317F7">
            <w:pPr>
              <w:jc w:val="center"/>
            </w:pPr>
          </w:p>
        </w:tc>
      </w:tr>
      <w:tr w:rsidR="000317F7" w14:paraId="7129173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C1A0A" w14:textId="77777777" w:rsidR="000317F7" w:rsidRDefault="00F06B25">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6FB320"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77CA9"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63569"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2BEB11" w14:textId="77777777" w:rsidR="000317F7" w:rsidRDefault="00F06B25">
            <w:pPr>
              <w:jc w:val="center"/>
            </w:pPr>
            <w:r>
              <w:t>32019L0879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E5B090"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B33F6F"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9544DD"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7FAD53" w14:textId="77777777" w:rsidR="000317F7" w:rsidRDefault="000317F7">
            <w:pPr>
              <w:jc w:val="center"/>
            </w:pPr>
          </w:p>
        </w:tc>
      </w:tr>
      <w:tr w:rsidR="000317F7" w14:paraId="39690ED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CF040"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99B8A"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10A98"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06707"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5D2A0C"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2D22B"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5A439" w14:textId="77777777" w:rsidR="000317F7" w:rsidRDefault="00F06B25">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D9E810"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880FB" w14:textId="77777777" w:rsidR="000317F7" w:rsidRDefault="000317F7">
            <w:pPr>
              <w:jc w:val="center"/>
            </w:pPr>
          </w:p>
        </w:tc>
      </w:tr>
      <w:tr w:rsidR="000317F7" w14:paraId="604CD24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6B89CE"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257B0"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3AC916"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13C23"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AD012C"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12FBEE"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57B88C" w14:textId="77777777" w:rsidR="000317F7" w:rsidRDefault="00F06B25">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F9998"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C421AD" w14:textId="77777777" w:rsidR="000317F7" w:rsidRDefault="000317F7">
            <w:pPr>
              <w:jc w:val="center"/>
            </w:pPr>
          </w:p>
        </w:tc>
      </w:tr>
      <w:tr w:rsidR="000317F7" w14:paraId="1D1D419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2C8F63"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5CABE"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FA594"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EE56"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A755B3"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8F82A1"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9322B9" w14:textId="77777777" w:rsidR="000317F7" w:rsidRDefault="00F06B25">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7CA95"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137285" w14:textId="77777777" w:rsidR="000317F7" w:rsidRDefault="000317F7">
            <w:pPr>
              <w:jc w:val="center"/>
            </w:pPr>
          </w:p>
        </w:tc>
      </w:tr>
      <w:tr w:rsidR="000317F7" w14:paraId="016CAAE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A1FA4" w14:textId="77777777" w:rsidR="000317F7" w:rsidRDefault="00F06B25">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4C8BA1"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56A0C"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11F793"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537222" w14:textId="77777777" w:rsidR="000317F7" w:rsidRDefault="00F06B25">
            <w:pPr>
              <w:jc w:val="center"/>
            </w:pPr>
            <w:r>
              <w:t>32024R2809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E50DF"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818901" w14:textId="77777777" w:rsidR="000317F7" w:rsidRDefault="00F06B25">
            <w:pPr>
              <w:jc w:val="center"/>
            </w:pPr>
            <w:r>
              <w:t>9</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71A6E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DE1CF" w14:textId="77777777" w:rsidR="000317F7" w:rsidRDefault="000317F7">
            <w:pPr>
              <w:jc w:val="center"/>
            </w:pPr>
          </w:p>
        </w:tc>
      </w:tr>
      <w:tr w:rsidR="000317F7" w14:paraId="0451F96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E423B3" w14:textId="77777777" w:rsidR="000317F7" w:rsidRDefault="00F06B25">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A5915"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82B68"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61824"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78CB02"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10F2D4"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408676"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730F5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17353" w14:textId="77777777" w:rsidR="000317F7" w:rsidRDefault="000317F7">
            <w:pPr>
              <w:jc w:val="center"/>
            </w:pPr>
          </w:p>
        </w:tc>
      </w:tr>
      <w:tr w:rsidR="000317F7" w14:paraId="7BAFAF7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93AAF" w14:textId="77777777" w:rsidR="000317F7" w:rsidRDefault="00F06B25">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AD1EBF"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150B0"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015ED4"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9FE4A1"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2A079"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30D55"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436BB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92725" w14:textId="77777777" w:rsidR="000317F7" w:rsidRDefault="000317F7">
            <w:pPr>
              <w:jc w:val="center"/>
            </w:pPr>
          </w:p>
        </w:tc>
      </w:tr>
      <w:tr w:rsidR="000317F7" w14:paraId="2CBD8EAC"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ACD09" w14:textId="77777777" w:rsidR="000317F7" w:rsidRDefault="00F06B25">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C8884B"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17DA9"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EA31F"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24B73A"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95F32E"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9EEDA6" w14:textId="77777777" w:rsidR="000317F7" w:rsidRDefault="00F06B25">
            <w:pPr>
              <w:jc w:val="center"/>
            </w:pPr>
            <w:r>
              <w:t>2</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0FCD26"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3E0E77" w14:textId="77777777" w:rsidR="000317F7" w:rsidRDefault="000317F7">
            <w:pPr>
              <w:jc w:val="center"/>
            </w:pPr>
          </w:p>
        </w:tc>
      </w:tr>
      <w:tr w:rsidR="000317F7" w14:paraId="46F0E19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173319" w14:textId="77777777" w:rsidR="000317F7" w:rsidRDefault="00F06B25">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04563"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2B1D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AC8A60"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454A7C" w14:textId="77777777" w:rsidR="000317F7" w:rsidRDefault="00F06B25">
            <w:pPr>
              <w:jc w:val="center"/>
            </w:pPr>
            <w:r>
              <w:t>32026L0374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74711"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E5715"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F768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D1FD58" w14:textId="77777777" w:rsidR="000317F7" w:rsidRDefault="000317F7">
            <w:pPr>
              <w:jc w:val="center"/>
            </w:pPr>
          </w:p>
        </w:tc>
      </w:tr>
      <w:tr w:rsidR="000317F7" w14:paraId="17B76754"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A9E9E" w14:textId="77777777" w:rsidR="000317F7" w:rsidRDefault="00F06B25">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3E18D"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A0A302"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9A53D3"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EA62A"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94AEF" w14:textId="77777777" w:rsidR="000317F7" w:rsidRDefault="00F06B25">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C9D13" w14:textId="77777777" w:rsidR="000317F7" w:rsidRDefault="00F06B25">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F2AB1B"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B1668" w14:textId="77777777" w:rsidR="000317F7" w:rsidRDefault="000317F7">
            <w:pPr>
              <w:jc w:val="center"/>
            </w:pPr>
          </w:p>
        </w:tc>
      </w:tr>
      <w:tr w:rsidR="000317F7" w14:paraId="618BA67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3C94B" w14:textId="77777777" w:rsidR="000317F7" w:rsidRDefault="00F06B25">
            <w:pPr>
              <w:jc w:val="center"/>
            </w:pPr>
            <w:r>
              <w:lastRenderedPageBreak/>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4E42E7"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6946B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CBFB63"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7AAF5"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E63000" w14:textId="77777777" w:rsidR="000317F7" w:rsidRDefault="00F06B25">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C5648" w14:textId="77777777" w:rsidR="000317F7" w:rsidRDefault="00F06B25">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6B94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CFEB89" w14:textId="77777777" w:rsidR="000317F7" w:rsidRDefault="000317F7">
            <w:pPr>
              <w:jc w:val="center"/>
            </w:pPr>
          </w:p>
        </w:tc>
      </w:tr>
      <w:tr w:rsidR="000317F7" w14:paraId="0DD664D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DBF7A" w14:textId="77777777" w:rsidR="000317F7" w:rsidRDefault="00F06B25">
            <w:pPr>
              <w:jc w:val="center"/>
            </w:pPr>
            <w:r>
              <w:t>13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79785"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EC87E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25B646"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E9F3B"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F6164"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0813B1" w14:textId="77777777" w:rsidR="000317F7" w:rsidRDefault="00F06B25">
            <w:pPr>
              <w:jc w:val="center"/>
            </w:pPr>
            <w:r>
              <w:t>3</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E84963"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43DDE" w14:textId="77777777" w:rsidR="000317F7" w:rsidRDefault="000317F7">
            <w:pPr>
              <w:jc w:val="center"/>
            </w:pPr>
          </w:p>
        </w:tc>
      </w:tr>
      <w:tr w:rsidR="000317F7" w14:paraId="7D35B4D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82575" w14:textId="77777777" w:rsidR="000317F7" w:rsidRDefault="00F06B25">
            <w:pPr>
              <w:jc w:val="center"/>
            </w:pPr>
            <w:r>
              <w:t>14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1FC08"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5E829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C3CF57"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F60E34"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BB350"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6AD668" w14:textId="77777777" w:rsidR="000317F7" w:rsidRDefault="00F06B25">
            <w:pPr>
              <w:jc w:val="center"/>
            </w:pPr>
            <w:r>
              <w:t>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B04586"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67F52E" w14:textId="77777777" w:rsidR="000317F7" w:rsidRDefault="000317F7">
            <w:pPr>
              <w:jc w:val="center"/>
            </w:pPr>
          </w:p>
        </w:tc>
      </w:tr>
      <w:tr w:rsidR="000317F7" w14:paraId="3E4E237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74864" w14:textId="77777777" w:rsidR="000317F7" w:rsidRDefault="00F06B25">
            <w:pPr>
              <w:jc w:val="center"/>
            </w:pPr>
            <w:r>
              <w:t>15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50E54A"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9343A"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587F0"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CC732"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02AE2B"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07BC4"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F8E75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0E0D5" w14:textId="77777777" w:rsidR="000317F7" w:rsidRDefault="000317F7">
            <w:pPr>
              <w:jc w:val="center"/>
            </w:pPr>
          </w:p>
        </w:tc>
      </w:tr>
      <w:tr w:rsidR="000317F7" w14:paraId="3A40581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489FD" w14:textId="77777777" w:rsidR="000317F7" w:rsidRDefault="00F06B25">
            <w:pPr>
              <w:jc w:val="center"/>
            </w:pPr>
            <w:r>
              <w:t>16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E9A5B"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148108"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A6DFEE"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E986FF"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ECE72A"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CF9EA"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BC870A"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9535DE" w14:textId="77777777" w:rsidR="000317F7" w:rsidRDefault="000317F7">
            <w:pPr>
              <w:jc w:val="center"/>
            </w:pPr>
          </w:p>
        </w:tc>
      </w:tr>
      <w:tr w:rsidR="000317F7" w14:paraId="46AB87D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F7CE2" w14:textId="77777777" w:rsidR="000317F7" w:rsidRDefault="00F06B25">
            <w:pPr>
              <w:jc w:val="center"/>
            </w:pPr>
            <w:r>
              <w:t>17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6DBD8"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CBCF9"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3A4537"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E47FE" w14:textId="77777777" w:rsidR="000317F7" w:rsidRDefault="00F06B25">
            <w:pPr>
              <w:jc w:val="center"/>
            </w:pPr>
            <w:r>
              <w:t>32024L2811</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C9C3C"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29625" w14:textId="77777777" w:rsidR="000317F7" w:rsidRDefault="00F06B25">
            <w:pPr>
              <w:jc w:val="center"/>
            </w:pPr>
            <w:r>
              <w:t>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6D5F2"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AA69DA" w14:textId="77777777" w:rsidR="000317F7" w:rsidRDefault="000317F7">
            <w:pPr>
              <w:jc w:val="center"/>
            </w:pPr>
          </w:p>
        </w:tc>
      </w:tr>
      <w:tr w:rsidR="000317F7" w14:paraId="5C5408B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8827EA" w14:textId="77777777" w:rsidR="000317F7" w:rsidRDefault="00F06B25">
            <w:pPr>
              <w:jc w:val="center"/>
            </w:pPr>
            <w:r>
              <w:t>18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7014CD"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AB95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41EC9"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DCE00" w14:textId="77777777" w:rsidR="000317F7" w:rsidRDefault="00F06B25">
            <w:pPr>
              <w:jc w:val="center"/>
            </w:pPr>
            <w:r>
              <w:t>32024R2809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4ACB1"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11E235" w14:textId="77777777" w:rsidR="000317F7" w:rsidRDefault="00F06B25">
            <w:pPr>
              <w:jc w:val="center"/>
            </w:pPr>
            <w:r>
              <w:t>14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1FF847" w14:textId="77777777" w:rsidR="000317F7" w:rsidRDefault="00F06B25">
            <w:pPr>
              <w:jc w:val="center"/>
            </w:pPr>
            <w:r>
              <w:t>a</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847A49" w14:textId="77777777" w:rsidR="000317F7" w:rsidRDefault="000317F7">
            <w:pPr>
              <w:jc w:val="center"/>
            </w:pPr>
          </w:p>
        </w:tc>
      </w:tr>
      <w:tr w:rsidR="000317F7" w14:paraId="0E2408D6"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DFA8FB" w14:textId="77777777" w:rsidR="000317F7" w:rsidRDefault="00F06B25">
            <w:pPr>
              <w:jc w:val="center"/>
            </w:pPr>
            <w:r>
              <w:t>18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625DC2"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39446"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4C0F21"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D4CB1" w14:textId="77777777" w:rsidR="000317F7" w:rsidRDefault="00F06B25">
            <w:pPr>
              <w:jc w:val="center"/>
            </w:pPr>
            <w:r>
              <w:t>32024R2809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A3E4C4"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8BEB19" w14:textId="77777777" w:rsidR="000317F7" w:rsidRDefault="00F06B25">
            <w:pPr>
              <w:jc w:val="center"/>
            </w:pPr>
            <w:r>
              <w:t>15</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C70B42"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07891D" w14:textId="77777777" w:rsidR="000317F7" w:rsidRDefault="000317F7">
            <w:pPr>
              <w:jc w:val="center"/>
            </w:pPr>
          </w:p>
        </w:tc>
      </w:tr>
      <w:tr w:rsidR="000317F7" w14:paraId="7BEFE3B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73B16B" w14:textId="77777777" w:rsidR="000317F7" w:rsidRDefault="00F06B25">
            <w:pPr>
              <w:jc w:val="center"/>
            </w:pPr>
            <w:r>
              <w:t>19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A07C6"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90FB9"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9CE90C"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55E15" w14:textId="77777777" w:rsidR="000317F7" w:rsidRDefault="00F06B25">
            <w:pPr>
              <w:jc w:val="center"/>
            </w:pPr>
            <w:r>
              <w:t>32014L0065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17149C" w14:textId="77777777" w:rsidR="000317F7" w:rsidRDefault="00F06B25">
            <w:pPr>
              <w:jc w:val="center"/>
            </w:pPr>
            <w:r>
              <w:t>12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E7B5C"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4F7EB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BC3953" w14:textId="77777777" w:rsidR="000317F7" w:rsidRDefault="000317F7">
            <w:pPr>
              <w:jc w:val="center"/>
            </w:pPr>
          </w:p>
        </w:tc>
      </w:tr>
      <w:tr w:rsidR="000317F7" w14:paraId="6DA5386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FD705" w14:textId="77777777" w:rsidR="000317F7" w:rsidRDefault="00F06B25">
            <w:pPr>
              <w:jc w:val="center"/>
            </w:pPr>
            <w:r>
              <w:t>20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E8B841"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15C7F"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64787"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30C9D" w14:textId="77777777" w:rsidR="000317F7" w:rsidRDefault="00F06B25">
            <w:pPr>
              <w:jc w:val="center"/>
            </w:pPr>
            <w:r>
              <w:t>32014L0065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27C591" w14:textId="77777777" w:rsidR="000317F7" w:rsidRDefault="00F06B25">
            <w:pPr>
              <w:jc w:val="center"/>
            </w:pPr>
            <w:r>
              <w:t>70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3200C"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13412"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B74380" w14:textId="77777777" w:rsidR="000317F7" w:rsidRDefault="000317F7">
            <w:pPr>
              <w:jc w:val="center"/>
            </w:pPr>
          </w:p>
        </w:tc>
      </w:tr>
      <w:tr w:rsidR="000317F7" w14:paraId="771BA7D8"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70A186" w14:textId="77777777" w:rsidR="000317F7" w:rsidRDefault="00F06B25">
            <w:pPr>
              <w:jc w:val="center"/>
            </w:pPr>
            <w:r>
              <w:t>21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F18C30"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9BE6AE"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ED6180"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23F7F" w14:textId="77777777" w:rsidR="000317F7" w:rsidRDefault="00F06B25">
            <w:pPr>
              <w:jc w:val="center"/>
            </w:pPr>
            <w:r>
              <w:t>32024R2809</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0AB65E" w14:textId="77777777" w:rsidR="000317F7" w:rsidRDefault="00F06B25">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02F5B7" w14:textId="77777777" w:rsidR="000317F7" w:rsidRDefault="00F06B25">
            <w:pPr>
              <w:jc w:val="center"/>
            </w:pPr>
            <w:r>
              <w:t>14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991E7B"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334CF2" w14:textId="77777777" w:rsidR="000317F7" w:rsidRDefault="000317F7">
            <w:pPr>
              <w:jc w:val="center"/>
            </w:pPr>
          </w:p>
        </w:tc>
      </w:tr>
      <w:tr w:rsidR="000317F7" w14:paraId="1B09FF9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2F1B1" w14:textId="77777777" w:rsidR="000317F7" w:rsidRDefault="00F06B25">
            <w:pPr>
              <w:jc w:val="center"/>
            </w:pPr>
            <w:r>
              <w:t>22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F069E"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DA3DA"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73D4D5"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8EC23" w14:textId="77777777" w:rsidR="000317F7" w:rsidRDefault="00F06B25">
            <w:pPr>
              <w:jc w:val="center"/>
            </w:pPr>
            <w:r>
              <w:t>32025R0914</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7BED3" w14:textId="77777777" w:rsidR="000317F7" w:rsidRDefault="00F06B25">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7082C3" w14:textId="77777777" w:rsidR="000317F7" w:rsidRDefault="00F06B25">
            <w:pPr>
              <w:jc w:val="center"/>
            </w:pPr>
            <w:r>
              <w:t>24</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55213"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A7792" w14:textId="77777777" w:rsidR="000317F7" w:rsidRDefault="000317F7">
            <w:pPr>
              <w:jc w:val="center"/>
            </w:pPr>
          </w:p>
        </w:tc>
      </w:tr>
      <w:tr w:rsidR="000317F7" w14:paraId="0155BDD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03998" w14:textId="77777777" w:rsidR="000317F7" w:rsidRDefault="00F06B25">
            <w:pPr>
              <w:jc w:val="center"/>
            </w:pPr>
            <w:r>
              <w:t>23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E7D52"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A8B5C"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0F05C"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1CC25"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016F4B"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1797DE"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9F0CB"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79116" w14:textId="77777777" w:rsidR="000317F7" w:rsidRDefault="000317F7">
            <w:pPr>
              <w:jc w:val="center"/>
            </w:pPr>
          </w:p>
        </w:tc>
      </w:tr>
      <w:tr w:rsidR="000317F7" w14:paraId="4DA3F2B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612B43" w14:textId="77777777" w:rsidR="000317F7" w:rsidRDefault="00F06B25">
            <w:pPr>
              <w:jc w:val="center"/>
            </w:pPr>
            <w:r>
              <w:t>24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C585BB"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A81474"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55E7D"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6ABAA"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1472D3"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5C8DD"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77B9AC"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AF132" w14:textId="77777777" w:rsidR="000317F7" w:rsidRDefault="000317F7">
            <w:pPr>
              <w:jc w:val="center"/>
            </w:pPr>
          </w:p>
        </w:tc>
      </w:tr>
      <w:tr w:rsidR="000317F7" w14:paraId="692A5531"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A3315F" w14:textId="77777777" w:rsidR="000317F7" w:rsidRDefault="00F06B25">
            <w:pPr>
              <w:jc w:val="center"/>
            </w:pPr>
            <w:r>
              <w:t>25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9C9A8"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9D1BB"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DFA00A"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0B9250" w14:textId="77777777" w:rsidR="000317F7" w:rsidRDefault="00F06B25">
            <w:pPr>
              <w:jc w:val="center"/>
            </w:pPr>
            <w:r>
              <w:t>32024L2810</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F8CDCC" w14:textId="77777777" w:rsidR="000317F7" w:rsidRDefault="00F06B25">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FBD092"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7D3321"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F3469" w14:textId="77777777" w:rsidR="000317F7" w:rsidRDefault="000317F7">
            <w:pPr>
              <w:jc w:val="center"/>
            </w:pPr>
          </w:p>
        </w:tc>
      </w:tr>
      <w:tr w:rsidR="000317F7" w14:paraId="399C3154"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1329B8" w14:textId="77777777" w:rsidR="000317F7" w:rsidRDefault="00F06B25">
            <w:pPr>
              <w:jc w:val="center"/>
            </w:pPr>
            <w:r>
              <w:t>26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4476B"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A4A9F7"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193742" w14:textId="77777777" w:rsidR="000317F7" w:rsidRDefault="000317F7">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9A03C" w14:textId="77777777" w:rsidR="000317F7" w:rsidRDefault="00F06B25">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52605" w14:textId="77777777" w:rsidR="000317F7" w:rsidRDefault="000317F7">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0049FB" w14:textId="77777777" w:rsidR="000317F7" w:rsidRDefault="000317F7">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231CEB" w14:textId="77777777" w:rsidR="000317F7" w:rsidRDefault="000317F7">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92B3B" w14:textId="77777777" w:rsidR="000317F7" w:rsidRDefault="000317F7">
            <w:pPr>
              <w:jc w:val="center"/>
            </w:pPr>
          </w:p>
        </w:tc>
      </w:tr>
    </w:tbl>
    <w:p w14:paraId="381D3484" w14:textId="77777777" w:rsidR="000317F7" w:rsidRDefault="000317F7">
      <w:pPr>
        <w:spacing w:after="0"/>
        <w:rPr>
          <w:b/>
        </w:rPr>
      </w:pPr>
    </w:p>
    <w:p w14:paraId="53746CFD" w14:textId="77777777" w:rsidR="000317F7" w:rsidRDefault="000317F7">
      <w:pPr>
        <w:spacing w:after="0" w:line="260" w:lineRule="auto"/>
        <w:rPr>
          <w:rFonts w:cs="Arial"/>
        </w:rPr>
      </w:pPr>
    </w:p>
    <w:p w14:paraId="3486193A" w14:textId="77777777" w:rsidR="000317F7" w:rsidRDefault="00F06B25">
      <w:pPr>
        <w:pStyle w:val="SrajckaNaslovZamik"/>
        <w:spacing w:line="260" w:lineRule="auto"/>
      </w:pPr>
      <w:r>
        <w:t>5.3</w:t>
      </w:r>
      <w:r>
        <w:tab/>
        <w:t>Prikaz ureditve v posameznih državah članicah Evropske unije</w:t>
      </w:r>
    </w:p>
    <w:p w14:paraId="17828E74" w14:textId="77777777" w:rsidR="000317F7" w:rsidRDefault="000317F7">
      <w:pPr>
        <w:spacing w:after="0" w:line="260" w:lineRule="auto"/>
        <w:rPr>
          <w:rFonts w:cs="Arial"/>
        </w:rPr>
      </w:pPr>
    </w:p>
    <w:p w14:paraId="069FBD74" w14:textId="77777777" w:rsidR="000317F7" w:rsidRDefault="00F06B25">
      <w:pPr>
        <w:spacing w:after="0" w:line="260" w:lineRule="auto"/>
      </w:pPr>
      <w:r>
        <w:t>Nemčija</w:t>
      </w:r>
    </w:p>
    <w:p w14:paraId="3933BF4B" w14:textId="77777777" w:rsidR="000317F7" w:rsidRDefault="000317F7">
      <w:pPr>
        <w:spacing w:after="0" w:line="260" w:lineRule="auto"/>
        <w:rPr>
          <w:rFonts w:cs="Arial"/>
        </w:rPr>
      </w:pPr>
    </w:p>
    <w:p w14:paraId="113E63E9" w14:textId="77777777" w:rsidR="000317F7" w:rsidRDefault="00F06B25">
      <w:pPr>
        <w:spacing w:after="0" w:line="240" w:lineRule="auto"/>
      </w:pPr>
      <w:r>
        <w:t>V Zvezni republiki Nemčiji delovanje investicijskih podjetij in kapitalskih trgov v prvem redu ureja zakon o trgovanju z vrednostnimi papirji (</w:t>
      </w:r>
      <w:proofErr w:type="spellStart"/>
      <w:r>
        <w:t>Wertpapierhandelsgesetz</w:t>
      </w:r>
      <w:proofErr w:type="spellEnd"/>
      <w:r>
        <w:t xml:space="preserve"> – </w:t>
      </w:r>
      <w:proofErr w:type="spellStart"/>
      <w:r>
        <w:t>WpHG</w:t>
      </w:r>
      <w:proofErr w:type="spellEnd"/>
      <w:r>
        <w:t>), nadalje zakon o borzi (</w:t>
      </w:r>
      <w:proofErr w:type="spellStart"/>
      <w:r>
        <w:t>Börsengesetz</w:t>
      </w:r>
      <w:proofErr w:type="spellEnd"/>
      <w:r>
        <w:t xml:space="preserve"> – </w:t>
      </w:r>
      <w:proofErr w:type="spellStart"/>
      <w:r>
        <w:t>BörsG</w:t>
      </w:r>
      <w:proofErr w:type="spellEnd"/>
      <w:r>
        <w:t>) ter zakon o prospektu vrednostnih papirjev (</w:t>
      </w:r>
      <w:proofErr w:type="spellStart"/>
      <w:r>
        <w:t>Wertpapierprospektgesetz</w:t>
      </w:r>
      <w:proofErr w:type="spellEnd"/>
      <w:r>
        <w:t xml:space="preserve"> – </w:t>
      </w:r>
      <w:proofErr w:type="spellStart"/>
      <w:r>
        <w:t>WpPG</w:t>
      </w:r>
      <w:proofErr w:type="spellEnd"/>
      <w:r>
        <w:t>), skupaj z ustreznimi podzakonskimi predpisi, med katerimi ima poseben pomen uredba o uvrstitvi vrednostnih papirjev v uradno kotacijo (</w:t>
      </w:r>
      <w:proofErr w:type="spellStart"/>
      <w:r>
        <w:t>Börsenzulassungs-Verordnung</w:t>
      </w:r>
      <w:proofErr w:type="spellEnd"/>
      <w:r>
        <w:t xml:space="preserve"> – </w:t>
      </w:r>
      <w:proofErr w:type="spellStart"/>
      <w:r>
        <w:t>BörsZulV</w:t>
      </w:r>
      <w:proofErr w:type="spellEnd"/>
      <w:r>
        <w:t>). Temeljni zakon s področja prava gospodarskih družb je zakon o delniških družbah (</w:t>
      </w:r>
      <w:proofErr w:type="spellStart"/>
      <w:r>
        <w:t>Aktiengesetz</w:t>
      </w:r>
      <w:proofErr w:type="spellEnd"/>
      <w:r>
        <w:t xml:space="preserve"> – </w:t>
      </w:r>
      <w:proofErr w:type="spellStart"/>
      <w:r>
        <w:t>AktG</w:t>
      </w:r>
      <w:proofErr w:type="spellEnd"/>
      <w:r>
        <w:t>) skupaj z uvodnim zakonom k zakonu o delniških družbah (</w:t>
      </w:r>
      <w:proofErr w:type="spellStart"/>
      <w:r>
        <w:t>Einführungsgesetz</w:t>
      </w:r>
      <w:proofErr w:type="spellEnd"/>
      <w:r>
        <w:t xml:space="preserve"> zum </w:t>
      </w:r>
      <w:proofErr w:type="spellStart"/>
      <w:r>
        <w:t>Aktiengesetz</w:t>
      </w:r>
      <w:proofErr w:type="spellEnd"/>
      <w:r>
        <w:t xml:space="preserve"> – </w:t>
      </w:r>
      <w:proofErr w:type="spellStart"/>
      <w:r>
        <w:t>EGAktG</w:t>
      </w:r>
      <w:proofErr w:type="spellEnd"/>
      <w:r>
        <w:t>).</w:t>
      </w:r>
    </w:p>
    <w:p w14:paraId="218B95F2" w14:textId="77777777" w:rsidR="000317F7" w:rsidRDefault="00F06B25">
      <w:pPr>
        <w:spacing w:after="0" w:line="240" w:lineRule="auto"/>
      </w:pPr>
      <w:r>
        <w:t xml:space="preserve"> </w:t>
      </w:r>
    </w:p>
    <w:p w14:paraId="03043684" w14:textId="77777777" w:rsidR="000317F7" w:rsidRDefault="00F06B25">
      <w:pPr>
        <w:spacing w:after="0" w:line="240" w:lineRule="auto"/>
      </w:pPr>
      <w:r>
        <w:t>Zvezna republika Nemčija je Direktivo 2024/2811/EU, Direktivo 2024/2810/EU in izvedbene ukrepe v zvezi z Uredbo 2024/2809/EU prenesla oziroma uredila z zakonom o spodbujanju zasebnih naložb in finančnega mesta (</w:t>
      </w:r>
      <w:proofErr w:type="spellStart"/>
      <w:r>
        <w:t>Gesetz</w:t>
      </w:r>
      <w:proofErr w:type="spellEnd"/>
      <w:r>
        <w:t xml:space="preserve"> </w:t>
      </w:r>
      <w:proofErr w:type="spellStart"/>
      <w:r>
        <w:t>zur</w:t>
      </w:r>
      <w:proofErr w:type="spellEnd"/>
      <w:r>
        <w:t xml:space="preserve"> </w:t>
      </w:r>
      <w:proofErr w:type="spellStart"/>
      <w:r>
        <w:t>Förderung</w:t>
      </w:r>
      <w:proofErr w:type="spellEnd"/>
      <w:r>
        <w:t xml:space="preserve"> </w:t>
      </w:r>
      <w:proofErr w:type="spellStart"/>
      <w:r>
        <w:t>privater</w:t>
      </w:r>
      <w:proofErr w:type="spellEnd"/>
      <w:r>
        <w:t xml:space="preserve"> </w:t>
      </w:r>
      <w:proofErr w:type="spellStart"/>
      <w:r>
        <w:t>Investitionen</w:t>
      </w:r>
      <w:proofErr w:type="spellEnd"/>
      <w:r>
        <w:t xml:space="preserve"> </w:t>
      </w:r>
      <w:proofErr w:type="spellStart"/>
      <w:r>
        <w:t>und</w:t>
      </w:r>
      <w:proofErr w:type="spellEnd"/>
      <w:r>
        <w:t xml:space="preserve"> des </w:t>
      </w:r>
      <w:proofErr w:type="spellStart"/>
      <w:r>
        <w:t>Finanzstandorts</w:t>
      </w:r>
      <w:proofErr w:type="spellEnd"/>
      <w:r>
        <w:t xml:space="preserve"> – </w:t>
      </w:r>
      <w:proofErr w:type="spellStart"/>
      <w:r>
        <w:t>Standortfördergesetz</w:t>
      </w:r>
      <w:proofErr w:type="spellEnd"/>
      <w:r>
        <w:t xml:space="preserve">, v nadaljnjem besedilu: </w:t>
      </w:r>
      <w:proofErr w:type="spellStart"/>
      <w:r>
        <w:t>StoFöG</w:t>
      </w:r>
      <w:proofErr w:type="spellEnd"/>
      <w:r>
        <w:t>), sprejetim 4. februarja 2026 in objavljenim v Zveznem uradnem listu (</w:t>
      </w:r>
      <w:proofErr w:type="spellStart"/>
      <w:r>
        <w:t>Bundesgesetzblatt</w:t>
      </w:r>
      <w:proofErr w:type="spellEnd"/>
      <w:r>
        <w:t>) 9. februarja 2026.</w:t>
      </w:r>
    </w:p>
    <w:p w14:paraId="53AC1203" w14:textId="77777777" w:rsidR="000317F7" w:rsidRDefault="00F06B25">
      <w:pPr>
        <w:spacing w:after="0" w:line="240" w:lineRule="auto"/>
      </w:pPr>
      <w:r>
        <w:t xml:space="preserve"> </w:t>
      </w:r>
    </w:p>
    <w:p w14:paraId="0B3BCF71" w14:textId="77777777" w:rsidR="000317F7" w:rsidRDefault="00F06B25">
      <w:pPr>
        <w:spacing w:after="0" w:line="240" w:lineRule="auto"/>
      </w:pPr>
      <w:r>
        <w:t>Navedeni zakon pomeni celovit oziroma horizontalni zakonodajni način obravnave, saj posega v več področnih predpisov, zlasti zakon o trgovanju s finančnimi instrumenti (</w:t>
      </w:r>
      <w:proofErr w:type="spellStart"/>
      <w:r>
        <w:t>Wertpapierhandelsgesetz</w:t>
      </w:r>
      <w:proofErr w:type="spellEnd"/>
      <w:r>
        <w:t xml:space="preserve"> – </w:t>
      </w:r>
      <w:proofErr w:type="spellStart"/>
      <w:r>
        <w:t>WpHG</w:t>
      </w:r>
      <w:proofErr w:type="spellEnd"/>
      <w:r>
        <w:t>), zakon o borzah (</w:t>
      </w:r>
      <w:proofErr w:type="spellStart"/>
      <w:r>
        <w:t>Börsengesetz</w:t>
      </w:r>
      <w:proofErr w:type="spellEnd"/>
      <w:r>
        <w:t xml:space="preserve"> – </w:t>
      </w:r>
      <w:proofErr w:type="spellStart"/>
      <w:r>
        <w:t>BörsG</w:t>
      </w:r>
      <w:proofErr w:type="spellEnd"/>
      <w:r>
        <w:t>), zakon o prospektu vrednostnih papirjev (</w:t>
      </w:r>
      <w:proofErr w:type="spellStart"/>
      <w:r>
        <w:t>Wertpapierprospektgesetz</w:t>
      </w:r>
      <w:proofErr w:type="spellEnd"/>
      <w:r>
        <w:t xml:space="preserve"> – </w:t>
      </w:r>
      <w:proofErr w:type="spellStart"/>
      <w:r>
        <w:t>WpPG</w:t>
      </w:r>
      <w:proofErr w:type="spellEnd"/>
      <w:r>
        <w:t>), uredbo o sprejemu vrednostnih papirjev na borzo (</w:t>
      </w:r>
      <w:proofErr w:type="spellStart"/>
      <w:r>
        <w:t>Börsenzulassungsverordnung</w:t>
      </w:r>
      <w:proofErr w:type="spellEnd"/>
      <w:r>
        <w:t>) ter tudi zakon o delniških družbah (</w:t>
      </w:r>
      <w:proofErr w:type="spellStart"/>
      <w:r>
        <w:t>Aktiengesetz</w:t>
      </w:r>
      <w:proofErr w:type="spellEnd"/>
      <w:r>
        <w:t xml:space="preserve"> – </w:t>
      </w:r>
      <w:proofErr w:type="spellStart"/>
      <w:r>
        <w:t>AktG</w:t>
      </w:r>
      <w:proofErr w:type="spellEnd"/>
      <w:r>
        <w:t>) in z njim povezane predpise.</w:t>
      </w:r>
    </w:p>
    <w:p w14:paraId="1091DE12" w14:textId="77777777" w:rsidR="000317F7" w:rsidRDefault="00F06B25">
      <w:pPr>
        <w:spacing w:after="0" w:line="240" w:lineRule="auto"/>
      </w:pPr>
      <w:r>
        <w:t xml:space="preserve"> </w:t>
      </w:r>
    </w:p>
    <w:p w14:paraId="47011EF9" w14:textId="77777777" w:rsidR="000317F7" w:rsidRDefault="00F06B25">
      <w:pPr>
        <w:spacing w:after="0" w:line="240" w:lineRule="auto"/>
      </w:pPr>
      <w:r>
        <w:t xml:space="preserve">Direktiva 2024/2811/EU in Uredba 2024/2809/EU sta bili preneseni oziroma izvedeni predvsem s 5., 7., 14. do 16. ter 20. členom </w:t>
      </w:r>
      <w:proofErr w:type="spellStart"/>
      <w:r>
        <w:t>StoFöG</w:t>
      </w:r>
      <w:proofErr w:type="spellEnd"/>
      <w:r>
        <w:t xml:space="preserve">, ob tem pa tudi z dodatnimi spremembami v okviru 6. in 19. člena </w:t>
      </w:r>
      <w:proofErr w:type="spellStart"/>
      <w:r>
        <w:t>StoFöG</w:t>
      </w:r>
      <w:proofErr w:type="spellEnd"/>
      <w:r>
        <w:t>. Spremembe se nanašajo predvsem na poenostavitev pravil glede prospekta ter prilagoditev državne ureditve neposredno veljavnim pravilom Evropske unije, vključno z uvedbo novih vrst prospektov. Hkrati se uvajajo rešitve za spodbujanje pokritosti izdajateljev z analizami, ki jih plačajo izdajatelji, ter se izboljšuje ureditev razvojnega trga MSP, zlasti glede pogojev za njihovo delovanje in preglednosti. Dodatne prilagoditve se nanašajo tudi na pravila glede preglednosti trga, kakovosti podatkov ter izvrševanja naročil, s čimer se zagotavlja usklajenost z zahtevami iz Uredbe 2024/2809/EU.</w:t>
      </w:r>
    </w:p>
    <w:p w14:paraId="110E0669" w14:textId="77777777" w:rsidR="000317F7" w:rsidRDefault="00F06B25">
      <w:pPr>
        <w:spacing w:after="0" w:line="240" w:lineRule="auto"/>
      </w:pPr>
      <w:r>
        <w:t xml:space="preserve"> </w:t>
      </w:r>
    </w:p>
    <w:p w14:paraId="6218965A" w14:textId="77777777" w:rsidR="000317F7" w:rsidRDefault="00F06B25">
      <w:pPr>
        <w:spacing w:after="0" w:line="240" w:lineRule="auto"/>
      </w:pPr>
      <w:r>
        <w:t xml:space="preserve">Direktiva 2024/2810/EU je bila prenesena s 7., 20., 23. in 24. členom </w:t>
      </w:r>
      <w:proofErr w:type="spellStart"/>
      <w:r>
        <w:t>StoFöG</w:t>
      </w:r>
      <w:proofErr w:type="spellEnd"/>
      <w:r>
        <w:t>. Ureditev uvaja zahteve glede preglednosti za izdajatelje z delnicami z večkratno glasovalno pravico (</w:t>
      </w:r>
      <w:proofErr w:type="spellStart"/>
      <w:r>
        <w:t>Mehrstimmrechtsaktien</w:t>
      </w:r>
      <w:proofErr w:type="spellEnd"/>
      <w:r>
        <w:t xml:space="preserve">), zlasti glede strukture kapitala in glasovalnih pravic, ter določa obveznosti za upravljavce MTF v zvezi z razkritji in označevanjem takšnih delnic. Hkrati določa, da samo obstoj takšne strukture ne sme biti razlog za zavrnitev vključitve delnic v trgovanje. </w:t>
      </w:r>
      <w:proofErr w:type="spellStart"/>
      <w:r>
        <w:t>Korporacijskopravni</w:t>
      </w:r>
      <w:proofErr w:type="spellEnd"/>
      <w:r>
        <w:t xml:space="preserve"> vidik te ureditve je dodatno urejen s spremembami zakona o delniških družbah (</w:t>
      </w:r>
      <w:proofErr w:type="spellStart"/>
      <w:r>
        <w:t>Aktiengesetz</w:t>
      </w:r>
      <w:proofErr w:type="spellEnd"/>
      <w:r>
        <w:t xml:space="preserve"> – </w:t>
      </w:r>
      <w:proofErr w:type="spellStart"/>
      <w:r>
        <w:t>AktG</w:t>
      </w:r>
      <w:proofErr w:type="spellEnd"/>
      <w:r>
        <w:t>), ki vzpostavljajo pravno podlago za izdajo delnic z večkratno glasovalno pravico ter urejajo njihovo uporabo v prehodnih primerih.</w:t>
      </w:r>
    </w:p>
    <w:p w14:paraId="644CDAFA" w14:textId="77777777" w:rsidR="000317F7" w:rsidRDefault="00F06B25">
      <w:pPr>
        <w:spacing w:after="0" w:line="240" w:lineRule="auto"/>
      </w:pPr>
      <w:r>
        <w:t xml:space="preserve"> </w:t>
      </w:r>
    </w:p>
    <w:p w14:paraId="73799251" w14:textId="77777777" w:rsidR="000317F7" w:rsidRDefault="000317F7">
      <w:pPr>
        <w:spacing w:after="0" w:line="260" w:lineRule="auto"/>
        <w:rPr>
          <w:rFonts w:cs="Arial"/>
        </w:rPr>
      </w:pPr>
    </w:p>
    <w:p w14:paraId="19EF240A" w14:textId="77777777" w:rsidR="000317F7" w:rsidRDefault="00F06B25">
      <w:pPr>
        <w:spacing w:after="0" w:line="260" w:lineRule="auto"/>
      </w:pPr>
      <w:r>
        <w:t>Luksemburg</w:t>
      </w:r>
    </w:p>
    <w:p w14:paraId="06465BCB" w14:textId="77777777" w:rsidR="000317F7" w:rsidRDefault="000317F7">
      <w:pPr>
        <w:spacing w:after="0" w:line="260" w:lineRule="auto"/>
        <w:rPr>
          <w:rFonts w:cs="Arial"/>
        </w:rPr>
      </w:pPr>
    </w:p>
    <w:p w14:paraId="543C2B26" w14:textId="77777777" w:rsidR="000317F7" w:rsidRDefault="00F06B25">
      <w:pPr>
        <w:spacing w:after="0" w:line="240" w:lineRule="auto"/>
      </w:pPr>
      <w:r>
        <w:t>Prenos Direktive 2024/2811/EU in izvajanje Uredbe 2024/2809/EU sta bila v pravni red Luksemburga izvedena z Zakonom z dne 3. julij 2025 o spremembi ureditve finančnih trgov (</w:t>
      </w:r>
      <w:proofErr w:type="spellStart"/>
      <w:r>
        <w:t>Loi</w:t>
      </w:r>
      <w:proofErr w:type="spellEnd"/>
      <w:r>
        <w:t xml:space="preserve"> </w:t>
      </w:r>
      <w:proofErr w:type="spellStart"/>
      <w:r>
        <w:t>du</w:t>
      </w:r>
      <w:proofErr w:type="spellEnd"/>
      <w:r>
        <w:t xml:space="preserve"> 3 </w:t>
      </w:r>
      <w:proofErr w:type="spellStart"/>
      <w:r>
        <w:t>juillet</w:t>
      </w:r>
      <w:proofErr w:type="spellEnd"/>
      <w:r>
        <w:t xml:space="preserve"> 2025 </w:t>
      </w:r>
      <w:proofErr w:type="spellStart"/>
      <w:r>
        <w:t>portant</w:t>
      </w:r>
      <w:proofErr w:type="spellEnd"/>
      <w:r>
        <w:t xml:space="preserve"> </w:t>
      </w:r>
      <w:proofErr w:type="spellStart"/>
      <w:r>
        <w:t>modification</w:t>
      </w:r>
      <w:proofErr w:type="spellEnd"/>
      <w:r>
        <w:t xml:space="preserve"> de la </w:t>
      </w:r>
      <w:proofErr w:type="spellStart"/>
      <w:r>
        <w:t>réglementation</w:t>
      </w:r>
      <w:proofErr w:type="spellEnd"/>
      <w:r>
        <w:t xml:space="preserve"> des </w:t>
      </w:r>
      <w:proofErr w:type="spellStart"/>
      <w:r>
        <w:t>marchés</w:t>
      </w:r>
      <w:proofErr w:type="spellEnd"/>
      <w:r>
        <w:t xml:space="preserve"> </w:t>
      </w:r>
      <w:proofErr w:type="spellStart"/>
      <w:r>
        <w:t>financiers</w:t>
      </w:r>
      <w:proofErr w:type="spellEnd"/>
      <w:r>
        <w:t>).</w:t>
      </w:r>
    </w:p>
    <w:p w14:paraId="235037AF" w14:textId="77777777" w:rsidR="000317F7" w:rsidRDefault="00F06B25">
      <w:pPr>
        <w:spacing w:after="0" w:line="240" w:lineRule="auto"/>
      </w:pPr>
      <w:r>
        <w:t xml:space="preserve"> </w:t>
      </w:r>
    </w:p>
    <w:p w14:paraId="5774F71C" w14:textId="77777777" w:rsidR="000317F7" w:rsidRDefault="00F06B25">
      <w:pPr>
        <w:spacing w:after="0" w:line="240" w:lineRule="auto"/>
      </w:pPr>
      <w:r>
        <w:t>Navedeni zakon posega v več temeljnih predpisov s področja finančnih trgov, zlasti zakon o finančnem sektorju (</w:t>
      </w:r>
      <w:proofErr w:type="spellStart"/>
      <w:r>
        <w:t>loi</w:t>
      </w:r>
      <w:proofErr w:type="spellEnd"/>
      <w:r>
        <w:t xml:space="preserve"> </w:t>
      </w:r>
      <w:proofErr w:type="spellStart"/>
      <w:r>
        <w:t>du</w:t>
      </w:r>
      <w:proofErr w:type="spellEnd"/>
      <w:r>
        <w:t xml:space="preserve"> 5 </w:t>
      </w:r>
      <w:proofErr w:type="spellStart"/>
      <w:r>
        <w:t>avril</w:t>
      </w:r>
      <w:proofErr w:type="spellEnd"/>
      <w:r>
        <w:t xml:space="preserve"> 1993 </w:t>
      </w:r>
      <w:proofErr w:type="spellStart"/>
      <w:r>
        <w:t>relative</w:t>
      </w:r>
      <w:proofErr w:type="spellEnd"/>
      <w:r>
        <w:t xml:space="preserve"> au </w:t>
      </w:r>
      <w:proofErr w:type="spellStart"/>
      <w:r>
        <w:t>secteur</w:t>
      </w:r>
      <w:proofErr w:type="spellEnd"/>
      <w:r>
        <w:t xml:space="preserve"> financier), zakon o preglednosti zahtev za izdajatelje (</w:t>
      </w:r>
      <w:proofErr w:type="spellStart"/>
      <w:r>
        <w:t>loi</w:t>
      </w:r>
      <w:proofErr w:type="spellEnd"/>
      <w:r>
        <w:t xml:space="preserve"> </w:t>
      </w:r>
      <w:proofErr w:type="spellStart"/>
      <w:r>
        <w:t>du</w:t>
      </w:r>
      <w:proofErr w:type="spellEnd"/>
      <w:r>
        <w:t xml:space="preserve"> 11 </w:t>
      </w:r>
      <w:proofErr w:type="spellStart"/>
      <w:r>
        <w:t>janvier</w:t>
      </w:r>
      <w:proofErr w:type="spellEnd"/>
      <w:r>
        <w:t xml:space="preserve"> 2008 </w:t>
      </w:r>
      <w:proofErr w:type="spellStart"/>
      <w:r>
        <w:t>relative</w:t>
      </w:r>
      <w:proofErr w:type="spellEnd"/>
      <w:r>
        <w:t xml:space="preserve"> </w:t>
      </w:r>
      <w:proofErr w:type="spellStart"/>
      <w:r>
        <w:t>aux</w:t>
      </w:r>
      <w:proofErr w:type="spellEnd"/>
      <w:r>
        <w:t xml:space="preserve"> </w:t>
      </w:r>
      <w:proofErr w:type="spellStart"/>
      <w:r>
        <w:t>obligations</w:t>
      </w:r>
      <w:proofErr w:type="spellEnd"/>
      <w:r>
        <w:t xml:space="preserve"> de </w:t>
      </w:r>
      <w:proofErr w:type="spellStart"/>
      <w:r>
        <w:t>transparence</w:t>
      </w:r>
      <w:proofErr w:type="spellEnd"/>
      <w:r>
        <w:t>) ter zakon o trgih finančnih instrumentov (</w:t>
      </w:r>
      <w:proofErr w:type="spellStart"/>
      <w:r>
        <w:t>loi</w:t>
      </w:r>
      <w:proofErr w:type="spellEnd"/>
      <w:r>
        <w:t xml:space="preserve"> </w:t>
      </w:r>
      <w:proofErr w:type="spellStart"/>
      <w:r>
        <w:t>du</w:t>
      </w:r>
      <w:proofErr w:type="spellEnd"/>
      <w:r>
        <w:t xml:space="preserve"> 30 </w:t>
      </w:r>
      <w:proofErr w:type="spellStart"/>
      <w:r>
        <w:t>mai</w:t>
      </w:r>
      <w:proofErr w:type="spellEnd"/>
      <w:r>
        <w:t xml:space="preserve"> 2018 </w:t>
      </w:r>
      <w:proofErr w:type="spellStart"/>
      <w:r>
        <w:t>relative</w:t>
      </w:r>
      <w:proofErr w:type="spellEnd"/>
      <w:r>
        <w:t xml:space="preserve"> </w:t>
      </w:r>
      <w:proofErr w:type="spellStart"/>
      <w:r>
        <w:t>aux</w:t>
      </w:r>
      <w:proofErr w:type="spellEnd"/>
      <w:r>
        <w:t xml:space="preserve"> </w:t>
      </w:r>
      <w:proofErr w:type="spellStart"/>
      <w:r>
        <w:t>marchés</w:t>
      </w:r>
      <w:proofErr w:type="spellEnd"/>
      <w:r>
        <w:t xml:space="preserve"> </w:t>
      </w:r>
      <w:proofErr w:type="spellStart"/>
      <w:r>
        <w:t>d’instruments</w:t>
      </w:r>
      <w:proofErr w:type="spellEnd"/>
      <w:r>
        <w:t xml:space="preserve"> </w:t>
      </w:r>
      <w:proofErr w:type="spellStart"/>
      <w:r>
        <w:t>financiers</w:t>
      </w:r>
      <w:proofErr w:type="spellEnd"/>
      <w:r>
        <w:t>).</w:t>
      </w:r>
    </w:p>
    <w:p w14:paraId="3D38D267" w14:textId="77777777" w:rsidR="000317F7" w:rsidRDefault="00F06B25">
      <w:pPr>
        <w:spacing w:after="0" w:line="240" w:lineRule="auto"/>
      </w:pPr>
      <w:r>
        <w:lastRenderedPageBreak/>
        <w:t xml:space="preserve"> </w:t>
      </w:r>
    </w:p>
    <w:p w14:paraId="47EC7C1B" w14:textId="77777777" w:rsidR="000317F7" w:rsidRDefault="00F06B25">
      <w:pPr>
        <w:spacing w:after="0" w:line="240" w:lineRule="auto"/>
      </w:pPr>
      <w:r>
        <w:t>Direktiva 2024/2811/EU je bila prenesena z določbami zakona, ki se nanašajo na organizacijo in delovanje investicijskih podjetij, pogoje za opravljanje investicijskih storitev ter delovanje trgov finančnih instrumentov, pri čemer se spremembe nanašajo zlasti na izboljšanje dostopa do kapitalskih trgov za mala in srednja podjetja ter na povečanje njihove vidnosti na trgih. V tem okviru se uvajajo pravila glede uporabe in razširjanja investicijskih analiz, vključno z analizami, ki jih plačajo izdajatelji, ter se določajo zahteve glede njihove jasnosti, nepristranskosti in označevanja. Hkrati se prilagajajo pravila glede plačil za investicijske analize in storitve izvrševanja naročil, s čimer se omogoča večja fleksibilnost pri zagotavljanju teh storitev ob ustrezni zaščiti vlagateljev.</w:t>
      </w:r>
    </w:p>
    <w:p w14:paraId="5661E49C" w14:textId="77777777" w:rsidR="000317F7" w:rsidRDefault="00F06B25">
      <w:pPr>
        <w:spacing w:after="0" w:line="240" w:lineRule="auto"/>
      </w:pPr>
      <w:r>
        <w:t xml:space="preserve"> </w:t>
      </w:r>
    </w:p>
    <w:p w14:paraId="048C157C" w14:textId="77777777" w:rsidR="000317F7" w:rsidRDefault="00F06B25">
      <w:pPr>
        <w:spacing w:after="0" w:line="240" w:lineRule="auto"/>
      </w:pPr>
      <w:r>
        <w:t>Pomemben del prenosa se nanaša tudi na ureditev MTF ter razvojnih trgov MSP, kjer se določajo pogoji za njihovo registracijo, organizacijo in delovanje, vključno z zahtevami glede jasne identifikacije teh trgov in ločevanja njihovih segmentov. Spremembe hkrati razširjajo pravila glede vključitve finančnih instrumentov v trgovanje ter izboljšujejo zakonodajni okvir za delovanje teh trgov z namenom povečanja njihove privlačnosti.</w:t>
      </w:r>
    </w:p>
    <w:p w14:paraId="0D20DD3D" w14:textId="77777777" w:rsidR="000317F7" w:rsidRDefault="000317F7">
      <w:pPr>
        <w:spacing w:after="0" w:line="260" w:lineRule="auto"/>
        <w:rPr>
          <w:rFonts w:cs="Arial"/>
        </w:rPr>
      </w:pPr>
    </w:p>
    <w:p w14:paraId="40D42090" w14:textId="77777777" w:rsidR="000317F7" w:rsidRDefault="00F06B25">
      <w:pPr>
        <w:spacing w:after="0" w:line="260" w:lineRule="auto"/>
      </w:pPr>
      <w:r>
        <w:t>Avstrija</w:t>
      </w:r>
    </w:p>
    <w:p w14:paraId="24F1FF05" w14:textId="77777777" w:rsidR="000317F7" w:rsidRDefault="000317F7">
      <w:pPr>
        <w:spacing w:after="0" w:line="260" w:lineRule="auto"/>
        <w:rPr>
          <w:rFonts w:cs="Arial"/>
        </w:rPr>
      </w:pPr>
    </w:p>
    <w:p w14:paraId="72D119F6" w14:textId="77777777" w:rsidR="000317F7" w:rsidRDefault="00F06B25">
      <w:pPr>
        <w:spacing w:after="0" w:line="240" w:lineRule="auto"/>
      </w:pPr>
      <w:r>
        <w:t xml:space="preserve">Prenos Direktive 2024/2811/EU ter izvajanje Uredbe 2024/2809/EU sta bila v pravni red Republike Avstrije izvedena z Zveznim zakonom </w:t>
      </w:r>
      <w:proofErr w:type="spellStart"/>
      <w:r>
        <w:t>BGBl</w:t>
      </w:r>
      <w:proofErr w:type="spellEnd"/>
      <w:r>
        <w:t>. I št. 27/2026 (</w:t>
      </w:r>
      <w:proofErr w:type="spellStart"/>
      <w:r>
        <w:t>Bundesgesetz</w:t>
      </w:r>
      <w:proofErr w:type="spellEnd"/>
      <w:r>
        <w:t xml:space="preserve"> </w:t>
      </w:r>
      <w:proofErr w:type="spellStart"/>
      <w:r>
        <w:t>BGBl</w:t>
      </w:r>
      <w:proofErr w:type="spellEnd"/>
      <w:r>
        <w:t xml:space="preserve">. I </w:t>
      </w:r>
      <w:proofErr w:type="spellStart"/>
      <w:r>
        <w:t>Nr</w:t>
      </w:r>
      <w:proofErr w:type="spellEnd"/>
      <w:r>
        <w:t>. 27/2026).</w:t>
      </w:r>
    </w:p>
    <w:p w14:paraId="5ADDE694" w14:textId="77777777" w:rsidR="000317F7" w:rsidRDefault="00F06B25">
      <w:pPr>
        <w:spacing w:after="0" w:line="240" w:lineRule="auto"/>
      </w:pPr>
      <w:r>
        <w:t xml:space="preserve"> </w:t>
      </w:r>
    </w:p>
    <w:p w14:paraId="0DE3B17B" w14:textId="77777777" w:rsidR="000317F7" w:rsidRDefault="00F06B25">
      <w:pPr>
        <w:spacing w:after="0" w:line="240" w:lineRule="auto"/>
      </w:pPr>
      <w:r>
        <w:t>Navedeni zakon posega v zakon o nadzoru vrednostnih papirjev iz leta 2018 (</w:t>
      </w:r>
      <w:proofErr w:type="spellStart"/>
      <w:r>
        <w:t>Wertpapieraufsichtsgesetz</w:t>
      </w:r>
      <w:proofErr w:type="spellEnd"/>
      <w:r>
        <w:t xml:space="preserve"> 2018 – WAG 2018) ter pomeni ciljno usmerjeno prilagoditev avstrijskega pravnega reda spremembam, sprejetim v okviru evropskega paketa za povečanje privlačnosti kapitalskih trgov.</w:t>
      </w:r>
    </w:p>
    <w:p w14:paraId="731C7CDE" w14:textId="77777777" w:rsidR="000317F7" w:rsidRDefault="00F06B25">
      <w:pPr>
        <w:spacing w:after="0" w:line="240" w:lineRule="auto"/>
      </w:pPr>
      <w:r>
        <w:t xml:space="preserve"> </w:t>
      </w:r>
    </w:p>
    <w:p w14:paraId="26EF51E7" w14:textId="77777777" w:rsidR="000317F7" w:rsidRDefault="00F06B25">
      <w:pPr>
        <w:spacing w:after="0" w:line="240" w:lineRule="auto"/>
      </w:pPr>
      <w:r>
        <w:t>Direktiva 2024/2811/EU je bila prenesena predvsem z novimi določbami glede investicijskih analiz in analiz, ki jih financirajo izdajatelji (</w:t>
      </w:r>
      <w:proofErr w:type="spellStart"/>
      <w:r>
        <w:t>emittentenfinanzierte</w:t>
      </w:r>
      <w:proofErr w:type="spellEnd"/>
      <w:r>
        <w:t xml:space="preserve"> </w:t>
      </w:r>
      <w:proofErr w:type="spellStart"/>
      <w:r>
        <w:t>Analysen</w:t>
      </w:r>
      <w:proofErr w:type="spellEnd"/>
      <w:r>
        <w:t xml:space="preserve">). V ta namen so bile uvedene zahteve glede poštenosti, jasnosti in </w:t>
      </w:r>
      <w:proofErr w:type="spellStart"/>
      <w:r>
        <w:t>nezavajajoče</w:t>
      </w:r>
      <w:proofErr w:type="spellEnd"/>
      <w:r>
        <w:t xml:space="preserve"> predstavitve analiz ter sprejeti pogoji za njihovo označevanje in razširjanje. Zakon določa, da se lahko analiza označi kot analiza, ki jo financira izdajatelj, le, če je pripravljena v skladu z evropskim kodeksom ravnanja za takšne analize, investicijska podjetja pa morajo vzpostaviti ustrezne organizacijske mehanizme za zagotavljanje skladnosti s temi zahtevami. Hkrati se uvajajo pristojnosti avstrijskega organa za finančni trg (</w:t>
      </w:r>
      <w:proofErr w:type="spellStart"/>
      <w:r>
        <w:t>Finanzmarktaufsicht</w:t>
      </w:r>
      <w:proofErr w:type="spellEnd"/>
      <w:r>
        <w:t xml:space="preserve"> – FMA) za nadzor nad skladnostjo takšnih analiz ter za sprejem ukrepov v primeru neskladnosti.</w:t>
      </w:r>
    </w:p>
    <w:p w14:paraId="4625CB22" w14:textId="77777777" w:rsidR="000317F7" w:rsidRDefault="00F06B25">
      <w:pPr>
        <w:spacing w:after="0" w:line="240" w:lineRule="auto"/>
      </w:pPr>
      <w:r>
        <w:t xml:space="preserve"> </w:t>
      </w:r>
    </w:p>
    <w:p w14:paraId="32EEA461" w14:textId="77777777" w:rsidR="000317F7" w:rsidRDefault="00F06B25">
      <w:pPr>
        <w:spacing w:after="0" w:line="240" w:lineRule="auto"/>
      </w:pPr>
      <w:r>
        <w:t>Pomemben del prenosa se nanaša tudi na ureditev plačil za investicijske analize in storitve izvrševanja naročil. Nova ureditev omogoča skupno ali ločeno plačevanje teh storitev, določa obveznosti obveščanja strank o izbranem načinu plačevanja ter zahteva redno ocenjevanje kakovosti, uporabnosti in vrednosti uporabljenih analiz. Poleg tega zakon določa primere, v katerih zagotavljanje analiz ne pomeni nedovoljene spodbude, ter uvaja obveznost vodenja evidenc o stroških analiz in zagotavljanja ustreznih informacij strankam.</w:t>
      </w:r>
    </w:p>
    <w:p w14:paraId="0824EC97" w14:textId="77777777" w:rsidR="000317F7" w:rsidRDefault="00F06B25">
      <w:pPr>
        <w:spacing w:after="0" w:line="240" w:lineRule="auto"/>
      </w:pPr>
      <w:r>
        <w:t>Izvajanje Uredbe 2024/2809/EU se zagotavlja z uskladitvijo nacionalnih določb z neposredno veljavnimi pravili EU ter z vključitvijo sklicev na spremenjene določbe uredb EU v nacionalni pravni red. Zakon zlasti prilagaja nadzorne pristojnosti FMA ter zagotavlja uporabo novih pravil, ki se nanašajo na delovanje kapitalskih trgov, uporabo investicijskih analiz in izvajanje zahtev iz spremenjenih uredb o zlorabi trga in trgih finančnih instrumentov.</w:t>
      </w:r>
    </w:p>
    <w:p w14:paraId="0B951E0C" w14:textId="77777777" w:rsidR="000317F7" w:rsidRDefault="000317F7">
      <w:pPr>
        <w:spacing w:after="0" w:line="260" w:lineRule="auto"/>
        <w:rPr>
          <w:rFonts w:cs="Arial"/>
        </w:rPr>
      </w:pPr>
    </w:p>
    <w:p w14:paraId="72AE66E2" w14:textId="77777777" w:rsidR="000317F7" w:rsidRDefault="00F06B25">
      <w:pPr>
        <w:pStyle w:val="Odebeljeno"/>
        <w:spacing w:line="260" w:lineRule="auto"/>
      </w:pPr>
      <w:r>
        <w:t>6.</w:t>
      </w:r>
      <w:r>
        <w:tab/>
        <w:t>Presoja posledic</w:t>
      </w:r>
    </w:p>
    <w:p w14:paraId="27ADD29B" w14:textId="77777777" w:rsidR="000317F7" w:rsidRDefault="00F06B25">
      <w:pPr>
        <w:pStyle w:val="Odebeljeno"/>
        <w:spacing w:line="260" w:lineRule="auto"/>
      </w:pPr>
      <w:r>
        <w:t>6.1</w:t>
      </w:r>
      <w:r>
        <w:tab/>
        <w:t>Presoja administrativnih posledic</w:t>
      </w:r>
    </w:p>
    <w:p w14:paraId="52754A5E" w14:textId="77777777" w:rsidR="000317F7" w:rsidRDefault="000317F7">
      <w:pPr>
        <w:spacing w:after="0" w:line="260" w:lineRule="auto"/>
        <w:rPr>
          <w:rFonts w:cs="Arial"/>
        </w:rPr>
      </w:pPr>
    </w:p>
    <w:p w14:paraId="78B2CB9E" w14:textId="77777777" w:rsidR="000317F7" w:rsidRDefault="00F06B25">
      <w:pPr>
        <w:pStyle w:val="Odebeljeno"/>
        <w:spacing w:line="260" w:lineRule="auto"/>
        <w:ind w:left="360" w:hanging="360"/>
      </w:pPr>
      <w:r>
        <w:t>a)</w:t>
      </w:r>
      <w:r>
        <w:tab/>
        <w:t>Predpis ima učinek, s katerim se posega v osebne podatke (določa obdelava novih ali spremenjenih osebnih podatkov).</w:t>
      </w:r>
    </w:p>
    <w:p w14:paraId="7E3A5392" w14:textId="77777777" w:rsidR="000317F7" w:rsidRDefault="000317F7">
      <w:pPr>
        <w:spacing w:after="0" w:line="260" w:lineRule="auto"/>
        <w:rPr>
          <w:rFonts w:cs="Arial"/>
        </w:rPr>
      </w:pPr>
    </w:p>
    <w:p w14:paraId="1EA50CE4" w14:textId="77777777" w:rsidR="000317F7" w:rsidRDefault="00F06B25">
      <w:pPr>
        <w:pStyle w:val="Odebeljeno"/>
        <w:spacing w:line="260" w:lineRule="auto"/>
        <w:ind w:left="720" w:hanging="360"/>
      </w:pPr>
      <w:r>
        <w:t>–</w:t>
      </w:r>
      <w:r>
        <w:tab/>
        <w:t>Predpis ima pozitiven učinek glede posega v osebne podatke – utemeljenost posega.</w:t>
      </w:r>
    </w:p>
    <w:p w14:paraId="3CEC3C41" w14:textId="77777777" w:rsidR="000317F7" w:rsidRDefault="000317F7">
      <w:pPr>
        <w:spacing w:after="0" w:line="260" w:lineRule="auto"/>
        <w:rPr>
          <w:rFonts w:cs="Arial"/>
        </w:rPr>
      </w:pPr>
    </w:p>
    <w:p w14:paraId="4DD050A5" w14:textId="77777777" w:rsidR="000317F7" w:rsidRDefault="00F06B25">
      <w:pPr>
        <w:spacing w:after="0" w:line="240" w:lineRule="auto"/>
        <w:ind w:left="720"/>
      </w:pPr>
      <w:r>
        <w:lastRenderedPageBreak/>
        <w:t xml:space="preserve">Poseg je utemeljen in sorazmeren. Obdelava ima jasno pravno podlago v izpolnjevanju zakonske obveznosti, pri čemer je obveznost v skladu z 38. členom Ustave določena z zakonom in ne s podzakonskim aktom. Zasleduje legitimen cilj, preglednost delniške strukture z delnicami z večkratno glasovalno pravico ter obveščenost in varstvo vlagateljev. Spoštovano je načelo najmanjšega obsega podatkov, saj razkritje zajema le izdajatelju znane podatke, omejeno je na velike delničarje nad pragom 5 % glasovalnih pravic in pooblaščene osebe, pri fizičnih osebah pa zgolj na osebno ime. Izpolnjene so tudi sestavine iz drugega odstavka 6. člena ZVOP‑2 (vrste podatkov, kategorije posameznikov, namen in rok hrambe, ki je določen z ureditvijo dokumentov po Uredbi 2017/1129/EU in ZGD‑1) ter načela iz 5. člena Splošne uredbe. O predlogu je bilo opravljeno predhodno posvetovanje z Informacijskim pooblaščencem, sama Direktiva 2024/2810/EU pa v uvodni izjavi 20 določa, da ne posega v varstvo osebnih podatkov. </w:t>
      </w:r>
    </w:p>
    <w:p w14:paraId="4BB2AB46" w14:textId="77777777" w:rsidR="000317F7" w:rsidRDefault="000317F7">
      <w:pPr>
        <w:spacing w:after="0" w:line="240" w:lineRule="auto"/>
        <w:ind w:left="720"/>
      </w:pPr>
    </w:p>
    <w:p w14:paraId="20617466" w14:textId="77777777" w:rsidR="000317F7" w:rsidRDefault="00F06B25">
      <w:pPr>
        <w:pStyle w:val="Odebeljeno"/>
        <w:spacing w:line="260" w:lineRule="auto"/>
        <w:ind w:left="360" w:hanging="360"/>
      </w:pPr>
      <w:r>
        <w:t>b)</w:t>
      </w:r>
      <w:r>
        <w:tab/>
        <w:t>Predpis ima učinek na temeljna načela varstva osebnih podatkov.</w:t>
      </w:r>
    </w:p>
    <w:p w14:paraId="55BB29F8" w14:textId="77777777" w:rsidR="000317F7" w:rsidRDefault="000317F7">
      <w:pPr>
        <w:spacing w:after="0" w:line="260" w:lineRule="auto"/>
        <w:rPr>
          <w:rFonts w:cs="Arial"/>
        </w:rPr>
      </w:pPr>
    </w:p>
    <w:p w14:paraId="084602C9" w14:textId="77777777" w:rsidR="000317F7" w:rsidRDefault="00F06B25">
      <w:pPr>
        <w:pStyle w:val="Odebeljeno"/>
        <w:spacing w:line="260" w:lineRule="auto"/>
        <w:ind w:left="720" w:hanging="360"/>
      </w:pPr>
      <w:r>
        <w:t>–</w:t>
      </w:r>
      <w:r>
        <w:tab/>
        <w:t>Predpis ima pozitiven učinek na upoštevanje načela zakonitosti, poštenosti in preglednosti obdelave.</w:t>
      </w:r>
    </w:p>
    <w:p w14:paraId="00E59DE2" w14:textId="77777777" w:rsidR="000317F7" w:rsidRDefault="000317F7">
      <w:pPr>
        <w:spacing w:after="0" w:line="260" w:lineRule="auto"/>
        <w:rPr>
          <w:rFonts w:cs="Arial"/>
        </w:rPr>
      </w:pPr>
    </w:p>
    <w:p w14:paraId="03E697CF" w14:textId="77777777" w:rsidR="000317F7" w:rsidRDefault="00F06B25">
      <w:pPr>
        <w:spacing w:after="0" w:line="240" w:lineRule="auto"/>
        <w:ind w:left="720"/>
      </w:pPr>
      <w:r>
        <w:t>Predpis vzpostavlja jasno in vnaprej znano zakonsko podlago za obdelavo (razkritje po 76.a členu kot izpolnjevanje zakonske obveznosti iz točke (c) prvega odstavka 6. člena Splošne uredbe), obveznost pa je skladno z 38. členom Ustave določena z zakonom in ne s podzakonskim aktom. Preglednost je zagotovljena že s tem, da se podatki razkrijejo v javno dostopnih dokumentih z vnaprej znanim namenom in vsebino. Predpis tako uresničevanje tega načela krepi.</w:t>
      </w:r>
    </w:p>
    <w:p w14:paraId="405A9639" w14:textId="77777777" w:rsidR="000317F7" w:rsidRDefault="000317F7">
      <w:pPr>
        <w:spacing w:after="0" w:line="240" w:lineRule="auto"/>
        <w:ind w:left="720"/>
      </w:pPr>
    </w:p>
    <w:p w14:paraId="6E41EC9E" w14:textId="77777777" w:rsidR="000317F7" w:rsidRDefault="00F06B25">
      <w:pPr>
        <w:pStyle w:val="Odebeljeno"/>
        <w:spacing w:line="260" w:lineRule="auto"/>
        <w:ind w:left="720" w:hanging="360"/>
      </w:pPr>
      <w:r>
        <w:t>–</w:t>
      </w:r>
      <w:r>
        <w:tab/>
        <w:t xml:space="preserve">Predpis ima pozitiven učinek na upoštevanje načel določenosti, </w:t>
      </w:r>
      <w:proofErr w:type="spellStart"/>
      <w:r>
        <w:t>izrecnosti</w:t>
      </w:r>
      <w:proofErr w:type="spellEnd"/>
      <w:r>
        <w:t xml:space="preserve"> in zakonitosti namenov.</w:t>
      </w:r>
    </w:p>
    <w:p w14:paraId="721F572A" w14:textId="77777777" w:rsidR="000317F7" w:rsidRDefault="000317F7">
      <w:pPr>
        <w:spacing w:after="0" w:line="260" w:lineRule="auto"/>
        <w:rPr>
          <w:rFonts w:cs="Arial"/>
        </w:rPr>
      </w:pPr>
    </w:p>
    <w:p w14:paraId="375FEA82" w14:textId="77777777" w:rsidR="000317F7" w:rsidRDefault="00F06B25">
      <w:pPr>
        <w:spacing w:after="0" w:line="240" w:lineRule="auto"/>
        <w:ind w:left="720"/>
      </w:pPr>
      <w:r>
        <w:t>Namen obdelave je določen in izrecen, in sicer zagotoviti preglednost delniške strukture z delnicami z večkratno glasovalno pravico ter obveščenost in varstvo vlagateljev. Je tudi zakonit, saj izhaja iz prenosa 5. člena Direktive 2024/2810/EU. Podatki se obdelujejo izključno za ta namen (vključitev v prospekt, dokument o uvrstitvi oziroma letno poročilo) in ne za nezdružljive nadaljnje namene. Predpis torej ta načela podpira.</w:t>
      </w:r>
    </w:p>
    <w:p w14:paraId="75B447A1" w14:textId="77777777" w:rsidR="000317F7" w:rsidRDefault="000317F7">
      <w:pPr>
        <w:spacing w:after="0" w:line="240" w:lineRule="auto"/>
        <w:ind w:left="720"/>
      </w:pPr>
    </w:p>
    <w:p w14:paraId="202CD37E" w14:textId="77777777" w:rsidR="000317F7" w:rsidRDefault="00F06B25">
      <w:pPr>
        <w:pStyle w:val="Odebeljeno"/>
        <w:spacing w:line="260" w:lineRule="auto"/>
        <w:ind w:left="720" w:hanging="360"/>
      </w:pPr>
      <w:r>
        <w:t>–</w:t>
      </w:r>
      <w:r>
        <w:tab/>
        <w:t>Predpis ima pozitiven učinek na upoštevanje načela, da naj bo obdelava osebnih podatkov ustrezna in omejena na to, kar je potrebno za namene, za katere se obdelujejo ti podatki.</w:t>
      </w:r>
    </w:p>
    <w:p w14:paraId="72BA40BE" w14:textId="77777777" w:rsidR="000317F7" w:rsidRDefault="000317F7">
      <w:pPr>
        <w:spacing w:after="0" w:line="260" w:lineRule="auto"/>
        <w:rPr>
          <w:rFonts w:cs="Arial"/>
        </w:rPr>
      </w:pPr>
    </w:p>
    <w:p w14:paraId="6E52AD29" w14:textId="77777777" w:rsidR="000317F7" w:rsidRDefault="00F06B25">
      <w:pPr>
        <w:spacing w:after="0" w:line="240" w:lineRule="auto"/>
        <w:ind w:left="720"/>
      </w:pPr>
      <w:r>
        <w:t>To je najizraziteje pozitivno področje predpisa, saj razkritje zajema le izdajatelju znane podatke, omejeno je na velike delničarje nad pragom 5 % glasovalnih pravic in na osebe, pooblaščene za uveljavljanje teh pravic, pri fizičnih osebah pa je omejeno zgolj na osebno ime (četrti odstavek 76.a člena). Obseg obdelave je torej vnaprej zamejen na najmanjši nabor podatkov, potreben za namen.</w:t>
      </w:r>
    </w:p>
    <w:p w14:paraId="74C9ECB6" w14:textId="77777777" w:rsidR="000317F7" w:rsidRDefault="000317F7">
      <w:pPr>
        <w:spacing w:after="0" w:line="240" w:lineRule="auto"/>
        <w:ind w:left="720"/>
      </w:pPr>
    </w:p>
    <w:p w14:paraId="018AF4D6" w14:textId="77777777" w:rsidR="000317F7" w:rsidRDefault="00F06B25">
      <w:pPr>
        <w:pStyle w:val="Odebeljeno"/>
        <w:spacing w:line="260" w:lineRule="auto"/>
        <w:ind w:left="720" w:hanging="360"/>
      </w:pPr>
      <w:r>
        <w:t>–</w:t>
      </w:r>
      <w:r>
        <w:tab/>
        <w:t xml:space="preserve">Predpis ima pozitiven učinek na upoštevanje načel točnosti in </w:t>
      </w:r>
      <w:proofErr w:type="spellStart"/>
      <w:r>
        <w:t>posodobljenosti</w:t>
      </w:r>
      <w:proofErr w:type="spellEnd"/>
      <w:r>
        <w:t>.</w:t>
      </w:r>
    </w:p>
    <w:p w14:paraId="4ADF6CD0" w14:textId="77777777" w:rsidR="000317F7" w:rsidRDefault="000317F7">
      <w:pPr>
        <w:spacing w:after="0" w:line="260" w:lineRule="auto"/>
        <w:rPr>
          <w:rFonts w:cs="Arial"/>
        </w:rPr>
      </w:pPr>
    </w:p>
    <w:p w14:paraId="785E54CE" w14:textId="77777777" w:rsidR="000317F7" w:rsidRDefault="00F06B25">
      <w:pPr>
        <w:spacing w:after="0" w:line="240" w:lineRule="auto"/>
        <w:ind w:left="720"/>
      </w:pPr>
      <w:r>
        <w:t>Predpis točnost podpira s tem, da je razkritje vezano na podatke, ki so izdajatelju znani, spremembe teh podatkov pa je treba razkriti v letnem poročilu (peti odstavek 76.a člena). Vgrajen mehanizem posodabljanja neposredno prispeva k točnosti in ažurnosti razkritih podatkov.</w:t>
      </w:r>
    </w:p>
    <w:p w14:paraId="55E8680F" w14:textId="77777777" w:rsidR="000317F7" w:rsidRDefault="000317F7">
      <w:pPr>
        <w:spacing w:after="0" w:line="240" w:lineRule="auto"/>
        <w:ind w:left="720"/>
      </w:pPr>
    </w:p>
    <w:p w14:paraId="4FECDFCA" w14:textId="77777777" w:rsidR="000317F7" w:rsidRDefault="00F06B25">
      <w:pPr>
        <w:pStyle w:val="Odebeljeno"/>
        <w:spacing w:line="260" w:lineRule="auto"/>
        <w:ind w:left="720" w:hanging="360"/>
      </w:pPr>
      <w:r>
        <w:t>–</w:t>
      </w:r>
      <w:r>
        <w:tab/>
        <w:t>Predpis ima pozitiven učinek na upoštevanje načela omejitve hrambe – določenost rokov hrambe.</w:t>
      </w:r>
    </w:p>
    <w:p w14:paraId="4D522824" w14:textId="77777777" w:rsidR="000317F7" w:rsidRDefault="000317F7">
      <w:pPr>
        <w:spacing w:after="0" w:line="260" w:lineRule="auto"/>
        <w:rPr>
          <w:rFonts w:cs="Arial"/>
        </w:rPr>
      </w:pPr>
    </w:p>
    <w:p w14:paraId="63DACC29" w14:textId="77777777" w:rsidR="000317F7" w:rsidRDefault="00F06B25">
      <w:pPr>
        <w:spacing w:after="0" w:line="240" w:lineRule="auto"/>
        <w:ind w:left="720"/>
      </w:pPr>
      <w:r>
        <w:t>Predpis ne vzpostavlja ločene ali časovno neomejene zbirke, temveč podatke usmeri v dokumente, katerih rok hrambe oziroma javne dostopnosti je pravno določen (za prospekt Uredba 2017/1129/EU v sedmem odstavku 21. člena najmanj deset let po objavi). Rok je zato določen in zamejen.</w:t>
      </w:r>
    </w:p>
    <w:p w14:paraId="5BD72DFD" w14:textId="77777777" w:rsidR="000317F7" w:rsidRDefault="000317F7">
      <w:pPr>
        <w:spacing w:after="0" w:line="240" w:lineRule="auto"/>
        <w:ind w:left="720"/>
      </w:pPr>
    </w:p>
    <w:p w14:paraId="690C2EBB" w14:textId="77777777" w:rsidR="000317F7" w:rsidRDefault="00F06B25">
      <w:pPr>
        <w:pStyle w:val="Odebeljeno"/>
        <w:spacing w:line="260" w:lineRule="auto"/>
      </w:pPr>
      <w:r>
        <w:t>6.2</w:t>
      </w:r>
      <w:r>
        <w:tab/>
        <w:t>Presoja posledic za okolje, vključno s prostorskimi in varstvenimi vidiki</w:t>
      </w:r>
    </w:p>
    <w:p w14:paraId="1369A463" w14:textId="77777777" w:rsidR="000317F7" w:rsidRDefault="000317F7">
      <w:pPr>
        <w:spacing w:after="0" w:line="260" w:lineRule="auto"/>
        <w:rPr>
          <w:rFonts w:cs="Arial"/>
        </w:rPr>
      </w:pPr>
    </w:p>
    <w:p w14:paraId="56D42562" w14:textId="77777777" w:rsidR="000317F7" w:rsidRDefault="00F06B25">
      <w:pPr>
        <w:spacing w:after="0" w:line="260" w:lineRule="auto"/>
      </w:pPr>
      <w:r>
        <w:t>Predpis nima posledic na tem področju.</w:t>
      </w:r>
    </w:p>
    <w:p w14:paraId="23AAFC04" w14:textId="77777777" w:rsidR="000317F7" w:rsidRDefault="000317F7">
      <w:pPr>
        <w:spacing w:after="0" w:line="260" w:lineRule="auto"/>
        <w:rPr>
          <w:rFonts w:cs="Arial"/>
        </w:rPr>
      </w:pPr>
    </w:p>
    <w:p w14:paraId="7192F001" w14:textId="77777777" w:rsidR="000317F7" w:rsidRDefault="00F06B25">
      <w:pPr>
        <w:pStyle w:val="Odebeljeno"/>
        <w:spacing w:line="260" w:lineRule="auto"/>
      </w:pPr>
      <w:r>
        <w:t>6.3</w:t>
      </w:r>
      <w:r>
        <w:tab/>
        <w:t>Presoja posledic za gospodarstvo</w:t>
      </w:r>
    </w:p>
    <w:p w14:paraId="2D0E4C4D" w14:textId="77777777" w:rsidR="000317F7" w:rsidRDefault="000317F7">
      <w:pPr>
        <w:spacing w:after="0" w:line="260" w:lineRule="auto"/>
        <w:rPr>
          <w:rFonts w:cs="Arial"/>
        </w:rPr>
      </w:pPr>
    </w:p>
    <w:p w14:paraId="1891FC38" w14:textId="77777777" w:rsidR="000317F7" w:rsidRDefault="00F06B25">
      <w:pPr>
        <w:pStyle w:val="Odebeljeno"/>
        <w:spacing w:line="260" w:lineRule="auto"/>
        <w:ind w:left="360" w:hanging="360"/>
      </w:pPr>
      <w:r>
        <w:t>a)</w:t>
      </w:r>
      <w:r>
        <w:tab/>
        <w:t>Predpis ima učinek na potrošnike oziroma gospodinjstva.</w:t>
      </w:r>
    </w:p>
    <w:p w14:paraId="3385A671" w14:textId="77777777" w:rsidR="000317F7" w:rsidRDefault="000317F7">
      <w:pPr>
        <w:spacing w:after="0" w:line="260" w:lineRule="auto"/>
        <w:rPr>
          <w:rFonts w:cs="Arial"/>
        </w:rPr>
      </w:pPr>
    </w:p>
    <w:p w14:paraId="294F1C70" w14:textId="77777777" w:rsidR="000317F7" w:rsidRDefault="00F06B25">
      <w:pPr>
        <w:pStyle w:val="Odebeljeno"/>
        <w:spacing w:line="260" w:lineRule="auto"/>
        <w:ind w:left="720" w:hanging="360"/>
      </w:pPr>
      <w:r>
        <w:t>–</w:t>
      </w:r>
      <w:r>
        <w:tab/>
        <w:t>Predpis ima pozitiven učinek na cene blaga/storitev za potrošnike oziroma gospodinjstva.</w:t>
      </w:r>
    </w:p>
    <w:p w14:paraId="5B02B0EE" w14:textId="77777777" w:rsidR="000317F7" w:rsidRDefault="000317F7">
      <w:pPr>
        <w:spacing w:after="0" w:line="260" w:lineRule="auto"/>
        <w:rPr>
          <w:rFonts w:cs="Arial"/>
        </w:rPr>
      </w:pPr>
    </w:p>
    <w:p w14:paraId="114A75CD" w14:textId="77777777" w:rsidR="000317F7" w:rsidRDefault="00F06B25">
      <w:pPr>
        <w:spacing w:after="0" w:line="240" w:lineRule="auto"/>
        <w:ind w:left="720"/>
      </w:pPr>
      <w:r>
        <w:t>Predlog zakona neposredno ne nalaga obveznosti potrošnikom oziroma gospodinjstvom in zanje ne pomeni novih stroškov ali upravnih bremen. ZTFI-1 ureja razmerja na trgu finančnih instrumentov, zlasti položaj izdajateljev, borznoposredniških družb in upravljavcev mest trgovanja, zato predpis nima neposrednih učinkov na potrošnike kot uporabnike blaga in storitev v vsakdanjem prometu. Posredne učinke je mogoče prepoznati v razmerju do gospodinjstev, ki na trgu kapitala nastopajo kot neprofesionalni vlagatelji. Predlagane rešitve za to skupino izboljšujejo obseg in kakovost informacij, ki so podlaga za sprejemanje informiranih naložbenih odločitev, in sicer z obveznostjo jasne označitve delnic, izdanih v okviru delniških struktur z delnicami z večkratno glasovalno pravico, na večstranskih sistemih trgovanja, z obveznostjo razkritja delniške strukture v prospektu oziroma dokumentu o uvrstitvi ter z večjo preglednostjo ureditve plačevanja investicijskih raziskav. Učinki na gospodinjstva so tako posredni in praviloma ugodni, saj krepijo zaščito vlagateljev in preglednost trga, ne da bi tem osebam nalagali dodatne obveznosti.</w:t>
      </w:r>
    </w:p>
    <w:p w14:paraId="7095FD0E" w14:textId="77777777" w:rsidR="000317F7" w:rsidRDefault="000317F7">
      <w:pPr>
        <w:spacing w:after="0" w:line="240" w:lineRule="auto"/>
        <w:ind w:left="720"/>
      </w:pPr>
    </w:p>
    <w:p w14:paraId="4519FC25" w14:textId="77777777" w:rsidR="000317F7" w:rsidRDefault="00F06B25">
      <w:pPr>
        <w:pStyle w:val="Odebeljeno"/>
        <w:spacing w:line="260" w:lineRule="auto"/>
        <w:ind w:left="360" w:hanging="360"/>
      </w:pPr>
      <w:r>
        <w:t>b)</w:t>
      </w:r>
      <w:r>
        <w:tab/>
        <w:t>Predpis ima še druge učinke na gospodarstvo, ki niso zajeti v odgovorih na predhodna vprašanja.</w:t>
      </w:r>
    </w:p>
    <w:p w14:paraId="10EAED3D" w14:textId="77777777" w:rsidR="000317F7" w:rsidRDefault="000317F7">
      <w:pPr>
        <w:spacing w:after="0" w:line="260" w:lineRule="auto"/>
        <w:rPr>
          <w:rFonts w:cs="Arial"/>
        </w:rPr>
      </w:pPr>
    </w:p>
    <w:p w14:paraId="1F9BEFD0" w14:textId="77777777" w:rsidR="000317F7" w:rsidRDefault="00F06B25">
      <w:pPr>
        <w:pStyle w:val="Odebeljeno"/>
        <w:spacing w:line="260" w:lineRule="auto"/>
        <w:ind w:left="720" w:hanging="360"/>
      </w:pPr>
      <w:r>
        <w:t>–</w:t>
      </w:r>
      <w:r>
        <w:tab/>
        <w:t>Predpis ima pozitiven učinek na področje gospodarstva, ki morda ni zajet v odgovorih na predhodna vprašanja.</w:t>
      </w:r>
    </w:p>
    <w:p w14:paraId="3C4BD04F" w14:textId="77777777" w:rsidR="000317F7" w:rsidRDefault="000317F7">
      <w:pPr>
        <w:spacing w:after="0" w:line="260" w:lineRule="auto"/>
        <w:rPr>
          <w:rFonts w:cs="Arial"/>
        </w:rPr>
      </w:pPr>
    </w:p>
    <w:p w14:paraId="4383470F" w14:textId="77777777" w:rsidR="000317F7" w:rsidRDefault="00F06B25">
      <w:pPr>
        <w:spacing w:after="0" w:line="240" w:lineRule="auto"/>
        <w:ind w:left="720"/>
      </w:pPr>
      <w:r>
        <w:t xml:space="preserve">Predlog zakona prinaša pomembne spremembe, ki bodo vplivale na delovanje trga kapitala in posredno tudi na širše gospodarstvo. Z izboljšanjem pogojev za uvrstitev delnic v uradno borzno kotacijo, prožnejšo ureditvijo plačevanja investicijskih raziskav ter odpravo ovir za trgovanje z delnicami družb, ki imajo delnice z večkratno glasovalno pravico, se povečuje privlačnost javnih kapitalskih trgov. Podjetjem se s tem olajšuje dostop do lastniškega financiranja, hkrati pa se zmanjšuje njihova odvisnost od bančnih virov financiranja. Predlagane rešitve spodbujajo razvoj globljega in </w:t>
      </w:r>
      <w:proofErr w:type="spellStart"/>
      <w:r>
        <w:t>likvidnejšega</w:t>
      </w:r>
      <w:proofErr w:type="spellEnd"/>
      <w:r>
        <w:t xml:space="preserve"> trga kapitala, kar lahko dolgoročno prispeva k rasti podjetij, ustvarjanju novih delovnih mest in krepitvi gospodarske aktivnosti.</w:t>
      </w:r>
    </w:p>
    <w:p w14:paraId="1E49D48E" w14:textId="77777777" w:rsidR="000317F7" w:rsidRDefault="000317F7">
      <w:pPr>
        <w:spacing w:after="0" w:line="240" w:lineRule="auto"/>
        <w:ind w:left="720"/>
      </w:pPr>
    </w:p>
    <w:p w14:paraId="116C17B7" w14:textId="77777777" w:rsidR="000317F7" w:rsidRDefault="00F06B25">
      <w:pPr>
        <w:pStyle w:val="Odebeljeno"/>
        <w:spacing w:line="260" w:lineRule="auto"/>
      </w:pPr>
      <w:r>
        <w:t>6.4</w:t>
      </w:r>
      <w:r>
        <w:tab/>
        <w:t>Presoja posledic za socialno področje</w:t>
      </w:r>
    </w:p>
    <w:p w14:paraId="7AD68FEF" w14:textId="77777777" w:rsidR="000317F7" w:rsidRDefault="000317F7">
      <w:pPr>
        <w:spacing w:after="0" w:line="260" w:lineRule="auto"/>
        <w:rPr>
          <w:rFonts w:cs="Arial"/>
        </w:rPr>
      </w:pPr>
    </w:p>
    <w:p w14:paraId="145CB678" w14:textId="77777777" w:rsidR="000317F7" w:rsidRDefault="00F06B25">
      <w:pPr>
        <w:spacing w:after="0" w:line="260" w:lineRule="auto"/>
      </w:pPr>
      <w:r>
        <w:t>Predpis nima posledic na tem področju.</w:t>
      </w:r>
    </w:p>
    <w:p w14:paraId="43D0C9C6" w14:textId="77777777" w:rsidR="000317F7" w:rsidRDefault="000317F7">
      <w:pPr>
        <w:spacing w:after="0" w:line="260" w:lineRule="auto"/>
        <w:rPr>
          <w:rFonts w:cs="Arial"/>
        </w:rPr>
      </w:pPr>
    </w:p>
    <w:p w14:paraId="3BD982E7" w14:textId="77777777" w:rsidR="000317F7" w:rsidRDefault="00F06B25">
      <w:pPr>
        <w:pStyle w:val="Odebeljeno"/>
        <w:spacing w:line="260" w:lineRule="auto"/>
      </w:pPr>
      <w:r>
        <w:t>6.5</w:t>
      </w:r>
      <w:r>
        <w:tab/>
        <w:t>Presoja posledic za dokumente razvojnega načrtovanja</w:t>
      </w:r>
    </w:p>
    <w:p w14:paraId="227FA6D2" w14:textId="77777777" w:rsidR="000317F7" w:rsidRDefault="000317F7">
      <w:pPr>
        <w:spacing w:after="0" w:line="260" w:lineRule="auto"/>
        <w:rPr>
          <w:rFonts w:cs="Arial"/>
        </w:rPr>
      </w:pPr>
    </w:p>
    <w:p w14:paraId="162F8408" w14:textId="77777777" w:rsidR="000317F7" w:rsidRDefault="00F06B25">
      <w:pPr>
        <w:spacing w:after="0" w:line="260" w:lineRule="auto"/>
      </w:pPr>
      <w:r>
        <w:t>Predpis nima posledic na tem področju.</w:t>
      </w:r>
    </w:p>
    <w:p w14:paraId="37E8F428" w14:textId="77777777" w:rsidR="000317F7" w:rsidRDefault="000317F7">
      <w:pPr>
        <w:spacing w:after="0" w:line="260" w:lineRule="auto"/>
        <w:rPr>
          <w:rFonts w:cs="Arial"/>
        </w:rPr>
      </w:pPr>
    </w:p>
    <w:p w14:paraId="7EEB86C8" w14:textId="77777777" w:rsidR="000317F7" w:rsidRDefault="00F06B25">
      <w:pPr>
        <w:pStyle w:val="Odebeljeno"/>
        <w:spacing w:line="260" w:lineRule="auto"/>
      </w:pPr>
      <w:r>
        <w:t>6.6</w:t>
      </w:r>
      <w:r>
        <w:tab/>
        <w:t>Presoja posledic za druga področja</w:t>
      </w:r>
    </w:p>
    <w:p w14:paraId="2C9EA835" w14:textId="77777777" w:rsidR="000317F7" w:rsidRDefault="000317F7">
      <w:pPr>
        <w:spacing w:after="0" w:line="260" w:lineRule="auto"/>
        <w:rPr>
          <w:rFonts w:cs="Arial"/>
        </w:rPr>
      </w:pPr>
    </w:p>
    <w:p w14:paraId="5DA7D557" w14:textId="77777777" w:rsidR="000317F7" w:rsidRDefault="00F06B25">
      <w:pPr>
        <w:spacing w:after="0" w:line="260" w:lineRule="auto"/>
      </w:pPr>
      <w:r>
        <w:t>Predpis nima posledic na tem področju.</w:t>
      </w:r>
    </w:p>
    <w:p w14:paraId="0AB04D84" w14:textId="77777777" w:rsidR="000317F7" w:rsidRDefault="000317F7">
      <w:pPr>
        <w:spacing w:after="0" w:line="260" w:lineRule="auto"/>
        <w:rPr>
          <w:rFonts w:cs="Arial"/>
        </w:rPr>
      </w:pPr>
    </w:p>
    <w:p w14:paraId="289A6B70" w14:textId="77777777" w:rsidR="000317F7" w:rsidRDefault="00F06B25">
      <w:pPr>
        <w:pStyle w:val="Odebeljeno"/>
        <w:spacing w:line="260" w:lineRule="auto"/>
      </w:pPr>
      <w:r>
        <w:t>6.7</w:t>
      </w:r>
      <w:r>
        <w:tab/>
        <w:t>Izvajanje sprejetega predpisa</w:t>
      </w:r>
    </w:p>
    <w:p w14:paraId="47188127" w14:textId="77777777" w:rsidR="000317F7" w:rsidRDefault="000317F7">
      <w:pPr>
        <w:spacing w:after="0" w:line="260" w:lineRule="auto"/>
        <w:rPr>
          <w:rFonts w:cs="Arial"/>
        </w:rPr>
      </w:pPr>
    </w:p>
    <w:p w14:paraId="121F8A5D" w14:textId="77777777" w:rsidR="000317F7" w:rsidRDefault="00F06B25">
      <w:pPr>
        <w:spacing w:after="0" w:line="240" w:lineRule="auto"/>
      </w:pPr>
      <w:r>
        <w:t xml:space="preserve">Predpis je po vsebini tehničen in usklajevalne narave, naslovljen pa je na razmeroma ozek krog strokovno usposobljenih naslovnikov, in sicer na borznoposredniške družbe, investicijska podjetja držav članic in investicijska podjetja tretjih držav, izdajatelje finančnih instrumentov, upravljavce mest trgovanja </w:t>
      </w:r>
      <w:r>
        <w:lastRenderedPageBreak/>
        <w:t xml:space="preserve">(organizirani trg, MTF in OTF) ter na ATVP kot pristojni nadzorni organ. Temeljna oblika seznanitve javnosti je objava sprejetega zakona v Uradnem listu Republike Slovenije in njegova dostopnost prek pravno-informacijskega sistema. Predlog zakona je bil pred sprejetjem že objavljen na portalu </w:t>
      </w:r>
      <w:proofErr w:type="spellStart"/>
      <w:r>
        <w:t>eDemokracija</w:t>
      </w:r>
      <w:proofErr w:type="spellEnd"/>
      <w:r>
        <w:t xml:space="preserve"> (6. 5. 2026).</w:t>
      </w:r>
    </w:p>
    <w:p w14:paraId="5F0BD96A" w14:textId="77777777" w:rsidR="000317F7" w:rsidRDefault="00F06B25">
      <w:pPr>
        <w:spacing w:after="0" w:line="240" w:lineRule="auto"/>
        <w:jc w:val="left"/>
      </w:pPr>
      <w:r>
        <w:br/>
        <w:t>Spremljanje izvajanja in učinkov predpisa zagotavlja Ministrstvo za finance, uporabo predpisa v praksi pa v okviru svojih nadzornih pristojnosti spremlja ATVP. Doseganje ciljev se spremlja z metodami sprotnega nadzora ATVP in njenih ugotovitev, s sodelovanjem z ESMA in drugimi pristojnimi organi, z analizo ocene Evropske komisije o skladnosti prenosa ter s spremljanjem dejanskih učinkov na trgu in s povratnimi informacijami zainteresirane javnosti. Merila za ugotavljanje doseganja ciljev so skladna z merili iz točke 2.1 tega gradiva, in sicer odsotnost opozoril oziroma postopkov Evropske komisije zaradi nepravilnega ali nepopolnega prenosa (cilj: nič opozoril po uveljavitvi) ter ocenjena stopnja skladnosti državne ureditve z zahtevami direktiv.</w:t>
      </w:r>
    </w:p>
    <w:p w14:paraId="64A0AA39" w14:textId="77777777" w:rsidR="000317F7" w:rsidRDefault="00F06B25">
      <w:pPr>
        <w:spacing w:after="0" w:line="240" w:lineRule="auto"/>
        <w:jc w:val="left"/>
      </w:pPr>
      <w:r>
        <w:br/>
        <w:t>Posebno občasno poročilo o izvajanju tega zakona ni predvideno. Spremljanje doseženih ciljev se zagotavlja v okviru letnega poročila ATVP o njenem delu in o stanju na trgu finančnih instrumentov, ki ga ATVP pripravlja v skladu s predpisi, ki urejajo njen položaj in delovanje, ter v okviru sprotnega spremljanja predpisa, ki ga izvaja ministrstvo. Na tej podlagi Ministrstvo za finance v sodelovanju z ATVP presoja potrebo po nadaljnjih ukrepih. Če ugotovi potrebo po spremembah, jih predlaga v zakonodajnem postopku.</w:t>
      </w:r>
    </w:p>
    <w:p w14:paraId="02AF2A12" w14:textId="77777777" w:rsidR="000317F7" w:rsidRDefault="000317F7">
      <w:pPr>
        <w:spacing w:after="0" w:line="260" w:lineRule="auto"/>
        <w:rPr>
          <w:rFonts w:cs="Arial"/>
        </w:rPr>
      </w:pPr>
    </w:p>
    <w:p w14:paraId="14EDB475" w14:textId="77777777" w:rsidR="000317F7" w:rsidRDefault="00F06B25">
      <w:pPr>
        <w:pStyle w:val="Odebeljeno"/>
        <w:spacing w:line="260" w:lineRule="auto"/>
      </w:pPr>
      <w:r>
        <w:t>7.</w:t>
      </w:r>
      <w:r>
        <w:tab/>
        <w:t>Prikaz sodelovanja javnosti</w:t>
      </w:r>
    </w:p>
    <w:p w14:paraId="7E309DA8" w14:textId="77777777" w:rsidR="000317F7" w:rsidRDefault="000317F7">
      <w:pPr>
        <w:spacing w:after="0" w:line="260" w:lineRule="auto"/>
        <w:rPr>
          <w:rFonts w:cs="Arial"/>
        </w:rPr>
      </w:pPr>
    </w:p>
    <w:p w14:paraId="2A1D2CDF" w14:textId="77777777" w:rsidR="000317F7" w:rsidRDefault="00F06B25">
      <w:pPr>
        <w:spacing w:after="0" w:line="260" w:lineRule="auto"/>
      </w:pPr>
      <w:r>
        <w:t>Gradivo je bilo predmet sodelovanja z javnostjo.</w:t>
      </w:r>
    </w:p>
    <w:p w14:paraId="3C4F1DC9" w14:textId="77777777" w:rsidR="000317F7" w:rsidRDefault="000317F7">
      <w:pPr>
        <w:spacing w:after="0" w:line="260" w:lineRule="auto"/>
        <w:rPr>
          <w:rFonts w:cs="Arial"/>
        </w:rPr>
      </w:pPr>
    </w:p>
    <w:p w14:paraId="42367964" w14:textId="77777777" w:rsidR="000317F7" w:rsidRDefault="00F06B25">
      <w:pPr>
        <w:spacing w:after="0" w:line="260" w:lineRule="auto"/>
      </w:pPr>
      <w:r>
        <w:t xml:space="preserve">Datum objave na portalu </w:t>
      </w:r>
      <w:proofErr w:type="spellStart"/>
      <w:r>
        <w:t>eDemokracija</w:t>
      </w:r>
      <w:proofErr w:type="spellEnd"/>
      <w:r>
        <w:t>:</w:t>
      </w:r>
    </w:p>
    <w:p w14:paraId="3EDBD535" w14:textId="77777777" w:rsidR="000317F7" w:rsidRDefault="00F06B25">
      <w:pPr>
        <w:spacing w:after="0" w:line="260" w:lineRule="auto"/>
      </w:pPr>
      <w:r>
        <w:t>6. 5. 2026</w:t>
      </w:r>
    </w:p>
    <w:p w14:paraId="128F30F7" w14:textId="77777777" w:rsidR="000317F7" w:rsidRDefault="000317F7">
      <w:pPr>
        <w:spacing w:after="0" w:line="260" w:lineRule="auto"/>
        <w:rPr>
          <w:rFonts w:cs="Arial"/>
        </w:rPr>
      </w:pPr>
    </w:p>
    <w:p w14:paraId="1A563DFD" w14:textId="77777777" w:rsidR="000317F7" w:rsidRDefault="00F06B25">
      <w:pPr>
        <w:spacing w:after="0" w:line="260" w:lineRule="auto"/>
      </w:pPr>
      <w:r>
        <w:t>Na gradivo so bila podana mnenja, predlogi in pripombe.</w:t>
      </w:r>
    </w:p>
    <w:p w14:paraId="7994C69C" w14:textId="77777777" w:rsidR="000317F7" w:rsidRDefault="000317F7">
      <w:pPr>
        <w:spacing w:after="0" w:line="260" w:lineRule="auto"/>
        <w:rPr>
          <w:rFonts w:cs="Arial"/>
        </w:rPr>
      </w:pPr>
    </w:p>
    <w:p w14:paraId="5B94353F" w14:textId="77777777" w:rsidR="000317F7" w:rsidRDefault="00F06B25">
      <w:pPr>
        <w:spacing w:after="0" w:line="260" w:lineRule="auto"/>
      </w:pPr>
      <w:r>
        <w:t>V razpravo vključeni subjekti:</w:t>
      </w:r>
    </w:p>
    <w:p w14:paraId="5FCBA559" w14:textId="77777777" w:rsidR="000317F7" w:rsidRDefault="00F06B25">
      <w:pPr>
        <w:spacing w:after="0" w:line="240" w:lineRule="auto"/>
      </w:pPr>
      <w:r>
        <w:t xml:space="preserve">Agencija za trg vrednostnih papirjev, Ljubljanska borza, </w:t>
      </w:r>
      <w:proofErr w:type="spellStart"/>
      <w:r>
        <w:t>d.d</w:t>
      </w:r>
      <w:proofErr w:type="spellEnd"/>
      <w:r>
        <w:t>.</w:t>
      </w:r>
    </w:p>
    <w:p w14:paraId="22934404" w14:textId="77777777" w:rsidR="000317F7" w:rsidRDefault="000317F7">
      <w:pPr>
        <w:spacing w:after="0" w:line="260" w:lineRule="auto"/>
        <w:rPr>
          <w:rFonts w:cs="Arial"/>
        </w:rPr>
      </w:pPr>
    </w:p>
    <w:p w14:paraId="06A50A86" w14:textId="77777777" w:rsidR="000317F7" w:rsidRDefault="00F06B25">
      <w:pPr>
        <w:spacing w:after="0" w:line="260" w:lineRule="auto"/>
      </w:pPr>
      <w:r>
        <w:t>Obrazložitev upoštevanja mnenj, predlogov in pripomb v razpravo vključenih subjektov:</w:t>
      </w:r>
    </w:p>
    <w:p w14:paraId="04916B95" w14:textId="77777777" w:rsidR="000317F7" w:rsidRDefault="00F06B25">
      <w:pPr>
        <w:spacing w:after="0" w:line="240" w:lineRule="auto"/>
      </w:pPr>
      <w:r>
        <w:t xml:space="preserve">Predlog zakona je bil objavljen na spletni strani e-demokracija.si 6. 5 2026. Javna obravnava je potekala do 20. 5. 2026. V času javne obravnave so bile prejete pripombe Ljubljanske borze, </w:t>
      </w:r>
      <w:proofErr w:type="spellStart"/>
      <w:r>
        <w:t>d.d</w:t>
      </w:r>
      <w:proofErr w:type="spellEnd"/>
      <w:r>
        <w:t xml:space="preserve">., Agencije za trg vrednostnih papirjev in fizične osebe, ki se podala splošne pripombe in komentarje na vse člene zakona. </w:t>
      </w:r>
    </w:p>
    <w:p w14:paraId="59D8EFBF" w14:textId="77777777" w:rsidR="000317F7" w:rsidRDefault="00F06B25">
      <w:pPr>
        <w:spacing w:after="0" w:line="240" w:lineRule="auto"/>
      </w:pPr>
      <w:r>
        <w:t xml:space="preserve"> </w:t>
      </w:r>
    </w:p>
    <w:p w14:paraId="72724A33" w14:textId="77777777" w:rsidR="000317F7" w:rsidRDefault="00F06B25">
      <w:pPr>
        <w:spacing w:after="0" w:line="240" w:lineRule="auto"/>
        <w:jc w:val="left"/>
      </w:pPr>
      <w:r>
        <w:rPr>
          <w:b/>
        </w:rPr>
        <w:t xml:space="preserve">a) Ljubljanska borza, </w:t>
      </w:r>
      <w:proofErr w:type="spellStart"/>
      <w:r>
        <w:rPr>
          <w:b/>
        </w:rPr>
        <w:t>d.d</w:t>
      </w:r>
      <w:proofErr w:type="spellEnd"/>
      <w:r>
        <w:rPr>
          <w:b/>
        </w:rPr>
        <w:t>.</w:t>
      </w:r>
    </w:p>
    <w:p w14:paraId="2595823C" w14:textId="77777777" w:rsidR="000317F7" w:rsidRDefault="00F06B25">
      <w:pPr>
        <w:spacing w:after="0" w:line="240" w:lineRule="auto"/>
      </w:pPr>
      <w:r>
        <w:t>Podane so bile pripombe glede predlagane spremembe 401. člena ZTFI-1. Predlagano je bilo, da se pogoji za uvrstitev delnic v uradno borzno kotacijo v celoti uskladijo z zahtevami iz Direktive 2024/2881/EU. Pripomba je v celoti upoštevana.</w:t>
      </w:r>
    </w:p>
    <w:p w14:paraId="73B20D70" w14:textId="77777777" w:rsidR="000317F7" w:rsidRDefault="00F06B25">
      <w:pPr>
        <w:spacing w:after="0" w:line="240" w:lineRule="auto"/>
      </w:pPr>
      <w:r>
        <w:t>Prav tako je bila predlagana uskladitev roka za zamenjavo revizijske družbe za Borzo z Zakonom o bančništvu (sprememba petega odstavka 384. člena ZTFI-1). Pripomba ni upoštevana, saj se s predlogom zakona prenaša zgolj vsebina, ki neposredno prenaša direktive.</w:t>
      </w:r>
    </w:p>
    <w:p w14:paraId="10BA7322" w14:textId="77777777" w:rsidR="000317F7" w:rsidRDefault="00F06B25">
      <w:pPr>
        <w:spacing w:after="0" w:line="240" w:lineRule="auto"/>
      </w:pPr>
      <w:r>
        <w:t xml:space="preserve"> </w:t>
      </w:r>
    </w:p>
    <w:p w14:paraId="5BDF9320" w14:textId="77777777" w:rsidR="000317F7" w:rsidRDefault="00F06B25">
      <w:pPr>
        <w:spacing w:after="0" w:line="240" w:lineRule="auto"/>
        <w:jc w:val="left"/>
      </w:pPr>
      <w:r>
        <w:rPr>
          <w:b/>
        </w:rPr>
        <w:t>b) Agencija za trg vrednostnih papirjev</w:t>
      </w:r>
    </w:p>
    <w:p w14:paraId="2B1C202C" w14:textId="77777777" w:rsidR="000317F7" w:rsidRDefault="00F06B25">
      <w:pPr>
        <w:spacing w:after="0" w:line="240" w:lineRule="auto"/>
      </w:pPr>
      <w:r>
        <w:t>Podani so bili predlogi spremembe 210. člena ZTFI-1 glede omogočanje oddaljenega dostopa do MTF ali OTF za subjekte iz tretjih držav opravljanje storitve v tretji državi in 471. člena ZTFI-1 glede odločanja ATVP v posamičnih postopkih. Predlogi niso bili upoštevani, saj se s predlogom zakona prenaša zgolj vsebina, ki neposredno prenaša direktive.</w:t>
      </w:r>
    </w:p>
    <w:p w14:paraId="710B00E3" w14:textId="77777777" w:rsidR="000317F7" w:rsidRDefault="00F06B25">
      <w:pPr>
        <w:spacing w:after="0" w:line="240" w:lineRule="auto"/>
      </w:pPr>
      <w:r>
        <w:t xml:space="preserve"> </w:t>
      </w:r>
    </w:p>
    <w:p w14:paraId="4E2DFA8D" w14:textId="77777777" w:rsidR="000317F7" w:rsidRDefault="00F06B25">
      <w:pPr>
        <w:spacing w:after="0" w:line="240" w:lineRule="auto"/>
        <w:jc w:val="left"/>
      </w:pPr>
      <w:r>
        <w:rPr>
          <w:b/>
        </w:rPr>
        <w:t>c) Fizična oseba</w:t>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774"/>
        <w:gridCol w:w="4616"/>
      </w:tblGrid>
      <w:tr w:rsidR="000317F7" w14:paraId="706B9F90"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4F1D740" w14:textId="77777777" w:rsidR="000317F7" w:rsidRDefault="00F06B25">
            <w:pPr>
              <w:jc w:val="center"/>
              <w:rPr>
                <w:rFonts w:cs="Arial"/>
                <w:b/>
                <w:color w:val="000000"/>
              </w:rPr>
            </w:pPr>
            <w:r>
              <w:rPr>
                <w:rFonts w:cs="Arial"/>
                <w:b/>
                <w:color w:val="000000"/>
              </w:rPr>
              <w:lastRenderedPageBreak/>
              <w:t>Pripomba fizične osebe 1</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CDB9EE5" w14:textId="77777777" w:rsidR="000317F7" w:rsidRDefault="00F06B25">
            <w:pPr>
              <w:jc w:val="center"/>
              <w:rPr>
                <w:rFonts w:cs="Arial"/>
                <w:b/>
                <w:color w:val="000000"/>
              </w:rPr>
            </w:pPr>
            <w:r>
              <w:rPr>
                <w:rFonts w:cs="Arial"/>
                <w:b/>
                <w:color w:val="000000"/>
              </w:rPr>
              <w:t>Odgovor/pojasnila Ministrstva za finance</w:t>
            </w:r>
          </w:p>
        </w:tc>
      </w:tr>
      <w:tr w:rsidR="000317F7" w14:paraId="6A99279B"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BD5587D" w14:textId="77777777" w:rsidR="000317F7" w:rsidRDefault="00F06B25">
            <w:pPr>
              <w:spacing w:after="240"/>
              <w:rPr>
                <w:rFonts w:cs="Arial"/>
                <w:color w:val="000000"/>
              </w:rPr>
            </w:pPr>
            <w:r>
              <w:rPr>
                <w:rFonts w:cs="Arial"/>
                <w:b/>
                <w:color w:val="000000"/>
              </w:rPr>
              <w:t>K 12. členu predloga (sprememba 316. člena ZTFI-1)</w:t>
            </w:r>
          </w:p>
          <w:p w14:paraId="72B092F1" w14:textId="77777777" w:rsidR="000317F7" w:rsidRDefault="00F06B25">
            <w:pPr>
              <w:spacing w:before="240" w:after="240"/>
              <w:rPr>
                <w:rFonts w:cs="Arial"/>
                <w:color w:val="000000"/>
              </w:rPr>
            </w:pPr>
            <w:r>
              <w:rPr>
                <w:rFonts w:cs="Arial"/>
                <w:color w:val="000000"/>
              </w:rPr>
              <w:t>Ugotovitev: Prenašata se ključna mehanizma Direktive 2024/2810/EU: prepoved diskriminacije pri uvrstitvi delnic na MTF (316. člen) in obveznost jasne označitve delnic z večkratno glasovalno pravico (317. člen). Oboje je bistveno za učinkovito delovanje notranjega trga.</w:t>
            </w:r>
          </w:p>
          <w:p w14:paraId="7B02182A" w14:textId="77777777" w:rsidR="000317F7" w:rsidRDefault="00F06B25">
            <w:pPr>
              <w:spacing w:before="240" w:after="240"/>
              <w:rPr>
                <w:rFonts w:cs="Arial"/>
                <w:color w:val="000000"/>
              </w:rPr>
            </w:pPr>
            <w:r>
              <w:rPr>
                <w:rFonts w:cs="Arial"/>
                <w:color w:val="000000"/>
              </w:rPr>
              <w:t>Predlog: V 12. členu predloga (novi četrti odstavek 316. člena) je besedilo skladno z direktivo, vendar bi ga bilo mogoče za večjo jasnost nekoliko preoblikovati. Predlagam naslednje jasnejše besedilo:</w:t>
            </w:r>
          </w:p>
          <w:p w14:paraId="1A6603C3" w14:textId="77777777" w:rsidR="000317F7" w:rsidRDefault="00F06B25">
            <w:pPr>
              <w:spacing w:before="240"/>
              <w:ind w:left="240"/>
              <w:rPr>
                <w:rFonts w:cs="Arial"/>
                <w:color w:val="000000"/>
              </w:rPr>
            </w:pPr>
            <w:r>
              <w:rPr>
                <w:rFonts w:cs="Arial"/>
                <w:i/>
                <w:color w:val="000000"/>
              </w:rPr>
              <w:t>»(4) Ne glede na pravila iz 4. točke prvega odstavka tega člena upravljavec MTF ne sme zavrniti uvrstitve delnic družbe v trgovanje izključno iz razloga, ker je družba sprejela delniško strukturo z delnicami z večkratno glasovalno pravico v skladu z ZGD-1.«</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6AB1718" w14:textId="77777777" w:rsidR="000317F7" w:rsidRDefault="00F06B25">
            <w:pPr>
              <w:spacing w:after="240"/>
              <w:rPr>
                <w:rFonts w:cs="Arial"/>
                <w:color w:val="000000"/>
              </w:rPr>
            </w:pPr>
            <w:r>
              <w:rPr>
                <w:rFonts w:cs="Arial"/>
                <w:b/>
                <w:color w:val="000000"/>
              </w:rPr>
              <w:t>Pripomba se ne sprejme.</w:t>
            </w:r>
          </w:p>
          <w:p w14:paraId="7CA1E9F4" w14:textId="77777777" w:rsidR="000317F7" w:rsidRDefault="00F06B25">
            <w:pPr>
              <w:spacing w:before="240"/>
              <w:rPr>
                <w:rFonts w:cs="Arial"/>
                <w:color w:val="000000"/>
              </w:rPr>
            </w:pPr>
            <w:r>
              <w:rPr>
                <w:rFonts w:cs="Arial"/>
                <w:color w:val="000000"/>
              </w:rPr>
              <w:t xml:space="preserve">Predlog je sistemsko in vsebinsko napačen. Zveza »ne glede na pravila iz 4. točke prvega odstavka tega člena« je sistemsko protislovna, saj so pravila iz 4. točke (pregledna in </w:t>
            </w:r>
            <w:proofErr w:type="spellStart"/>
            <w:r>
              <w:rPr>
                <w:rFonts w:cs="Arial"/>
                <w:color w:val="000000"/>
              </w:rPr>
              <w:t>nediskriminatorna</w:t>
            </w:r>
            <w:proofErr w:type="spellEnd"/>
            <w:r>
              <w:rPr>
                <w:rFonts w:cs="Arial"/>
                <w:color w:val="000000"/>
              </w:rPr>
              <w:t xml:space="preserve"> pravila o dostopu) prav mehanizem, prek katerega se uveljavi prepoved diskriminacijske zavrnitve, in ne izjema, od katere bi bilo treba odstopati.</w:t>
            </w:r>
          </w:p>
        </w:tc>
      </w:tr>
      <w:tr w:rsidR="000317F7" w14:paraId="5409009A"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09149CA" w14:textId="77777777" w:rsidR="000317F7" w:rsidRDefault="00F06B25">
            <w:pPr>
              <w:spacing w:after="240"/>
              <w:rPr>
                <w:rFonts w:cs="Arial"/>
                <w:color w:val="000000"/>
              </w:rPr>
            </w:pPr>
            <w:r>
              <w:rPr>
                <w:rFonts w:cs="Arial"/>
                <w:b/>
                <w:color w:val="000000"/>
              </w:rPr>
              <w:t>K 16. členu predloga (sprememba 347. člena ZTFI-1)</w:t>
            </w:r>
          </w:p>
          <w:p w14:paraId="30C8941D" w14:textId="77777777" w:rsidR="000317F7" w:rsidRDefault="00F06B25">
            <w:pPr>
              <w:spacing w:before="240" w:after="240"/>
              <w:rPr>
                <w:rFonts w:cs="Arial"/>
                <w:color w:val="000000"/>
              </w:rPr>
            </w:pPr>
            <w:r>
              <w:rPr>
                <w:rFonts w:cs="Arial"/>
                <w:color w:val="000000"/>
              </w:rPr>
              <w:t>Ugotovitev: Dodajanje nadzornih pooblastil agencije (nove 20., 21. in 22. točka) je nujno za izvajanje nadzora nad novimi pravili o raziskavah.</w:t>
            </w:r>
          </w:p>
          <w:p w14:paraId="19E6EC30" w14:textId="77777777" w:rsidR="000317F7" w:rsidRDefault="00F06B25">
            <w:pPr>
              <w:spacing w:before="240" w:after="240"/>
              <w:rPr>
                <w:rFonts w:cs="Arial"/>
                <w:color w:val="000000"/>
              </w:rPr>
            </w:pPr>
            <w:r>
              <w:rPr>
                <w:rFonts w:cs="Arial"/>
                <w:color w:val="000000"/>
              </w:rPr>
              <w:t xml:space="preserve">Predlog: Besedilo nove 20. točke je nekoliko okorno. Da bi se izognili dvoumnosti, predlagam </w:t>
            </w:r>
            <w:proofErr w:type="spellStart"/>
            <w:r>
              <w:rPr>
                <w:rFonts w:cs="Arial"/>
                <w:color w:val="000000"/>
              </w:rPr>
              <w:t>nomotehnično</w:t>
            </w:r>
            <w:proofErr w:type="spellEnd"/>
            <w:r>
              <w:rPr>
                <w:rFonts w:cs="Arial"/>
                <w:color w:val="000000"/>
              </w:rPr>
              <w:t xml:space="preserve"> izboljšavo:</w:t>
            </w:r>
          </w:p>
          <w:p w14:paraId="4AFFA423" w14:textId="77777777" w:rsidR="000317F7" w:rsidRDefault="00F06B25">
            <w:pPr>
              <w:spacing w:before="240"/>
              <w:ind w:left="240"/>
              <w:rPr>
                <w:rFonts w:cs="Arial"/>
                <w:color w:val="000000"/>
              </w:rPr>
            </w:pPr>
            <w:r>
              <w:rPr>
                <w:rFonts w:cs="Arial"/>
                <w:i/>
                <w:color w:val="000000"/>
              </w:rPr>
              <w:t>»20. od borznoposredniške družbe zahteva, da sprejme vse potrebne ukrepe, ki omogočajo preverjanje, ali ima vzpostavljeno organizacijsko ureditev, s katero zagotavlja, da so raziskave, ki jih plača izdajatelj in jih pripravi ali distribuira, v skladu s kodeksom ravnanja EU za raziskave, ki jih plača izdajatelj;«</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C489D1E" w14:textId="77777777" w:rsidR="000317F7" w:rsidRDefault="00F06B25">
            <w:pPr>
              <w:spacing w:after="240"/>
              <w:rPr>
                <w:rFonts w:cs="Arial"/>
                <w:color w:val="000000"/>
              </w:rPr>
            </w:pPr>
            <w:r>
              <w:rPr>
                <w:rFonts w:cs="Arial"/>
                <w:b/>
                <w:color w:val="000000"/>
              </w:rPr>
              <w:t>Predlog popravka se delno upošteva, je pa bilo besedilo vseh treh novih točk dopolnjeno.</w:t>
            </w:r>
          </w:p>
          <w:p w14:paraId="18C06FE7" w14:textId="77777777" w:rsidR="000317F7" w:rsidRDefault="00F06B25">
            <w:pPr>
              <w:spacing w:before="240" w:after="240"/>
              <w:rPr>
                <w:rFonts w:cs="Arial"/>
                <w:color w:val="000000"/>
              </w:rPr>
            </w:pPr>
            <w:r>
              <w:rPr>
                <w:rFonts w:cs="Arial"/>
                <w:color w:val="000000"/>
              </w:rPr>
              <w:t>Predlog popravka nove 20. točke se delno upošteva, ker trenutno besedilo nove 20. točke z zvezo »zahteva sprejetje vseh potrebnih ukrepov« vsebinsko ustrezno odraža nadzorno pooblastilo agencije iz točke (v) drugega odstavka 69. člena Direktive 2014/65/EU, kakor je bila spremenjena z Direktivo 2024/2811/EU, in se sistemsko prilega obstoječim devetnajstim točkam osmega odstavka 347. člena ZTFI-1.</w:t>
            </w:r>
          </w:p>
          <w:p w14:paraId="2991A8E4" w14:textId="77777777" w:rsidR="000317F7" w:rsidRDefault="00F06B25">
            <w:pPr>
              <w:spacing w:before="240"/>
              <w:rPr>
                <w:rFonts w:cs="Arial"/>
                <w:color w:val="000000"/>
              </w:rPr>
            </w:pPr>
            <w:r>
              <w:rPr>
                <w:rFonts w:cs="Arial"/>
                <w:color w:val="000000"/>
              </w:rPr>
              <w:t>Ne glede na navedeno se je besedilo vseh treh novih točk (20., 21. in 22.) dopolnilo tako, da poleg borznoposredniške družbe izrecno zajema tudi investicijsko podjetje države članice in investicijsko podjetje tretje države, s čimer se zagotavlja celovito pokritje vseh subjektov, na katere se nanaša prenos direktive.</w:t>
            </w:r>
          </w:p>
        </w:tc>
      </w:tr>
      <w:tr w:rsidR="000317F7" w14:paraId="7ECDF5E7"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7869029C" w14:textId="77777777" w:rsidR="000317F7" w:rsidRDefault="00F06B25">
            <w:pPr>
              <w:spacing w:after="240"/>
              <w:rPr>
                <w:rFonts w:cs="Arial"/>
                <w:color w:val="000000"/>
              </w:rPr>
            </w:pPr>
            <w:r>
              <w:rPr>
                <w:rFonts w:cs="Arial"/>
                <w:b/>
                <w:color w:val="000000"/>
              </w:rPr>
              <w:lastRenderedPageBreak/>
              <w:t>K 20. členu predloga (sprememba 426. člena ZTFI-1)</w:t>
            </w:r>
          </w:p>
          <w:p w14:paraId="6F9625BC" w14:textId="77777777" w:rsidR="000317F7" w:rsidRDefault="00F06B25">
            <w:pPr>
              <w:spacing w:before="240" w:after="240"/>
              <w:rPr>
                <w:rFonts w:cs="Arial"/>
                <w:color w:val="000000"/>
              </w:rPr>
            </w:pPr>
            <w:r>
              <w:rPr>
                <w:rFonts w:cs="Arial"/>
                <w:color w:val="000000"/>
              </w:rPr>
              <w:t xml:space="preserve">Ugotovitev: Predlagana nova 8. točka v 3. odstavku uvaja kot olajševalno okoliščino »škodo zaradi podvajanja kazenskih in upravnih postopkov«. To je v nasprotju s </w:t>
            </w:r>
            <w:proofErr w:type="spellStart"/>
            <w:r>
              <w:rPr>
                <w:rFonts w:cs="Arial"/>
                <w:color w:val="000000"/>
              </w:rPr>
              <w:t>harmoniziranim</w:t>
            </w:r>
            <w:proofErr w:type="spellEnd"/>
            <w:r>
              <w:rPr>
                <w:rFonts w:cs="Arial"/>
                <w:color w:val="000000"/>
              </w:rPr>
              <w:t xml:space="preserve"> seznamom okoliščin iz 31. člena Uredbe (EU) št. 596/2014 (MAR), ki ga države članice ne smejo samovoljno širiti. Uredba (EU) 2024/2809 je ta seznam dopolnila le z novim razlogom »potencialna sistemska ali ponavljajoča se narava kršitve«, ne pa z navedenim. Poleg tega ta določba lahko sistematično znižuje kazni in spodkopava odvračilni učinek sankcij. Varstvo pred dvojnim kaznovanjem (ne bis in </w:t>
            </w:r>
            <w:proofErr w:type="spellStart"/>
            <w:r>
              <w:rPr>
                <w:rFonts w:cs="Arial"/>
                <w:color w:val="000000"/>
              </w:rPr>
              <w:t>idem</w:t>
            </w:r>
            <w:proofErr w:type="spellEnd"/>
            <w:r>
              <w:rPr>
                <w:rFonts w:cs="Arial"/>
                <w:color w:val="000000"/>
              </w:rPr>
              <w:t>) se zagotavlja s procesnimi mehanizmi (npr. ustavitvijo postopka ali upoštevanjem že izrečene kazni), ne pa z blanketno olajševalno okoliščino.</w:t>
            </w:r>
          </w:p>
          <w:p w14:paraId="6E32A24B" w14:textId="77777777" w:rsidR="000317F7" w:rsidRDefault="00F06B25">
            <w:pPr>
              <w:spacing w:before="240"/>
              <w:rPr>
                <w:rFonts w:cs="Arial"/>
                <w:color w:val="000000"/>
              </w:rPr>
            </w:pPr>
            <w:r>
              <w:rPr>
                <w:rFonts w:cs="Arial"/>
                <w:color w:val="000000"/>
              </w:rPr>
              <w:t>Predlog (nujno): Predlagam črtanje tega člena oziroma vsaj črtanje nove 8. točke. Določba ni v skladu s hierarhično višjim pravom EU in bi lahko privedla do postopka proti Republiki Sloveniji.</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78900F9" w14:textId="77777777" w:rsidR="000317F7" w:rsidRDefault="00F06B25">
            <w:pPr>
              <w:spacing w:after="240"/>
              <w:rPr>
                <w:rFonts w:cs="Arial"/>
                <w:color w:val="000000"/>
              </w:rPr>
            </w:pPr>
            <w:r>
              <w:rPr>
                <w:rFonts w:cs="Arial"/>
                <w:b/>
                <w:color w:val="000000"/>
              </w:rPr>
              <w:t>Pripomba se ne sprejme.</w:t>
            </w:r>
          </w:p>
          <w:p w14:paraId="4DF70F52" w14:textId="77777777" w:rsidR="000317F7" w:rsidRDefault="00F06B25">
            <w:pPr>
              <w:spacing w:before="240" w:after="240"/>
              <w:rPr>
                <w:rFonts w:cs="Arial"/>
                <w:color w:val="000000"/>
              </w:rPr>
            </w:pPr>
            <w:r>
              <w:rPr>
                <w:rFonts w:cs="Arial"/>
                <w:color w:val="000000"/>
              </w:rPr>
              <w:t>Trditev fizične osebe 1, da je določba v nasprotju s pravom EU, je pravno napačna. Petnajsti odstavek 2. člena Uredbe 2024/2809/EU nadomesti prvi odstavek 31. člena Uredbe (EU) št. 596/2014 (MAR). Novi prvi odstavek 31. člena MAR med okoliščine, ki jih morajo pristojni organi upoštevati pri določanju vrste in ravni upravnih kazni, izrecno uvršča v točki (h) okoliščino: »škodo za osebo, odgovorno za kršitev, zaradi podvajanja kazenskih in upravnih postopkov ter kazni za isto ravnanje«.</w:t>
            </w:r>
          </w:p>
          <w:p w14:paraId="1A13A5D7" w14:textId="77777777" w:rsidR="000317F7" w:rsidRDefault="00F06B25">
            <w:pPr>
              <w:spacing w:before="240"/>
              <w:rPr>
                <w:rFonts w:cs="Arial"/>
                <w:color w:val="000000"/>
              </w:rPr>
            </w:pPr>
            <w:r>
              <w:rPr>
                <w:rFonts w:cs="Arial"/>
                <w:color w:val="000000"/>
              </w:rPr>
              <w:t>Predlagana nova 8. točka tretjega odstavka 426. člena ZTFI-1 zato dobesedno prenaša točko (h) prvega odstavka 31. člena MAR, kakor je bila spremenjena z Uredbo 2024/2809/EU. Določba prav tako ne pomeni avtomatičnega znižanja kazni, temveč le eno od okoliščin, ki jih agencija upošteva pri odmeri kazni v okviru zakonsko določenih razponov, kar zagotavlja sorazmernost sankcije.</w:t>
            </w:r>
          </w:p>
        </w:tc>
      </w:tr>
      <w:tr w:rsidR="000317F7" w14:paraId="2D14AAF8"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3E5FA617" w14:textId="77777777" w:rsidR="000317F7" w:rsidRDefault="00F06B25">
            <w:pPr>
              <w:spacing w:after="240"/>
              <w:rPr>
                <w:rFonts w:cs="Arial"/>
                <w:color w:val="000000"/>
              </w:rPr>
            </w:pPr>
            <w:r>
              <w:rPr>
                <w:rFonts w:cs="Arial"/>
                <w:b/>
                <w:color w:val="000000"/>
              </w:rPr>
              <w:t>K 23. členu predloga (sprememba 540. člena ZTFI-1)</w:t>
            </w:r>
          </w:p>
          <w:p w14:paraId="76738DE7" w14:textId="77777777" w:rsidR="000317F7" w:rsidRDefault="00F06B25">
            <w:pPr>
              <w:spacing w:before="240" w:after="240"/>
              <w:rPr>
                <w:rFonts w:cs="Arial"/>
                <w:color w:val="000000"/>
              </w:rPr>
            </w:pPr>
            <w:r>
              <w:rPr>
                <w:rFonts w:cs="Arial"/>
                <w:color w:val="000000"/>
              </w:rPr>
              <w:t>Ugotovitev: V tem členu je kritična napaka pri prenosu uredbe MAR. Predlog za kršitve iz 8., 9. in 10. točke (v zvezi s seznami oseb z notranjimi informacijami, transakcijami poslovodnih oseb in investicijskimi priporočili) določa maksimalno kazen za pravne osebe »1.000.000 eurov ali 0,8 % skupnega letnega prometa«. Po izrecni zahtevi 14. odstavka 2. člena Uredbe (EU) 2024/2809, ki spreminja 30. člen Uredbe MAR, pa mora biti ta kazen določena najmanj v višini 2.500.000 eurov ali 2 % celotnega letnega prometa. Predlagano besedilo je torej v očitnem nasprotju z neposredno uporabljivo uredbo EU in je zato nezakonito.</w:t>
            </w:r>
          </w:p>
          <w:p w14:paraId="4A17D70C" w14:textId="77777777" w:rsidR="000317F7" w:rsidRDefault="00F06B25">
            <w:pPr>
              <w:spacing w:before="240"/>
              <w:rPr>
                <w:rFonts w:cs="Arial"/>
                <w:color w:val="000000"/>
              </w:rPr>
            </w:pPr>
            <w:r>
              <w:rPr>
                <w:rFonts w:cs="Arial"/>
                <w:color w:val="000000"/>
              </w:rPr>
              <w:t xml:space="preserve">Predlog (nujno): Besedilo v 23. členu predloga je treba popraviti tako, da se znesek »1.000.000 eurov« nadomesti z »2.500.000 eurov« in odstotek »0,8 %« </w:t>
            </w:r>
            <w:r>
              <w:rPr>
                <w:rFonts w:cs="Arial"/>
                <w:color w:val="000000"/>
              </w:rPr>
              <w:lastRenderedPageBreak/>
              <w:t>z »2 %«, da se doseže minimalna zahtevana raven iz Uredbe MAR.</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FA1B237" w14:textId="77777777" w:rsidR="000317F7" w:rsidRDefault="00F06B25">
            <w:pPr>
              <w:spacing w:after="240"/>
              <w:rPr>
                <w:rFonts w:cs="Arial"/>
                <w:color w:val="000000"/>
              </w:rPr>
            </w:pPr>
            <w:r>
              <w:rPr>
                <w:rFonts w:cs="Arial"/>
                <w:b/>
                <w:color w:val="000000"/>
              </w:rPr>
              <w:lastRenderedPageBreak/>
              <w:t>Pripomba se ne sprejme.</w:t>
            </w:r>
          </w:p>
          <w:p w14:paraId="493EAD10" w14:textId="77777777" w:rsidR="000317F7" w:rsidRDefault="00F06B25">
            <w:pPr>
              <w:spacing w:before="240" w:after="240"/>
              <w:rPr>
                <w:rFonts w:cs="Arial"/>
                <w:color w:val="000000"/>
              </w:rPr>
            </w:pPr>
            <w:r>
              <w:rPr>
                <w:rFonts w:cs="Arial"/>
                <w:color w:val="000000"/>
              </w:rPr>
              <w:t>Pripomba temelji na napačni interpretaciji prava EU. 23. člen predloga zakona spreminja 3. točko drugega odstavka 540. člena ZTFI-1, ki se nanaša izključno na kršitve iz 8., 9. in 10. točke prvega odstavka 540. člena ZTFI-1, in sicer:</w:t>
            </w:r>
          </w:p>
          <w:p w14:paraId="04822ACA" w14:textId="77777777" w:rsidR="000317F7" w:rsidRDefault="00F06B25">
            <w:pPr>
              <w:spacing w:before="240" w:after="240"/>
              <w:rPr>
                <w:rFonts w:cs="Arial"/>
                <w:color w:val="000000"/>
              </w:rPr>
            </w:pPr>
            <w:r>
              <w:rPr>
                <w:rFonts w:cs="Arial"/>
                <w:color w:val="000000"/>
              </w:rPr>
              <w:t>– 8. točka: kršitve 18. člena MAR (seznami oseb z dostopom do notranjih informacij);</w:t>
            </w:r>
          </w:p>
          <w:p w14:paraId="10B0310C" w14:textId="77777777" w:rsidR="000317F7" w:rsidRDefault="00F06B25">
            <w:pPr>
              <w:spacing w:before="240" w:after="240"/>
              <w:rPr>
                <w:rFonts w:cs="Arial"/>
                <w:color w:val="000000"/>
              </w:rPr>
            </w:pPr>
            <w:r>
              <w:rPr>
                <w:rFonts w:cs="Arial"/>
                <w:color w:val="000000"/>
              </w:rPr>
              <w:t>– 9. točka: kršitve 19. člena MAR (transakcije poslovodnih oseb);</w:t>
            </w:r>
          </w:p>
          <w:p w14:paraId="52564C89" w14:textId="77777777" w:rsidR="000317F7" w:rsidRDefault="00F06B25">
            <w:pPr>
              <w:spacing w:before="240" w:after="240"/>
              <w:rPr>
                <w:rFonts w:cs="Arial"/>
                <w:color w:val="000000"/>
              </w:rPr>
            </w:pPr>
            <w:r>
              <w:rPr>
                <w:rFonts w:cs="Arial"/>
                <w:color w:val="000000"/>
              </w:rPr>
              <w:t>– 10. točka: kršitve 20. člena MAR (naložbena priporočila).</w:t>
            </w:r>
          </w:p>
          <w:p w14:paraId="53C2FFEE" w14:textId="77777777" w:rsidR="000317F7" w:rsidRDefault="00F06B25">
            <w:pPr>
              <w:spacing w:before="240" w:after="240"/>
              <w:rPr>
                <w:rFonts w:cs="Arial"/>
                <w:color w:val="000000"/>
              </w:rPr>
            </w:pPr>
            <w:r>
              <w:rPr>
                <w:rFonts w:cs="Arial"/>
                <w:color w:val="000000"/>
              </w:rPr>
              <w:t xml:space="preserve">Po 14. odstavku 2. člena Uredbe 2024/2809/EU, ki nadomesti točko (j) prvega pododstavka drugega odstavka 30. člena MAR, prag 2.500.000 evrov oziroma 2 % skupnega letnega prometa po točki (iii) velja izključno za kršitve 17. člena MAR, ne pa </w:t>
            </w:r>
            <w:r>
              <w:rPr>
                <w:rFonts w:cs="Arial"/>
                <w:color w:val="000000"/>
              </w:rPr>
              <w:lastRenderedPageBreak/>
              <w:t>za kršitve 18., 19. in 20. člena MAR. Za kršitve 18. in 19. člena MAR po točki (iv) ter za kršitve 20. člena MAR po točki (v) prag znaša 0,8 % skupnega letnega prometa oziroma najmanj 1.000.000 evrov.</w:t>
            </w:r>
          </w:p>
          <w:p w14:paraId="7AE13755" w14:textId="77777777" w:rsidR="000317F7" w:rsidRDefault="00F06B25">
            <w:pPr>
              <w:spacing w:before="240"/>
              <w:rPr>
                <w:rFonts w:cs="Arial"/>
                <w:color w:val="000000"/>
              </w:rPr>
            </w:pPr>
            <w:r>
              <w:rPr>
                <w:rFonts w:cs="Arial"/>
                <w:color w:val="000000"/>
              </w:rPr>
              <w:t>Predlagana sprememba 540. člena ZTFI-1 z dodanim pragom »0,8 % skupnega letnega prometa pravne osebe ... pri čemer se upošteva višji znesek« je torej pravilno usklajena s točkama (iv) in (v) novega 30. člena MAR.</w:t>
            </w:r>
          </w:p>
        </w:tc>
      </w:tr>
      <w:tr w:rsidR="000317F7" w14:paraId="26302B03"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CEFC5F0" w14:textId="77777777" w:rsidR="000317F7" w:rsidRDefault="00F06B25">
            <w:pPr>
              <w:spacing w:after="240"/>
              <w:rPr>
                <w:rFonts w:cs="Arial"/>
                <w:color w:val="000000"/>
              </w:rPr>
            </w:pPr>
            <w:r>
              <w:rPr>
                <w:rFonts w:cs="Arial"/>
                <w:b/>
                <w:color w:val="000000"/>
              </w:rPr>
              <w:lastRenderedPageBreak/>
              <w:t>K 26. in 27. členu predloga (prehodne in končne določbe)</w:t>
            </w:r>
          </w:p>
          <w:p w14:paraId="6589337E" w14:textId="77777777" w:rsidR="000317F7" w:rsidRDefault="00F06B25">
            <w:pPr>
              <w:spacing w:before="240" w:after="240"/>
              <w:rPr>
                <w:rFonts w:cs="Arial"/>
                <w:color w:val="000000"/>
              </w:rPr>
            </w:pPr>
            <w:r>
              <w:rPr>
                <w:rFonts w:cs="Arial"/>
                <w:color w:val="000000"/>
              </w:rPr>
              <w:t xml:space="preserve">Ugotovitev: 27. člen določa splošno </w:t>
            </w:r>
            <w:proofErr w:type="spellStart"/>
            <w:r>
              <w:rPr>
                <w:rFonts w:cs="Arial"/>
                <w:color w:val="000000"/>
              </w:rPr>
              <w:t>vacatio</w:t>
            </w:r>
            <w:proofErr w:type="spellEnd"/>
            <w:r>
              <w:rPr>
                <w:rFonts w:cs="Arial"/>
                <w:color w:val="000000"/>
              </w:rPr>
              <w:t xml:space="preserve"> </w:t>
            </w:r>
            <w:proofErr w:type="spellStart"/>
            <w:r>
              <w:rPr>
                <w:rFonts w:cs="Arial"/>
                <w:color w:val="000000"/>
              </w:rPr>
              <w:t>legis</w:t>
            </w:r>
            <w:proofErr w:type="spellEnd"/>
            <w:r>
              <w:rPr>
                <w:rFonts w:cs="Arial"/>
                <w:color w:val="000000"/>
              </w:rPr>
              <w:t xml:space="preserve"> (15 dni po objavi). Ker mora biti Direktiva 2024/2811/EU prenesena oziroma se njene določbe začnejo uporabljati najpozneje 6. junija 2026, obstaja veliko tveganje, da ZTFI-1E zaradi običajnega zakonodajnega postopka ne bo veljaven do tega datuma. To bi povzročilo zamudo s prenosom. Za Direktivo 2024/2810/EU je predlog v 26. členu pravilno določil kasnejši začetek uporabe (5. december 2026).</w:t>
            </w:r>
          </w:p>
          <w:p w14:paraId="5B896886" w14:textId="77777777" w:rsidR="000317F7" w:rsidRDefault="00F06B25">
            <w:pPr>
              <w:spacing w:before="240" w:after="240"/>
              <w:rPr>
                <w:rFonts w:cs="Arial"/>
                <w:color w:val="000000"/>
              </w:rPr>
            </w:pPr>
            <w:r>
              <w:rPr>
                <w:rFonts w:cs="Arial"/>
                <w:color w:val="000000"/>
              </w:rPr>
              <w:t>Predlog (nujno): Za preprečitev pravne praznine in kršitve prava EU je treba v prehodnih določbah izrecno urediti, da se določbe tega zakona, ki prenašajo Direktivo 2024/2811/EU (npr. spremembe v zvezi z investicijskimi raziskavami in razvojnimi trgi MSP), začnejo uporabljati 6. junija 2026, tudi če zakon začne veljati kasneje. Predlagam dopolnitev 27. člena ali nov samostojni člen:</w:t>
            </w:r>
          </w:p>
          <w:p w14:paraId="417BD145" w14:textId="77777777" w:rsidR="000317F7" w:rsidRDefault="00F06B25">
            <w:pPr>
              <w:spacing w:before="240"/>
              <w:ind w:left="240"/>
              <w:rPr>
                <w:rFonts w:cs="Arial"/>
                <w:color w:val="000000"/>
              </w:rPr>
            </w:pPr>
            <w:r>
              <w:rPr>
                <w:rFonts w:cs="Arial"/>
                <w:i/>
                <w:color w:val="000000"/>
              </w:rPr>
              <w:t>»Ne glede na prejšnji člen se 3., 10., 11., 14., 16. in 22. člen tega zakona [ter drugi členi, ki prenašajo izključno Direktivo 2024/2811] začnejo uporabljati 6. junija 2026.«</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6180FD2" w14:textId="77777777" w:rsidR="000317F7" w:rsidRDefault="00F06B25">
            <w:pPr>
              <w:spacing w:after="240"/>
              <w:rPr>
                <w:rFonts w:cs="Arial"/>
                <w:color w:val="000000"/>
              </w:rPr>
            </w:pPr>
            <w:r>
              <w:rPr>
                <w:rFonts w:cs="Arial"/>
                <w:b/>
                <w:color w:val="000000"/>
              </w:rPr>
              <w:t>Pripomba se ne sprejme.</w:t>
            </w:r>
          </w:p>
          <w:p w14:paraId="2423B745" w14:textId="77777777" w:rsidR="000317F7" w:rsidRDefault="00F06B25">
            <w:pPr>
              <w:spacing w:before="240" w:after="240"/>
              <w:rPr>
                <w:rFonts w:cs="Arial"/>
                <w:color w:val="000000"/>
              </w:rPr>
            </w:pPr>
            <w:r>
              <w:rPr>
                <w:rFonts w:cs="Arial"/>
                <w:color w:val="000000"/>
              </w:rPr>
              <w:t>Določba, po kateri bi se nekateri členi zakona »začeli uporabljati« 6. junija 2026 ne glede na trenutek uveljavitve zakona, ne odpravi morebitne pravne praznine, saj uporaba določbe, ki še ne velja, ni mogoča. Če bi zakon začel veljati šele po 6. juniju 2026, takšna prehodna določba pravne praznine ne bi odpravila.</w:t>
            </w:r>
          </w:p>
          <w:p w14:paraId="093A8C97" w14:textId="77777777" w:rsidR="000317F7" w:rsidRDefault="00F06B25">
            <w:pPr>
              <w:spacing w:before="240"/>
              <w:rPr>
                <w:rFonts w:cs="Arial"/>
                <w:color w:val="000000"/>
              </w:rPr>
            </w:pPr>
            <w:r>
              <w:rPr>
                <w:rFonts w:cs="Arial"/>
                <w:color w:val="000000"/>
              </w:rPr>
              <w:t>Predlagatelj pravočasno uveljavitev zakona zagotavlja z obravnavo predloga zakona po skrajšanem postopku iz 142. člena Poslovnika državnega zbora, kar je razvidno tudi iz V. poglavja predloga zakona.</w:t>
            </w:r>
          </w:p>
        </w:tc>
      </w:tr>
    </w:tbl>
    <w:p w14:paraId="20EEE7BC" w14:textId="77777777" w:rsidR="000317F7" w:rsidRDefault="000317F7"/>
    <w:p w14:paraId="083CE261" w14:textId="77777777" w:rsidR="000317F7" w:rsidRDefault="000317F7">
      <w:pPr>
        <w:spacing w:after="0" w:line="260" w:lineRule="auto"/>
        <w:rPr>
          <w:rFonts w:cs="Arial"/>
        </w:rPr>
      </w:pPr>
    </w:p>
    <w:p w14:paraId="22C556DE" w14:textId="77777777" w:rsidR="000317F7" w:rsidRDefault="00F06B25">
      <w:pPr>
        <w:spacing w:after="0" w:line="260" w:lineRule="auto"/>
      </w:pPr>
      <w:r>
        <w:t>Poročilo o sodelovanju z javnostjo:</w:t>
      </w:r>
    </w:p>
    <w:p w14:paraId="07A23BE6" w14:textId="77777777" w:rsidR="000317F7" w:rsidRDefault="00F06B25">
      <w:pPr>
        <w:spacing w:after="0" w:line="240" w:lineRule="auto"/>
      </w:pPr>
      <w:r>
        <w:t>Bistvena ugotovitev oziroma rezultat sodelovanja z javnostjo je, da je javna obravnava prispevala k dvema izboljšavama predloga, in sicer k celoviti uskladitvi pogojev za uvrstitev delnic v uradno borzno kotacijo (401. člen ZTFI‑1) in k dopolnitvi obsega novih nadzornih pooblastil ATVP (347. člen ZTFI‑1), medtem ko drugih predlogov ni bilo mogoče upoštevati. Pretežni del neupoštevanih predlogov namreč presega okvir tega predloga zakona, ki prenaša zgolj zahteve prava EU.</w:t>
      </w:r>
    </w:p>
    <w:p w14:paraId="75E09156" w14:textId="77777777" w:rsidR="000317F7" w:rsidRDefault="000317F7">
      <w:pPr>
        <w:spacing w:after="0" w:line="260" w:lineRule="auto"/>
        <w:rPr>
          <w:rFonts w:cs="Arial"/>
        </w:rPr>
      </w:pPr>
    </w:p>
    <w:p w14:paraId="43348594" w14:textId="77777777" w:rsidR="000317F7" w:rsidRDefault="00F06B25">
      <w:pPr>
        <w:pStyle w:val="Odebeljeno"/>
        <w:spacing w:line="260" w:lineRule="auto"/>
      </w:pPr>
      <w:r>
        <w:t>8.</w:t>
      </w:r>
      <w:r>
        <w:tab/>
        <w:t>Zunanji strokovnjak oziroma pravna oseba, ki je sodelovala pri pripravi predloga zakona</w:t>
      </w:r>
    </w:p>
    <w:p w14:paraId="50F569FD" w14:textId="77777777" w:rsidR="000317F7" w:rsidRDefault="000317F7">
      <w:pPr>
        <w:spacing w:after="0" w:line="260" w:lineRule="auto"/>
        <w:rPr>
          <w:rFonts w:cs="Arial"/>
        </w:rPr>
      </w:pPr>
    </w:p>
    <w:p w14:paraId="71EFE5F9" w14:textId="77777777" w:rsidR="000317F7" w:rsidRDefault="00F06B25">
      <w:pPr>
        <w:spacing w:after="0" w:line="240" w:lineRule="auto"/>
      </w:pPr>
      <w:r>
        <w:t>Pri pripravi predpisa ni sodeloval zunanji strokovnjak oziroma pravna oseba.</w:t>
      </w:r>
    </w:p>
    <w:p w14:paraId="1B568436" w14:textId="77777777" w:rsidR="000317F7" w:rsidRDefault="000317F7">
      <w:pPr>
        <w:spacing w:after="0" w:line="260" w:lineRule="auto"/>
        <w:rPr>
          <w:rFonts w:cs="Arial"/>
        </w:rPr>
      </w:pPr>
    </w:p>
    <w:p w14:paraId="611ABDBE" w14:textId="77777777" w:rsidR="000317F7" w:rsidRDefault="00F06B25">
      <w:pPr>
        <w:pStyle w:val="Odebeljeno"/>
        <w:spacing w:line="260" w:lineRule="auto"/>
      </w:pPr>
      <w:r>
        <w:t>9.</w:t>
      </w:r>
      <w:r>
        <w:tab/>
        <w:t>Navedba, kateri predstavniki predlagatelja bodo sodelovali pri delu državnega zbora in delovnih teles</w:t>
      </w:r>
    </w:p>
    <w:p w14:paraId="59EE0FB8" w14:textId="77777777" w:rsidR="000317F7" w:rsidRDefault="000317F7">
      <w:pPr>
        <w:spacing w:after="0" w:line="260" w:lineRule="auto"/>
        <w:rPr>
          <w:rFonts w:cs="Arial"/>
        </w:rPr>
      </w:pPr>
    </w:p>
    <w:p w14:paraId="1CDDDCB0" w14:textId="77777777" w:rsidR="000317F7" w:rsidRDefault="00F06B25">
      <w:pPr>
        <w:spacing w:after="0" w:line="240" w:lineRule="auto"/>
      </w:pPr>
      <w:r>
        <w:t>– mag. Andrej Šircelj, minister,</w:t>
      </w:r>
    </w:p>
    <w:p w14:paraId="0668136C" w14:textId="77777777" w:rsidR="000317F7" w:rsidRDefault="00F06B25">
      <w:pPr>
        <w:spacing w:after="0" w:line="240" w:lineRule="auto"/>
      </w:pPr>
      <w:r>
        <w:t>– Peter Papež, državni sekretar,</w:t>
      </w:r>
    </w:p>
    <w:p w14:paraId="61BDD4A6" w14:textId="77777777" w:rsidR="000317F7" w:rsidRDefault="00F06B25">
      <w:pPr>
        <w:spacing w:after="0" w:line="240" w:lineRule="auto"/>
      </w:pPr>
      <w:r>
        <w:t>– mag. Maja Hostnik Kališek, državna sekretarka,</w:t>
      </w:r>
    </w:p>
    <w:p w14:paraId="4A93C9E8" w14:textId="77777777" w:rsidR="000317F7" w:rsidRDefault="00F06B25">
      <w:pPr>
        <w:spacing w:after="0" w:line="240" w:lineRule="auto"/>
      </w:pPr>
      <w:r>
        <w:t>– mag. Kristina Šteblaj, državna sekretarka,</w:t>
      </w:r>
    </w:p>
    <w:p w14:paraId="22B5AED0" w14:textId="77777777" w:rsidR="000317F7" w:rsidRDefault="00F06B25">
      <w:pPr>
        <w:spacing w:after="0" w:line="240" w:lineRule="auto"/>
      </w:pPr>
      <w:r>
        <w:t>– Urška Cvelbar, generalna direktorica Direktorata za finančni sistem,</w:t>
      </w:r>
    </w:p>
    <w:p w14:paraId="2F0019C3" w14:textId="77777777" w:rsidR="000317F7" w:rsidRDefault="00F06B25">
      <w:pPr>
        <w:spacing w:after="0" w:line="240" w:lineRule="auto"/>
        <w:jc w:val="left"/>
      </w:pPr>
      <w:r>
        <w:t>– Natalija Stošicki, vodja sektorja, Sektor za zavarovalništvo in trg kapitala, Direktorat za finančni sistem,</w:t>
      </w:r>
      <w:r>
        <w:br/>
        <w:t>– Leon Brčina, sekretar, Sektor za zavarovalništvo in trg kapitala, Direktorat za finančni sistem.</w:t>
      </w:r>
    </w:p>
    <w:p w14:paraId="31E90A29" w14:textId="77777777" w:rsidR="000317F7" w:rsidRDefault="00F06B25">
      <w:r>
        <w:br w:type="page"/>
      </w:r>
    </w:p>
    <w:p w14:paraId="543782D6" w14:textId="77777777" w:rsidR="000317F7" w:rsidRDefault="00F06B25">
      <w:pPr>
        <w:pStyle w:val="Odebeljeno"/>
        <w:spacing w:line="260" w:lineRule="auto"/>
      </w:pPr>
      <w:r>
        <w:lastRenderedPageBreak/>
        <w:t>II.</w:t>
      </w:r>
      <w:r>
        <w:tab/>
        <w:t>BESEDILO ČLENOV</w:t>
      </w:r>
    </w:p>
    <w:p w14:paraId="70A33191" w14:textId="77777777" w:rsidR="000317F7" w:rsidRDefault="000317F7">
      <w:pPr>
        <w:spacing w:after="0" w:line="260" w:lineRule="auto"/>
        <w:rPr>
          <w:rFonts w:cs="Arial"/>
        </w:rPr>
      </w:pPr>
    </w:p>
    <w:p w14:paraId="3FB1821C" w14:textId="77777777" w:rsidR="000317F7" w:rsidRDefault="00F06B25">
      <w:pPr>
        <w:pStyle w:val="Naslov1"/>
        <w:spacing w:line="260" w:lineRule="auto"/>
      </w:pPr>
      <w:r>
        <w:t>Zakon o spremembah in dopolnitvah Zakona o trgu finančnih instrumentov</w:t>
      </w:r>
    </w:p>
    <w:p w14:paraId="17D93E85" w14:textId="77777777" w:rsidR="000317F7" w:rsidRDefault="00F06B25">
      <w:pPr>
        <w:pStyle w:val="len"/>
        <w:spacing w:line="260" w:lineRule="auto"/>
      </w:pPr>
      <w:r>
        <w:t>1. člen</w:t>
      </w:r>
    </w:p>
    <w:p w14:paraId="04403FB3" w14:textId="77777777" w:rsidR="000317F7" w:rsidRDefault="000317F7">
      <w:pPr>
        <w:spacing w:after="0" w:line="260" w:lineRule="auto"/>
        <w:rPr>
          <w:rFonts w:cs="Arial"/>
        </w:rPr>
      </w:pPr>
    </w:p>
    <w:p w14:paraId="2FD85F2A" w14:textId="77777777" w:rsidR="000317F7" w:rsidRDefault="00F06B25">
      <w:pPr>
        <w:spacing w:after="0" w:line="260" w:lineRule="auto"/>
      </w:pPr>
      <w:r>
        <w:tab/>
        <w:t xml:space="preserve">V Zakonu o trgu finančnih instrumentov (Uradni list RS, št. 77/18, 17/19 – </w:t>
      </w:r>
      <w:proofErr w:type="spellStart"/>
      <w:r>
        <w:t>popr</w:t>
      </w:r>
      <w:proofErr w:type="spellEnd"/>
      <w:r>
        <w:t>., 66/19, 123/21, 45/24 in 77/25) se v 2. členu v prvem odstavku 4. točka črta.</w:t>
      </w:r>
    </w:p>
    <w:p w14:paraId="1AC79D62" w14:textId="77777777" w:rsidR="000317F7" w:rsidRDefault="000317F7">
      <w:pPr>
        <w:spacing w:after="0" w:line="260" w:lineRule="auto"/>
        <w:rPr>
          <w:rFonts w:cs="Arial"/>
        </w:rPr>
      </w:pPr>
    </w:p>
    <w:p w14:paraId="76ED8B3F" w14:textId="77777777" w:rsidR="000317F7" w:rsidRDefault="00F06B25">
      <w:pPr>
        <w:spacing w:after="0" w:line="240" w:lineRule="auto"/>
        <w:jc w:val="left"/>
      </w:pPr>
      <w:r>
        <w:tab/>
        <w:t>V 8. točki se besedilo »Direktivo (EU) 2024/790 Evropskega parlamenta in Sveta z dne 28. februarja 2024 o spremembi Direktive 2014/65/EU o trgih finančnih instrumentov (UL L št. 790 z dne 8. 3. 2024, str. 1)« nadomesti z besedilom »Direktivo (EU) 2024/2811 Evropskega parlamenta in Sveta z dne 23. oktobra 2024 o spremembi Direktive 2014/65/EU za povečanje privlačnosti javnih kapitalskih trgov v Uniji za podjetja in olajšanje dostopa do kapitala za mala in srednja podjetja ter razveljavitvi Direktive 2001/34/ES (UL L št. 2024/2811 z dne 14. 11. 2024)«.</w:t>
      </w:r>
    </w:p>
    <w:p w14:paraId="1203D724" w14:textId="77777777" w:rsidR="000317F7" w:rsidRDefault="000317F7">
      <w:pPr>
        <w:spacing w:after="0" w:line="260" w:lineRule="auto"/>
      </w:pPr>
    </w:p>
    <w:p w14:paraId="38613F3E" w14:textId="77777777" w:rsidR="000317F7" w:rsidRDefault="000317F7">
      <w:pPr>
        <w:spacing w:after="0" w:line="260" w:lineRule="auto"/>
        <w:rPr>
          <w:rFonts w:cs="Arial"/>
        </w:rPr>
      </w:pPr>
    </w:p>
    <w:p w14:paraId="05C40C16" w14:textId="77777777" w:rsidR="000317F7" w:rsidRDefault="00F06B25">
      <w:pPr>
        <w:spacing w:after="0" w:line="260" w:lineRule="auto"/>
      </w:pPr>
      <w:r>
        <w:tab/>
        <w:t>Na koncu 19. točke se pika nadomesti s podpičjem in doda nova, 20. točka, ki se glasi:</w:t>
      </w:r>
      <w:r>
        <w:br/>
      </w:r>
    </w:p>
    <w:p w14:paraId="4D10644F" w14:textId="77777777" w:rsidR="000317F7" w:rsidRDefault="000317F7">
      <w:pPr>
        <w:spacing w:after="0" w:line="260" w:lineRule="auto"/>
        <w:rPr>
          <w:rFonts w:cs="Arial"/>
        </w:rPr>
      </w:pPr>
    </w:p>
    <w:p w14:paraId="08E50D02" w14:textId="77777777" w:rsidR="000317F7" w:rsidRDefault="00F06B25">
      <w:pPr>
        <w:spacing w:after="0" w:line="240" w:lineRule="auto"/>
        <w:jc w:val="left"/>
      </w:pPr>
      <w:r>
        <w:tab/>
        <w:t>»20. Direktiva (EU) 2024/2810 Evropskega parlamenta in Sveta z dne 23. oktobra 2024 o delniških strukturah z delnicami z večkratno glasovalno pravico v družbah, ki želijo uvrstiti svoje delnice v večstranski sistem trgovanja (UL L št. 2024/2810 z dne 14. 11. 2024; v nadaljnjem besedilu: Direktiva 2024/2810/EU).«.</w:t>
      </w:r>
    </w:p>
    <w:p w14:paraId="5630C531" w14:textId="77777777" w:rsidR="000317F7" w:rsidRDefault="000317F7">
      <w:pPr>
        <w:pStyle w:val="tevilnatoka"/>
        <w:spacing w:after="0" w:line="260" w:lineRule="auto"/>
      </w:pPr>
    </w:p>
    <w:p w14:paraId="2809BCDF" w14:textId="77777777" w:rsidR="000317F7" w:rsidRDefault="000317F7">
      <w:pPr>
        <w:spacing w:after="0" w:line="260" w:lineRule="auto"/>
        <w:rPr>
          <w:rFonts w:cs="Arial"/>
        </w:rPr>
      </w:pPr>
    </w:p>
    <w:p w14:paraId="189F8936" w14:textId="77777777" w:rsidR="000317F7" w:rsidRDefault="00F06B25">
      <w:pPr>
        <w:spacing w:after="0" w:line="240" w:lineRule="auto"/>
        <w:jc w:val="left"/>
      </w:pPr>
      <w:r>
        <w:tab/>
        <w:t>V drugem odstavku v 3. točki se besedilo »Uredbo (EU) 2023/2869 Evropskega parlamenta in Sveta z dne 13. decembra 2023 o spremembi nekaterih uredb glede vzpostavitve in delovanja evropske enotne točke dostopa (UL L št 2023/2869 z dne 20. 12. 2023)« nadomesti z besedilom »Uredbo (EU) 2024/2809 Evropskega parlamenta in Sveta z dne 23. oktobra 2024 o spremembi uredb (EU) 2017/1129, (EU) št. 596/2014 in (EU) št. 600/2014 za povečanje privlačnosti javnih kapitalskih trgov v Uniji za podjetja in za olajšanje dostopa do kapitala za mala in srednja podjetja (UL L št. 2024/2809 z dne 14. 11. 2024)«.</w:t>
      </w:r>
    </w:p>
    <w:p w14:paraId="3B5F9A0F" w14:textId="77777777" w:rsidR="000317F7" w:rsidRDefault="000317F7">
      <w:pPr>
        <w:spacing w:after="0" w:line="260" w:lineRule="auto"/>
      </w:pPr>
    </w:p>
    <w:p w14:paraId="5DA60930" w14:textId="77777777" w:rsidR="000317F7" w:rsidRDefault="000317F7">
      <w:pPr>
        <w:spacing w:after="0" w:line="260" w:lineRule="auto"/>
        <w:rPr>
          <w:rFonts w:cs="Arial"/>
        </w:rPr>
      </w:pPr>
    </w:p>
    <w:p w14:paraId="45BB6B2D" w14:textId="77777777" w:rsidR="000317F7" w:rsidRDefault="00F06B25">
      <w:pPr>
        <w:spacing w:after="0" w:line="240" w:lineRule="auto"/>
        <w:jc w:val="left"/>
      </w:pPr>
      <w:r>
        <w:tab/>
        <w:t>V 6. točki se besedilo »Delegirano uredbo Komisije (EU) 2018/1646 z dne 13. julija 2018 o dopolnitvi Uredbe (EU) 2016/1011 Evropskega parlamenta in Sveta v zvezi z regulativnimi tehničnimi standardi za informacije, ki se navedejo v vlogi za dovoljenje in v vlogi za registracijo (UL L št. 274 z dne 5. 11. 2018, str. 4)« nadomesti z besedilom »Uredbo (EU) 2025/914 Evropskega parlamenta in Sveta z dne 7. maja 2025 o spremembi Uredbe (EU) 2016/1011 v zvezi s področjem uporabe pravil za referenčne vrednosti, uporabo referenčnih vrednosti, ki jih zagotavlja upravljavec s sedežem v tretji državi, v Uniji in nekaterimi zahtevami glede poročanja (UL L št. 2025/914 z dne 19. 5. 2025)«.</w:t>
      </w:r>
    </w:p>
    <w:p w14:paraId="420B7709" w14:textId="77777777" w:rsidR="000317F7" w:rsidRDefault="000317F7">
      <w:pPr>
        <w:spacing w:after="0" w:line="260" w:lineRule="auto"/>
      </w:pPr>
    </w:p>
    <w:p w14:paraId="4CE27E5E" w14:textId="77777777" w:rsidR="000317F7" w:rsidRDefault="000317F7">
      <w:pPr>
        <w:spacing w:after="0" w:line="260" w:lineRule="auto"/>
        <w:rPr>
          <w:rFonts w:cs="Arial"/>
        </w:rPr>
      </w:pPr>
    </w:p>
    <w:p w14:paraId="2816BDC8" w14:textId="77777777" w:rsidR="000317F7" w:rsidRDefault="00F06B25">
      <w:pPr>
        <w:spacing w:after="0" w:line="240" w:lineRule="auto"/>
        <w:jc w:val="left"/>
      </w:pPr>
      <w:r>
        <w:tab/>
        <w:t>V 7. točki se besedilo »(UL L št. 168 z dne 30. 6. 2017, str. 12; v nadaljnjem besedilu: Uredba 2017/1129/EU)« nadomesti z besedilom »(UL L št. 168 z dne 30. 6. 2017, str. 12), zadnjič spremenjena z Uredbo (EU) 2024/2809 Evropskega parlamenta in Sveta z dne 23. oktobra 2024 o spremembi uredb (EU) 2017/1129, (EU) št. 596/2014 in (EU) št. 600/2014 za povečanje privlačnosti javnih kapitalskih trgov v Uniji za podjetja in za olajšanje dostopa do kapitala za mala in srednja podjetja (UL L št. 2024/2809 z dne 14. 11. 2024) (v nadaljnjem besedilu: Uredba 2017/1129/EU)«.</w:t>
      </w:r>
    </w:p>
    <w:p w14:paraId="0B7B6F23" w14:textId="77777777" w:rsidR="000317F7" w:rsidRDefault="000317F7">
      <w:pPr>
        <w:spacing w:after="0" w:line="260" w:lineRule="auto"/>
      </w:pPr>
    </w:p>
    <w:p w14:paraId="19633E26" w14:textId="77777777" w:rsidR="000317F7" w:rsidRDefault="000317F7">
      <w:pPr>
        <w:spacing w:after="0" w:line="260" w:lineRule="auto"/>
        <w:rPr>
          <w:rFonts w:cs="Arial"/>
        </w:rPr>
      </w:pPr>
    </w:p>
    <w:p w14:paraId="0F5406A2" w14:textId="77777777" w:rsidR="000317F7" w:rsidRDefault="00F06B25">
      <w:pPr>
        <w:pStyle w:val="len"/>
        <w:spacing w:line="260" w:lineRule="auto"/>
      </w:pPr>
      <w:r>
        <w:lastRenderedPageBreak/>
        <w:t>2. člen</w:t>
      </w:r>
    </w:p>
    <w:p w14:paraId="258F2BA0" w14:textId="77777777" w:rsidR="000317F7" w:rsidRDefault="000317F7">
      <w:pPr>
        <w:spacing w:after="0" w:line="260" w:lineRule="auto"/>
        <w:rPr>
          <w:rFonts w:cs="Arial"/>
        </w:rPr>
      </w:pPr>
    </w:p>
    <w:p w14:paraId="00896A80" w14:textId="77777777" w:rsidR="000317F7" w:rsidRDefault="00F06B25">
      <w:pPr>
        <w:spacing w:after="0" w:line="260" w:lineRule="auto"/>
      </w:pPr>
      <w:r>
        <w:tab/>
        <w:t>V 4. členu se v prvem odstavku na koncu 15. točke pika nadomesti z vejico in doda nova, 16. točka, ki se glasi:</w:t>
      </w:r>
    </w:p>
    <w:p w14:paraId="32C76E04" w14:textId="77777777" w:rsidR="000317F7" w:rsidRDefault="000317F7">
      <w:pPr>
        <w:spacing w:after="0" w:line="260" w:lineRule="auto"/>
        <w:rPr>
          <w:rFonts w:cs="Arial"/>
        </w:rPr>
      </w:pPr>
    </w:p>
    <w:p w14:paraId="27D46E2A" w14:textId="77777777" w:rsidR="000317F7" w:rsidRDefault="00F06B25">
      <w:pPr>
        <w:pStyle w:val="tevilnatoka"/>
        <w:spacing w:after="0" w:line="260" w:lineRule="auto"/>
      </w:pPr>
      <w:r>
        <w:tab/>
        <w:t xml:space="preserve">»16. </w:t>
      </w:r>
      <w:proofErr w:type="spellStart"/>
      <w:r>
        <w:t>ZPlaSSIED</w:t>
      </w:r>
      <w:proofErr w:type="spellEnd"/>
      <w:r>
        <w:t xml:space="preserve"> je zakon, ki ureja plačilne storitve, storitve izdajanja elektronskega denarja in plačilne sisteme.«.</w:t>
      </w:r>
    </w:p>
    <w:p w14:paraId="1B931704" w14:textId="77777777" w:rsidR="000317F7" w:rsidRDefault="00F06B25">
      <w:pPr>
        <w:pStyle w:val="len"/>
        <w:spacing w:line="260" w:lineRule="auto"/>
      </w:pPr>
      <w:r>
        <w:t>3. člen</w:t>
      </w:r>
    </w:p>
    <w:p w14:paraId="74E6B6CD" w14:textId="77777777" w:rsidR="000317F7" w:rsidRDefault="000317F7">
      <w:pPr>
        <w:spacing w:after="0" w:line="260" w:lineRule="auto"/>
        <w:rPr>
          <w:rFonts w:cs="Arial"/>
        </w:rPr>
      </w:pPr>
    </w:p>
    <w:p w14:paraId="51FFBD76" w14:textId="77777777" w:rsidR="000317F7" w:rsidRDefault="00F06B25">
      <w:pPr>
        <w:spacing w:after="0" w:line="260" w:lineRule="auto"/>
      </w:pPr>
      <w:r>
        <w:tab/>
        <w:t>V 31. členu se v prvem odstavku za besedo »MTF« doda besedilo »ali segment MTF«.</w:t>
      </w:r>
    </w:p>
    <w:p w14:paraId="5B143826" w14:textId="77777777" w:rsidR="000317F7" w:rsidRDefault="000317F7">
      <w:pPr>
        <w:spacing w:after="0" w:line="260" w:lineRule="auto"/>
        <w:rPr>
          <w:rFonts w:cs="Arial"/>
        </w:rPr>
      </w:pPr>
    </w:p>
    <w:p w14:paraId="31BAF34E" w14:textId="77777777" w:rsidR="000317F7" w:rsidRDefault="00F06B25">
      <w:pPr>
        <w:pStyle w:val="len"/>
        <w:spacing w:line="260" w:lineRule="auto"/>
      </w:pPr>
      <w:r>
        <w:t>4. člen</w:t>
      </w:r>
    </w:p>
    <w:p w14:paraId="6C14C795" w14:textId="77777777" w:rsidR="000317F7" w:rsidRDefault="000317F7">
      <w:pPr>
        <w:spacing w:after="0" w:line="260" w:lineRule="auto"/>
        <w:rPr>
          <w:rFonts w:cs="Arial"/>
        </w:rPr>
      </w:pPr>
    </w:p>
    <w:p w14:paraId="74398D92" w14:textId="77777777" w:rsidR="000317F7" w:rsidRDefault="00F06B25">
      <w:pPr>
        <w:spacing w:after="0" w:line="260" w:lineRule="auto"/>
      </w:pPr>
      <w:r>
        <w:tab/>
        <w:t>V 38. členu se drugi odstavek spremeni tako, da se glasi:</w:t>
      </w:r>
    </w:p>
    <w:p w14:paraId="5EF91059" w14:textId="77777777" w:rsidR="000317F7" w:rsidRDefault="000317F7">
      <w:pPr>
        <w:spacing w:after="0" w:line="260" w:lineRule="auto"/>
        <w:rPr>
          <w:rFonts w:cs="Arial"/>
        </w:rPr>
      </w:pPr>
    </w:p>
    <w:p w14:paraId="13F51F58" w14:textId="77777777" w:rsidR="000317F7" w:rsidRDefault="000317F7">
      <w:pPr>
        <w:spacing w:after="0" w:line="260" w:lineRule="auto"/>
        <w:rPr>
          <w:rFonts w:cs="Arial"/>
        </w:rPr>
      </w:pPr>
    </w:p>
    <w:p w14:paraId="3DC033DB" w14:textId="77777777" w:rsidR="000317F7" w:rsidRDefault="00F06B25">
      <w:pPr>
        <w:spacing w:after="0" w:line="260" w:lineRule="auto"/>
      </w:pPr>
      <w:r>
        <w:tab/>
        <w:t>»(2) Člani poravnalnega sistema so lahko:</w:t>
      </w:r>
    </w:p>
    <w:p w14:paraId="11923DF1" w14:textId="77777777" w:rsidR="000317F7" w:rsidRDefault="00F06B25">
      <w:pPr>
        <w:pStyle w:val="tevilnatoka"/>
        <w:spacing w:after="0" w:line="260" w:lineRule="auto"/>
      </w:pPr>
      <w:r>
        <w:tab/>
        <w:t>1. kreditna institucija,</w:t>
      </w:r>
    </w:p>
    <w:p w14:paraId="325EF0D0" w14:textId="77777777" w:rsidR="000317F7" w:rsidRDefault="00F06B25">
      <w:pPr>
        <w:pStyle w:val="tevilnatoka"/>
        <w:spacing w:after="0" w:line="260" w:lineRule="auto"/>
      </w:pPr>
      <w:r>
        <w:tab/>
        <w:t>2. investicijsko podjetje,</w:t>
      </w:r>
    </w:p>
    <w:p w14:paraId="7F49201E" w14:textId="77777777" w:rsidR="000317F7" w:rsidRDefault="00F06B25">
      <w:pPr>
        <w:pStyle w:val="tevilnatoka"/>
        <w:spacing w:after="0" w:line="260" w:lineRule="auto"/>
      </w:pPr>
      <w:r>
        <w:tab/>
        <w:t>3. državni organ, organ samoupravne lokalne skupnosti, podjetje s poroštvom države ali samoupravne lokalne skupnosti,</w:t>
      </w:r>
    </w:p>
    <w:p w14:paraId="336226D2" w14:textId="77777777" w:rsidR="000317F7" w:rsidRDefault="00F06B25">
      <w:pPr>
        <w:pStyle w:val="tevilnatoka"/>
        <w:spacing w:after="0" w:line="260" w:lineRule="auto"/>
      </w:pPr>
      <w:r>
        <w:tab/>
        <w:t>4. kreditna institucija ter investicijsko podjetje tretje države, ki sta na podlagi pogodbe z upravljavcem poravnalnega sistema temu upravičena dajati naročila glede vnosa nalogov v poravnalni sistem in sta odgovorna za izpolnjevanje finančnih obveznosti, ki izhajajo iz vnesenih nalogov v poravnalni sistem,</w:t>
      </w:r>
    </w:p>
    <w:p w14:paraId="57780CF2" w14:textId="77777777" w:rsidR="000317F7" w:rsidRDefault="00F06B25">
      <w:pPr>
        <w:pStyle w:val="tevilnatoka"/>
        <w:spacing w:after="0" w:line="260" w:lineRule="auto"/>
      </w:pPr>
      <w:r>
        <w:tab/>
        <w:t xml:space="preserve">5. plačilna institucija v skladu z </w:t>
      </w:r>
      <w:proofErr w:type="spellStart"/>
      <w:r>
        <w:t>ZPlaSSIED</w:t>
      </w:r>
      <w:proofErr w:type="spellEnd"/>
      <w:r>
        <w:t>,</w:t>
      </w:r>
    </w:p>
    <w:p w14:paraId="339584C5" w14:textId="77777777" w:rsidR="000317F7" w:rsidRDefault="00F06B25">
      <w:pPr>
        <w:pStyle w:val="tevilnatoka"/>
        <w:spacing w:after="0" w:line="260" w:lineRule="auto"/>
      </w:pPr>
      <w:r>
        <w:tab/>
        <w:t xml:space="preserve">6. izdajatelj elektronskega denarja v skladu z </w:t>
      </w:r>
      <w:proofErr w:type="spellStart"/>
      <w:r>
        <w:t>ZPlaSSIED</w:t>
      </w:r>
      <w:proofErr w:type="spellEnd"/>
      <w:r>
        <w:t>, ki v okviru svojega poslovanja opravlja naloge ter je na podlagi pogodbe z upravljavcem poravnalnega sistema temu upravičena dajati naročila glede vnosa nalogov v poravnalni sistem in je odgovoren za izpolnjevanje finančnih obveznosti, ki izhajajo iz vnesenih nalogov v poravnalni sistem.«.</w:t>
      </w:r>
    </w:p>
    <w:p w14:paraId="0A133FC7" w14:textId="77777777" w:rsidR="000317F7" w:rsidRDefault="000317F7">
      <w:pPr>
        <w:spacing w:after="0" w:line="260" w:lineRule="auto"/>
        <w:rPr>
          <w:rFonts w:cs="Arial"/>
        </w:rPr>
      </w:pPr>
    </w:p>
    <w:p w14:paraId="1F827057" w14:textId="77777777" w:rsidR="000317F7" w:rsidRDefault="00F06B25">
      <w:pPr>
        <w:spacing w:after="0" w:line="260" w:lineRule="auto"/>
      </w:pPr>
      <w:r>
        <w:tab/>
        <w:t>Za drugim odstavkom se dodajo novi, tretji, četrti in peti odstavek, ki se glasijo:</w:t>
      </w:r>
    </w:p>
    <w:p w14:paraId="6A1C722D" w14:textId="77777777" w:rsidR="000317F7" w:rsidRDefault="000317F7">
      <w:pPr>
        <w:spacing w:after="0" w:line="260" w:lineRule="auto"/>
        <w:rPr>
          <w:rFonts w:cs="Arial"/>
        </w:rPr>
      </w:pPr>
    </w:p>
    <w:p w14:paraId="60550781" w14:textId="77777777" w:rsidR="000317F7" w:rsidRDefault="000317F7">
      <w:pPr>
        <w:spacing w:after="0" w:line="260" w:lineRule="auto"/>
        <w:rPr>
          <w:rFonts w:cs="Arial"/>
        </w:rPr>
      </w:pPr>
    </w:p>
    <w:p w14:paraId="390DD3EE" w14:textId="77777777" w:rsidR="000317F7" w:rsidRDefault="00F06B25">
      <w:pPr>
        <w:spacing w:after="0" w:line="260" w:lineRule="auto"/>
      </w:pPr>
      <w:r>
        <w:tab/>
        <w:t>»(3) Udeleženec poravnalnega sistema so člani poravnalnega sistema, CNS, posrednik za poravnavo, klirinška družba, upravljavec poravnalnega sistema in klirinški član CNS. V skladu s pravili poravnalnega sistema lahko isti udeleženec opravlja naloge CNS, posrednika za poravnavo ali klirinške hiše ter lahko izvaja posamezni del ali celotni obseg teh nalog.</w:t>
      </w:r>
    </w:p>
    <w:p w14:paraId="628812CC" w14:textId="77777777" w:rsidR="000317F7" w:rsidRDefault="000317F7">
      <w:pPr>
        <w:spacing w:after="0" w:line="260" w:lineRule="auto"/>
        <w:rPr>
          <w:rFonts w:cs="Arial"/>
        </w:rPr>
      </w:pPr>
    </w:p>
    <w:p w14:paraId="194604F0" w14:textId="77777777" w:rsidR="000317F7" w:rsidRDefault="00F06B25">
      <w:pPr>
        <w:spacing w:after="0" w:line="260" w:lineRule="auto"/>
      </w:pPr>
      <w:r>
        <w:tab/>
        <w:t>(4) Posredni udeleženec je oseba, ki na podlagi pogodbe s članom poravnalnega sistema postane upravičena dajati naročila glede vnosa nalogov v poravnalni sistem, pod pogojem, da je znana upravljavcu poravnalnega sistema. Posredni udeleženec je lahko kreditna institucija, investicijsko podjetje, klirinška družba, upravljavec poravnalnega sistema, posrednik za poravnavo, državni organ, organ samoupravne lokalne skupnosti, podjetje s poroštvom države ali samoupravne lokalne skupnosti, kreditna institucija ali investicijsko podjetje tretje države, plačilna institucija ali izdajatelj elektronskega denarja.</w:t>
      </w:r>
    </w:p>
    <w:p w14:paraId="2E382316" w14:textId="77777777" w:rsidR="000317F7" w:rsidRDefault="000317F7">
      <w:pPr>
        <w:spacing w:after="0" w:line="260" w:lineRule="auto"/>
        <w:rPr>
          <w:rFonts w:cs="Arial"/>
        </w:rPr>
      </w:pPr>
    </w:p>
    <w:p w14:paraId="3AA6C9CD" w14:textId="77777777" w:rsidR="000317F7" w:rsidRDefault="00F06B25">
      <w:pPr>
        <w:spacing w:after="0" w:line="260" w:lineRule="auto"/>
      </w:pPr>
      <w:r>
        <w:lastRenderedPageBreak/>
        <w:tab/>
        <w:t>(5) Posrednik za poravnavo je oseba, ki udeležencem poravnalnega sistema ali CNS zagotavlja poravnalne račune, prek katerih se poravnajo nalogi za poravnavo, in po potrebi odobrava kredite tem udeležencem poravnalnega sistema ali CNS za namene poravnave.«.</w:t>
      </w:r>
    </w:p>
    <w:p w14:paraId="2B9889E7" w14:textId="77777777" w:rsidR="000317F7" w:rsidRDefault="00F06B25">
      <w:pPr>
        <w:pStyle w:val="len"/>
        <w:spacing w:line="260" w:lineRule="auto"/>
      </w:pPr>
      <w:r>
        <w:t>5. člen</w:t>
      </w:r>
    </w:p>
    <w:p w14:paraId="15EF20E3" w14:textId="77777777" w:rsidR="000317F7" w:rsidRDefault="000317F7">
      <w:pPr>
        <w:spacing w:after="0" w:line="260" w:lineRule="auto"/>
        <w:rPr>
          <w:rFonts w:cs="Arial"/>
        </w:rPr>
      </w:pPr>
    </w:p>
    <w:p w14:paraId="11CD6043" w14:textId="77777777" w:rsidR="000317F7" w:rsidRDefault="00F06B25">
      <w:pPr>
        <w:spacing w:after="0" w:line="260" w:lineRule="auto"/>
      </w:pPr>
      <w:r>
        <w:tab/>
        <w:t>Za črtanim 76. členom se doda nov, 76.a člen, ki se glasi:</w:t>
      </w:r>
    </w:p>
    <w:p w14:paraId="0EF29BDF" w14:textId="77777777" w:rsidR="000317F7" w:rsidRDefault="000317F7">
      <w:pPr>
        <w:spacing w:after="0" w:line="260" w:lineRule="auto"/>
        <w:rPr>
          <w:rFonts w:cs="Arial"/>
        </w:rPr>
      </w:pPr>
    </w:p>
    <w:p w14:paraId="0C526FF7" w14:textId="77777777" w:rsidR="000317F7" w:rsidRDefault="000317F7">
      <w:pPr>
        <w:spacing w:after="0" w:line="260" w:lineRule="auto"/>
        <w:rPr>
          <w:rFonts w:cs="Arial"/>
        </w:rPr>
      </w:pPr>
    </w:p>
    <w:p w14:paraId="519E01D0" w14:textId="77777777" w:rsidR="000317F7" w:rsidRDefault="00F06B25">
      <w:pPr>
        <w:pStyle w:val="lennaslov"/>
        <w:spacing w:line="260" w:lineRule="auto"/>
      </w:pPr>
      <w:r>
        <w:t xml:space="preserve">»76.a člen </w:t>
      </w:r>
      <w:r>
        <w:br/>
        <w:t>(razkritje podatkov o delniški strukturi z delnicami z večkratno glasovalno pravico pri uvrstitvi na MTF) </w:t>
      </w:r>
    </w:p>
    <w:p w14:paraId="35B87369" w14:textId="77777777" w:rsidR="000317F7" w:rsidRDefault="000317F7">
      <w:pPr>
        <w:spacing w:after="0" w:line="260" w:lineRule="auto"/>
        <w:rPr>
          <w:rFonts w:cs="Arial"/>
        </w:rPr>
      </w:pPr>
    </w:p>
    <w:p w14:paraId="00305DBD" w14:textId="77777777" w:rsidR="000317F7" w:rsidRDefault="00F06B25">
      <w:pPr>
        <w:spacing w:after="0" w:line="260" w:lineRule="auto"/>
      </w:pPr>
      <w:r>
        <w:tab/>
        <w:t>(1) Izdajatelj, ki je v skladu z ZGD-1 sprejel ali spremenil delniško strukturo z delnicami z večkratno glasovalno pravico in s čigar delnicami se trguje ali se bo trgovalo na razvojnem trgu MSP, podatke iz tretjega odstavka tega člena vključi v prospekt iz 6. ali 15.a člena Uredbe 2017/1129/EU ali v dokument o uvrstitvi iz 3. točke tretjega odstavka 326. člena tega zakona.</w:t>
      </w:r>
    </w:p>
    <w:p w14:paraId="5A88BFED" w14:textId="77777777" w:rsidR="000317F7" w:rsidRDefault="000317F7">
      <w:pPr>
        <w:spacing w:after="0" w:line="260" w:lineRule="auto"/>
        <w:rPr>
          <w:rFonts w:cs="Arial"/>
        </w:rPr>
      </w:pPr>
    </w:p>
    <w:p w14:paraId="4B37BDA4" w14:textId="77777777" w:rsidR="000317F7" w:rsidRDefault="00F06B25">
      <w:pPr>
        <w:spacing w:after="0" w:line="260" w:lineRule="auto"/>
      </w:pPr>
      <w:r>
        <w:tab/>
        <w:t>(2) Izdajatelj, ki je v skladu z ZGD-1 sprejel ali spremenil delniško strukturo z delnicami z večkratno glasovalno pravico in s čigar delnicami se trguje ali se bo trgovalo na MTF, ki ni registriran kot razvojni trg MSP, podatke iz tretjega odstavka tega člena vključi v prospekt iz 6. ali 15.a člena Uredbe 2017/1129/EU ali v kateri koli dokument o uvrstitvi, ki se zahteva po tem zakonu.</w:t>
      </w:r>
    </w:p>
    <w:p w14:paraId="34731CF0" w14:textId="77777777" w:rsidR="000317F7" w:rsidRDefault="000317F7">
      <w:pPr>
        <w:spacing w:after="0" w:line="260" w:lineRule="auto"/>
        <w:rPr>
          <w:rFonts w:cs="Arial"/>
        </w:rPr>
      </w:pPr>
    </w:p>
    <w:p w14:paraId="3F29ED4B" w14:textId="77777777" w:rsidR="000317F7" w:rsidRDefault="00F06B25">
      <w:pPr>
        <w:spacing w:after="0" w:line="260" w:lineRule="auto"/>
      </w:pPr>
      <w:r>
        <w:tab/>
        <w:t>(3) V prospekte in dokumente iz prvega in drugega odstavka tega člena se vključijo podatki o:</w:t>
      </w:r>
    </w:p>
    <w:p w14:paraId="46812260" w14:textId="77777777" w:rsidR="000317F7" w:rsidRDefault="000317F7">
      <w:pPr>
        <w:spacing w:after="0" w:line="260" w:lineRule="auto"/>
        <w:rPr>
          <w:rFonts w:cs="Arial"/>
        </w:rPr>
      </w:pPr>
    </w:p>
    <w:p w14:paraId="63108554" w14:textId="77777777" w:rsidR="000317F7" w:rsidRDefault="00F06B25">
      <w:pPr>
        <w:pStyle w:val="tevilnatoka"/>
        <w:spacing w:after="0" w:line="260" w:lineRule="auto"/>
      </w:pPr>
      <w:r>
        <w:tab/>
        <w:t>1. delniški strukturi izdajatelja z navedbo različnih razredov delnic, vključno z delnicami, ki niso uvrščene v trgovanje, in za vsak razred delnic, o:</w:t>
      </w:r>
    </w:p>
    <w:p w14:paraId="0BD7DA29" w14:textId="77777777" w:rsidR="000317F7" w:rsidRDefault="00F06B25">
      <w:pPr>
        <w:pStyle w:val="rkovnatoka"/>
        <w:spacing w:after="0" w:line="260" w:lineRule="auto"/>
      </w:pPr>
      <w:r>
        <w:tab/>
        <w:t>a) pravicah in obveznostih, vezanih na delnice v tem razredu;</w:t>
      </w:r>
    </w:p>
    <w:p w14:paraId="72D906EC" w14:textId="77777777" w:rsidR="000317F7" w:rsidRDefault="00F06B25">
      <w:pPr>
        <w:pStyle w:val="rkovnatoka"/>
        <w:spacing w:after="0" w:line="260" w:lineRule="auto"/>
      </w:pPr>
      <w:r>
        <w:tab/>
        <w:t>b) odstotku skupnega delniškega kapitala ali skupnega števila delnic, ki ga delnice v tem razredu predstavljajo, in</w:t>
      </w:r>
    </w:p>
    <w:p w14:paraId="0AEB7623" w14:textId="77777777" w:rsidR="000317F7" w:rsidRDefault="00F06B25">
      <w:pPr>
        <w:pStyle w:val="rkovnatoka"/>
        <w:spacing w:after="0" w:line="260" w:lineRule="auto"/>
      </w:pPr>
      <w:r>
        <w:tab/>
        <w:t>c) skupnem številu glasov, ki jih delnice v tem razredu predstavljajo;</w:t>
      </w:r>
    </w:p>
    <w:p w14:paraId="061FCD7F" w14:textId="77777777" w:rsidR="000317F7" w:rsidRDefault="00F06B25">
      <w:pPr>
        <w:pStyle w:val="tevilnatoka"/>
        <w:spacing w:after="0" w:line="260" w:lineRule="auto"/>
      </w:pPr>
      <w:r>
        <w:tab/>
        <w:t>2. vseh omejitvah glede prenosa delnic, vključno z dogovori med delničarji, ki so znani izdajatelju in bi lahko imeli za posledico take omejitve;</w:t>
      </w:r>
    </w:p>
    <w:p w14:paraId="0D1B3E22" w14:textId="77777777" w:rsidR="000317F7" w:rsidRDefault="00F06B25">
      <w:pPr>
        <w:pStyle w:val="tevilnatoka"/>
        <w:spacing w:after="0" w:line="260" w:lineRule="auto"/>
      </w:pPr>
      <w:r>
        <w:tab/>
        <w:t>3. vseh omejitvah glede glasovalnih pravic delnic, vključno z dogovori med delničarji, ki so znani izdajatelju in bi lahko imeli za posledico take omejitve;</w:t>
      </w:r>
    </w:p>
    <w:p w14:paraId="692B4C48" w14:textId="77777777" w:rsidR="000317F7" w:rsidRDefault="00F06B25">
      <w:pPr>
        <w:pStyle w:val="tevilnatoka"/>
        <w:spacing w:after="0" w:line="260" w:lineRule="auto"/>
      </w:pPr>
      <w:r>
        <w:tab/>
        <w:t>4. identiteti, če je znana izdajatelju, delničarjev, ki imajo delnice z večkratno glasovalno pravico, ki predstavljajo več kot 5 % glasovalnih pravic vseh delnic v izdajatelju, ter, kadar glasovalne pravice v imenu teh delničarjev uveljavljajo druge osebe, tudi identiteti fizičnih ali pravnih oseb, pooblaščenih za tako uveljavljanje.</w:t>
      </w:r>
    </w:p>
    <w:p w14:paraId="3D1A4D42" w14:textId="77777777" w:rsidR="000317F7" w:rsidRDefault="000317F7">
      <w:pPr>
        <w:spacing w:after="0" w:line="260" w:lineRule="auto"/>
        <w:rPr>
          <w:rFonts w:cs="Arial"/>
        </w:rPr>
      </w:pPr>
    </w:p>
    <w:p w14:paraId="3512B46B" w14:textId="77777777" w:rsidR="000317F7" w:rsidRDefault="00F06B25">
      <w:pPr>
        <w:spacing w:after="0" w:line="260" w:lineRule="auto"/>
      </w:pPr>
      <w:r>
        <w:tab/>
        <w:t>(4) Kadar so delničarji ali osebe, pooblaščene za uveljavljanje glasovalnih pravic v njihovem imenu, fizične osebe, se za namene 4. točke prejšnjega odstavka za razkritje njihove identitete zahteva le navedba njihovega osebnega imena.</w:t>
      </w:r>
    </w:p>
    <w:p w14:paraId="29A045BD" w14:textId="77777777" w:rsidR="000317F7" w:rsidRDefault="000317F7">
      <w:pPr>
        <w:spacing w:after="0" w:line="260" w:lineRule="auto"/>
        <w:rPr>
          <w:rFonts w:cs="Arial"/>
        </w:rPr>
      </w:pPr>
    </w:p>
    <w:p w14:paraId="04A02779" w14:textId="77777777" w:rsidR="000317F7" w:rsidRDefault="00F06B25">
      <w:pPr>
        <w:spacing w:after="0" w:line="260" w:lineRule="auto"/>
      </w:pPr>
      <w:r>
        <w:tab/>
        <w:t>(5) Izdajatelj iz prvega in drugega odstavka tega člena spremembe podatkov iz tretjega odstavka tega člena razkrije v letnem poročilu v skladu z ZGD-1.«.</w:t>
      </w:r>
    </w:p>
    <w:p w14:paraId="0F170F32" w14:textId="77777777" w:rsidR="000317F7" w:rsidRDefault="00F06B25">
      <w:pPr>
        <w:pStyle w:val="len"/>
        <w:spacing w:line="260" w:lineRule="auto"/>
      </w:pPr>
      <w:r>
        <w:t>6. člen</w:t>
      </w:r>
    </w:p>
    <w:p w14:paraId="02AEBA86" w14:textId="77777777" w:rsidR="000317F7" w:rsidRDefault="000317F7">
      <w:pPr>
        <w:spacing w:after="0" w:line="260" w:lineRule="auto"/>
        <w:rPr>
          <w:rFonts w:cs="Arial"/>
        </w:rPr>
      </w:pPr>
    </w:p>
    <w:p w14:paraId="0436537E" w14:textId="77777777" w:rsidR="000317F7" w:rsidRDefault="00F06B25">
      <w:pPr>
        <w:spacing w:after="0" w:line="260" w:lineRule="auto"/>
      </w:pPr>
      <w:r>
        <w:tab/>
        <w:t>V 81. členu se šesti odstavek spremeni tako, da se glasi:</w:t>
      </w:r>
    </w:p>
    <w:p w14:paraId="332DADB7" w14:textId="77777777" w:rsidR="000317F7" w:rsidRDefault="000317F7">
      <w:pPr>
        <w:spacing w:after="0" w:line="260" w:lineRule="auto"/>
        <w:rPr>
          <w:rFonts w:cs="Arial"/>
        </w:rPr>
      </w:pPr>
    </w:p>
    <w:p w14:paraId="7A6E2500" w14:textId="77777777" w:rsidR="000317F7" w:rsidRDefault="000317F7">
      <w:pPr>
        <w:spacing w:after="0" w:line="260" w:lineRule="auto"/>
        <w:rPr>
          <w:rFonts w:cs="Arial"/>
        </w:rPr>
      </w:pPr>
    </w:p>
    <w:p w14:paraId="6E8E78A8" w14:textId="77777777" w:rsidR="000317F7" w:rsidRDefault="00F06B25">
      <w:pPr>
        <w:spacing w:after="0" w:line="240" w:lineRule="auto"/>
        <w:jc w:val="left"/>
      </w:pPr>
      <w:r>
        <w:tab/>
        <w:t>»(6) Ne glede na tretji odstavek tega člena osebe, ki so pripravile samo povzetek prospekta v skladu s 7. členom Uredbe 2017/1129/EU (v nadaljnjem besedilu: povzetek prospekta), vključno z njegovim prevodom, niso odškodninsko odgovorne, razen če se pri presoji povzetka prospekta glede na druge dele prospekta ugotovi, da je povzetek prospekta zavajajoč, netočen ali notranje neskladen ali ne daje ključnih informacij, ki bi bile vlagateljem v pomoč pri sprejemanju njihovih naložbenih odločitev. Povzetek prospekta mora vsebovati opozorilo o omejitvi odškodninske odgovornosti.«.</w:t>
      </w:r>
    </w:p>
    <w:p w14:paraId="6AB7ACCE" w14:textId="77777777" w:rsidR="000317F7" w:rsidRDefault="000317F7">
      <w:pPr>
        <w:spacing w:after="0" w:line="260" w:lineRule="auto"/>
      </w:pPr>
    </w:p>
    <w:p w14:paraId="236D4AB5" w14:textId="77777777" w:rsidR="000317F7" w:rsidRDefault="00F06B25">
      <w:pPr>
        <w:pStyle w:val="len"/>
        <w:spacing w:line="260" w:lineRule="auto"/>
      </w:pPr>
      <w:r>
        <w:t>7. člen</w:t>
      </w:r>
    </w:p>
    <w:p w14:paraId="32D7BC80" w14:textId="77777777" w:rsidR="000317F7" w:rsidRDefault="000317F7">
      <w:pPr>
        <w:spacing w:after="0" w:line="260" w:lineRule="auto"/>
        <w:rPr>
          <w:rFonts w:cs="Arial"/>
        </w:rPr>
      </w:pPr>
    </w:p>
    <w:p w14:paraId="19673D90" w14:textId="77777777" w:rsidR="000317F7" w:rsidRDefault="00F06B25">
      <w:pPr>
        <w:spacing w:after="0" w:line="240" w:lineRule="auto"/>
        <w:jc w:val="left"/>
      </w:pPr>
      <w:r>
        <w:tab/>
        <w:t>V 172. členu se v drugem odstavku besedilo »in Direktive 2001/34/ES« črta.</w:t>
      </w:r>
    </w:p>
    <w:p w14:paraId="28B18698" w14:textId="77777777" w:rsidR="000317F7" w:rsidRDefault="000317F7">
      <w:pPr>
        <w:spacing w:after="0" w:line="260" w:lineRule="auto"/>
      </w:pPr>
    </w:p>
    <w:p w14:paraId="3D85416C" w14:textId="77777777" w:rsidR="000317F7" w:rsidRDefault="000317F7">
      <w:pPr>
        <w:spacing w:after="0" w:line="260" w:lineRule="auto"/>
        <w:rPr>
          <w:rFonts w:cs="Arial"/>
        </w:rPr>
      </w:pPr>
    </w:p>
    <w:p w14:paraId="3C2B9BA9" w14:textId="77777777" w:rsidR="000317F7" w:rsidRDefault="00F06B25">
      <w:pPr>
        <w:pStyle w:val="len"/>
        <w:spacing w:line="260" w:lineRule="auto"/>
      </w:pPr>
      <w:r>
        <w:t>8. člen</w:t>
      </w:r>
    </w:p>
    <w:p w14:paraId="6FFF6A8C" w14:textId="77777777" w:rsidR="000317F7" w:rsidRDefault="000317F7">
      <w:pPr>
        <w:spacing w:after="0" w:line="260" w:lineRule="auto"/>
        <w:rPr>
          <w:rFonts w:cs="Arial"/>
        </w:rPr>
      </w:pPr>
    </w:p>
    <w:p w14:paraId="34A779FE" w14:textId="77777777" w:rsidR="000317F7" w:rsidRDefault="00F06B25">
      <w:pPr>
        <w:spacing w:after="0" w:line="260" w:lineRule="auto"/>
      </w:pPr>
      <w:r>
        <w:tab/>
        <w:t>V 251. členu se petindvajseti, šestindvajseti in sedemindvajseti odstavek črtajo.</w:t>
      </w:r>
    </w:p>
    <w:p w14:paraId="17FFC5F0" w14:textId="77777777" w:rsidR="000317F7" w:rsidRDefault="000317F7">
      <w:pPr>
        <w:spacing w:after="0" w:line="260" w:lineRule="auto"/>
        <w:rPr>
          <w:rFonts w:cs="Arial"/>
        </w:rPr>
      </w:pPr>
    </w:p>
    <w:p w14:paraId="4A5958A9" w14:textId="77777777" w:rsidR="000317F7" w:rsidRDefault="00F06B25">
      <w:pPr>
        <w:pStyle w:val="len"/>
        <w:spacing w:line="260" w:lineRule="auto"/>
      </w:pPr>
      <w:r>
        <w:t>9. člen</w:t>
      </w:r>
    </w:p>
    <w:p w14:paraId="60AB2861" w14:textId="77777777" w:rsidR="000317F7" w:rsidRDefault="000317F7">
      <w:pPr>
        <w:spacing w:after="0" w:line="260" w:lineRule="auto"/>
        <w:rPr>
          <w:rFonts w:cs="Arial"/>
        </w:rPr>
      </w:pPr>
    </w:p>
    <w:p w14:paraId="2138FB0A" w14:textId="77777777" w:rsidR="000317F7" w:rsidRDefault="00F06B25">
      <w:pPr>
        <w:spacing w:after="0" w:line="260" w:lineRule="auto"/>
      </w:pPr>
      <w:r>
        <w:tab/>
        <w:t>Za 251. členom se dodata nova, 251.a in 251.b člen, ki se glasita:</w:t>
      </w:r>
    </w:p>
    <w:p w14:paraId="22037465" w14:textId="77777777" w:rsidR="000317F7" w:rsidRDefault="000317F7">
      <w:pPr>
        <w:spacing w:after="0" w:line="260" w:lineRule="auto"/>
        <w:rPr>
          <w:rFonts w:cs="Arial"/>
        </w:rPr>
      </w:pPr>
    </w:p>
    <w:p w14:paraId="7994FE49" w14:textId="77777777" w:rsidR="000317F7" w:rsidRDefault="000317F7">
      <w:pPr>
        <w:spacing w:after="0" w:line="260" w:lineRule="auto"/>
        <w:rPr>
          <w:rFonts w:cs="Arial"/>
        </w:rPr>
      </w:pPr>
    </w:p>
    <w:p w14:paraId="63EC2E2E" w14:textId="77777777" w:rsidR="000317F7" w:rsidRDefault="00F06B25">
      <w:pPr>
        <w:pStyle w:val="lennaslov"/>
        <w:spacing w:line="260" w:lineRule="auto"/>
      </w:pPr>
      <w:r>
        <w:t>»251.a člen</w:t>
      </w:r>
      <w:r>
        <w:br/>
        <w:t xml:space="preserve"> (raziskave, ki jih pripravijo borznoposredniške družbe ali tretje osebe)</w:t>
      </w:r>
    </w:p>
    <w:p w14:paraId="76B477B2" w14:textId="77777777" w:rsidR="000317F7" w:rsidRDefault="000317F7">
      <w:pPr>
        <w:spacing w:after="0" w:line="260" w:lineRule="auto"/>
        <w:rPr>
          <w:rFonts w:cs="Arial"/>
        </w:rPr>
      </w:pPr>
    </w:p>
    <w:p w14:paraId="0460D177" w14:textId="77777777" w:rsidR="000317F7" w:rsidRDefault="00F06B25">
      <w:pPr>
        <w:spacing w:after="0" w:line="260" w:lineRule="auto"/>
      </w:pPr>
      <w:r>
        <w:tab/>
        <w:t>(1) Raziskave, ki jih pripravijo borznoposredniške družbe ali tretje osebe ter jih borznoposredniške družbe, njihove stranke ali potencialne stranke uporabljajo ali se jim distribuirajo, so poštene in jasne ter niso zavajajoče. Raziskave izpolnjujejo te zahteve zlasti, kadar temeljijo na točnih informacijah, jasno ločujejo dejstva od mnenj, ocen in napovedi, navajajo bistvene vire in predpostavke na katerih temeljijo, uravnoteženo prikazujejo tveganja in pričakovane koristi ter ne prikrivajo, zmanjšujejo ali zakrivajo pomembnih informacij oziroma opozoril.</w:t>
      </w:r>
    </w:p>
    <w:p w14:paraId="115087FE" w14:textId="77777777" w:rsidR="000317F7" w:rsidRDefault="000317F7">
      <w:pPr>
        <w:spacing w:after="0" w:line="260" w:lineRule="auto"/>
        <w:rPr>
          <w:rFonts w:cs="Arial"/>
        </w:rPr>
      </w:pPr>
    </w:p>
    <w:p w14:paraId="597DD2DE" w14:textId="77777777" w:rsidR="000317F7" w:rsidRDefault="00F06B25">
      <w:pPr>
        <w:spacing w:after="0" w:line="240" w:lineRule="auto"/>
        <w:jc w:val="left"/>
      </w:pPr>
      <w:r>
        <w:tab/>
        <w:t>(2) Raziskave iz prejšnjega odstavka, ki izpolnjujejo pogoje iz Delegirane uredbe Komisije (EU) 2017/565 z dne 25. aprila 2016 o dopolnitvi Direktive 2014/65/EU Evropskega parlamenta in Sveta v zvezi z organizacijskimi zahtevami in pogoji poslovanja investicijskih podjetij ter opredeljenimi izrazi za namene navedene direktive, zadnjič spremenjena z Delegirano uredbo Komisije (EU) 2021/1254 z dne 21. aprila 2021 o popravku Delegirane uredbe (EU) 2017/565 o dopolnitvi Direktive 2014/65/EU Evropskega parlamenta in Sveta v zvezi z organizacijskimi zahtevami in pogoji poslovanja investicijskih podjetij ter opredeljenimi izrazi za namene navedene direktive (UL L št. 87 z dne 31. 3. 2017, str. 1), so jasno in vidno označene kot take ali s podobnimi izrazi.</w:t>
      </w:r>
    </w:p>
    <w:p w14:paraId="4B0F864F" w14:textId="77777777" w:rsidR="000317F7" w:rsidRDefault="000317F7">
      <w:pPr>
        <w:spacing w:after="0" w:line="260" w:lineRule="auto"/>
      </w:pPr>
    </w:p>
    <w:p w14:paraId="2DA0619D" w14:textId="77777777" w:rsidR="000317F7" w:rsidRDefault="000317F7">
      <w:pPr>
        <w:spacing w:after="0" w:line="260" w:lineRule="auto"/>
        <w:rPr>
          <w:rFonts w:cs="Arial"/>
        </w:rPr>
      </w:pPr>
    </w:p>
    <w:p w14:paraId="7CCD8080" w14:textId="77777777" w:rsidR="000317F7" w:rsidRDefault="00F06B25">
      <w:pPr>
        <w:spacing w:after="0" w:line="260" w:lineRule="auto"/>
      </w:pPr>
      <w:r>
        <w:tab/>
        <w:t xml:space="preserve">(3) Borznoposredniške družbe raziskave, ki jih distribuirajo strankam ali potencialnim strankam in ki jih v celoti ali delno plača izdajatelj, označijo kot »raziskave, ki jih plača izdajatelj« samo, če so pripravljene v skladu s kodeksom ravnanja EU za raziskave, ki jih plača izdajatelj, določenim v regulativnih tehničnih </w:t>
      </w:r>
      <w:r>
        <w:lastRenderedPageBreak/>
        <w:t>standardih, ki jih sprejme Komisija (v nadaljnjem besedilu: kodeks ravnanja EU za raziskave, ki jih plača izdajatelj).</w:t>
      </w:r>
    </w:p>
    <w:p w14:paraId="72C79EBD" w14:textId="77777777" w:rsidR="000317F7" w:rsidRDefault="000317F7">
      <w:pPr>
        <w:spacing w:after="0" w:line="260" w:lineRule="auto"/>
        <w:rPr>
          <w:rFonts w:cs="Arial"/>
        </w:rPr>
      </w:pPr>
    </w:p>
    <w:p w14:paraId="6F21BCC2" w14:textId="77777777" w:rsidR="000317F7" w:rsidRDefault="00F06B25">
      <w:pPr>
        <w:spacing w:after="0" w:line="260" w:lineRule="auto"/>
      </w:pPr>
      <w:r>
        <w:tab/>
        <w:t>(4) Borznoposredniška družba, ki pripravlja ali distribuira raziskave, ki jih plača izdajatelj, mora imeti organizacijsko strukturo, ki zagotavlja, da se takšne raziskave pripravljajo v skladu s kodeksom ravnanja EU za raziskave, ki jih plača izdajatelj, in so v skladu s tem členom.</w:t>
      </w:r>
    </w:p>
    <w:p w14:paraId="7C53414E" w14:textId="77777777" w:rsidR="000317F7" w:rsidRDefault="000317F7">
      <w:pPr>
        <w:spacing w:after="0" w:line="260" w:lineRule="auto"/>
        <w:rPr>
          <w:rFonts w:cs="Arial"/>
        </w:rPr>
      </w:pPr>
    </w:p>
    <w:p w14:paraId="20FD3DA8" w14:textId="77777777" w:rsidR="000317F7" w:rsidRDefault="00F06B25">
      <w:pPr>
        <w:spacing w:after="0" w:line="240" w:lineRule="auto"/>
        <w:jc w:val="left"/>
      </w:pPr>
      <w:r>
        <w:tab/>
        <w:t>(5) Izdajatelj lahko predloži svoje raziskave iz tretjega odstavka tega člena agenciji, ki je organ za zbiranje podatkov, kot je opredeljen v 2. točki 2. člena Uredbe 2023/2859/EU, pri čemer morajo biti tem raziskavam priloženi metapodatki, ki navajajo, da so informacije skladne s kodeksom ravnanja EU za raziskave, ki jih plača izdajatelj. Takšne raziskave se ne štejejo za nadzorovane informacije niti za investicijske raziskave po tem zakonu, zato se zanje ne izvaja nadzor kot za nadzorovane informacije ali investicijske raziskave.</w:t>
      </w:r>
    </w:p>
    <w:p w14:paraId="2E33144C" w14:textId="77777777" w:rsidR="000317F7" w:rsidRDefault="000317F7">
      <w:pPr>
        <w:spacing w:after="0" w:line="260" w:lineRule="auto"/>
      </w:pPr>
    </w:p>
    <w:p w14:paraId="789E7F46" w14:textId="77777777" w:rsidR="000317F7" w:rsidRDefault="000317F7">
      <w:pPr>
        <w:spacing w:after="0" w:line="260" w:lineRule="auto"/>
        <w:rPr>
          <w:rFonts w:cs="Arial"/>
        </w:rPr>
      </w:pPr>
    </w:p>
    <w:p w14:paraId="73858E32" w14:textId="77777777" w:rsidR="000317F7" w:rsidRDefault="00F06B25">
      <w:pPr>
        <w:spacing w:after="0" w:line="260" w:lineRule="auto"/>
      </w:pPr>
      <w:r>
        <w:tab/>
        <w:t>(6) Na naslovnici raziskav, ki so označene kot »raziskave, ki jih plača izdajatelj« mora biti jasno in vidno navedeno, da so bile pripravljene v skladu s kodeksom ravnanja EU za raziskave, ki jih plača izdajatelj. Vsako drugo raziskovalno gradivo, ki ga v celoti ali delno plača izdajatelj, vendar ni pripravljeno v skladu z zadevnim kodeksom ravnanja EU za raziskave, ki jih plača izdajatelj, se označi kot tržno sporočilo.</w:t>
      </w:r>
    </w:p>
    <w:p w14:paraId="65AD1869" w14:textId="77777777" w:rsidR="000317F7" w:rsidRDefault="000317F7">
      <w:pPr>
        <w:spacing w:after="0" w:line="260" w:lineRule="auto"/>
        <w:rPr>
          <w:rFonts w:cs="Arial"/>
        </w:rPr>
      </w:pPr>
    </w:p>
    <w:p w14:paraId="3C8E64EA" w14:textId="77777777" w:rsidR="000317F7" w:rsidRDefault="00F06B25">
      <w:pPr>
        <w:pStyle w:val="lennaslov"/>
        <w:spacing w:line="260" w:lineRule="auto"/>
      </w:pPr>
      <w:r>
        <w:t xml:space="preserve">251.b člen </w:t>
      </w:r>
      <w:r>
        <w:br/>
        <w:t>(raziskave, ki jih pripravijo tretje osebe za borznoposredniško družbo)</w:t>
      </w:r>
    </w:p>
    <w:p w14:paraId="3DC226A5" w14:textId="77777777" w:rsidR="000317F7" w:rsidRDefault="000317F7">
      <w:pPr>
        <w:spacing w:after="0" w:line="260" w:lineRule="auto"/>
        <w:rPr>
          <w:rFonts w:cs="Arial"/>
        </w:rPr>
      </w:pPr>
    </w:p>
    <w:p w14:paraId="5C516646" w14:textId="77777777" w:rsidR="000317F7" w:rsidRDefault="00F06B25">
      <w:pPr>
        <w:spacing w:after="0" w:line="260" w:lineRule="auto"/>
      </w:pPr>
      <w:r>
        <w:tab/>
        <w:t>(1) Raziskave, ki jih za borznoposredniško družbo pripravijo tretje osebe, izpolnjujejo pogoje iz 252. člena tega zakona, če:</w:t>
      </w:r>
    </w:p>
    <w:p w14:paraId="39CD7F92" w14:textId="77777777" w:rsidR="000317F7" w:rsidRDefault="00F06B25">
      <w:pPr>
        <w:pStyle w:val="tevilnatoka"/>
        <w:spacing w:after="0" w:line="260" w:lineRule="auto"/>
      </w:pPr>
      <w:r>
        <w:tab/>
        <w:t>1. sta borznoposredniška družba in tretja oseba, ki zagotavlja storitve izvrševanja naročil strank in pripravlja raziskave, sklenila sporazum, v katerem sta določili metodologijo za plačila, vključno s tem, kako se skupni stroški raziskav na splošno upoštevajo pri določanju skupnih stroškov za investicijske storitve;</w:t>
      </w:r>
    </w:p>
    <w:p w14:paraId="1BA3CC59" w14:textId="77777777" w:rsidR="000317F7" w:rsidRDefault="00F06B25">
      <w:pPr>
        <w:pStyle w:val="tevilnatoka"/>
        <w:spacing w:after="0" w:line="260" w:lineRule="auto"/>
      </w:pPr>
      <w:r>
        <w:tab/>
        <w:t>2. borznoposredniška družba obvesti svoje stranke o tem, ali bo storitve izvrševanja naročil strank in raziskave plačevala skupaj ali ločeno, in jim da na voljo svojo politiko o plačilih za storitve izvrševanja naročil strank in raziskave, vključno z vrsto informacij, ki se lahko zagotovijo glede na to, kakšen način plačila je izbrala borznoposredniška družba in, kjer je ustrezno, kako borznoposredniška družba pri uporabi načina skupnega plačila za storitve izvrševanja in raziskave preprečuje ali obvladuje nasprotje interesov iz 233. člena tega zakona;</w:t>
      </w:r>
    </w:p>
    <w:p w14:paraId="75E330AB" w14:textId="77777777" w:rsidR="000317F7" w:rsidRDefault="00F06B25">
      <w:pPr>
        <w:pStyle w:val="tevilnatoka"/>
        <w:spacing w:after="0" w:line="260" w:lineRule="auto"/>
      </w:pPr>
      <w:r>
        <w:tab/>
        <w:t>3. borznoposredniška družba vsako leto oceni kakovost, uporabnost in vrednost uporabljenih raziskav ter njihovo zmožnost prispevanja k boljšim investicijskim odločitvam;</w:t>
      </w:r>
    </w:p>
    <w:p w14:paraId="27CF151F" w14:textId="77777777" w:rsidR="000317F7" w:rsidRDefault="00F06B25">
      <w:pPr>
        <w:pStyle w:val="tevilnatoka"/>
        <w:spacing w:after="0" w:line="260" w:lineRule="auto"/>
      </w:pPr>
      <w:r>
        <w:tab/>
        <w:t>4. se borznoposredniška družba odloči, da bo za storitve izvrševanja naročil strank in raziskave tretjih oseb plačevala ločeno ter tretje osebe pripravijo raziskave za borznoposredniško družbo v zameno za:</w:t>
      </w:r>
    </w:p>
    <w:p w14:paraId="4E6A099F" w14:textId="77777777" w:rsidR="000317F7" w:rsidRDefault="00F06B25">
      <w:pPr>
        <w:pStyle w:val="rkovnatoka"/>
        <w:spacing w:after="0" w:line="260" w:lineRule="auto"/>
      </w:pPr>
      <w:r>
        <w:tab/>
        <w:t>a) neposredna plačila borznoposredniške družbe iz njenih lastnih sredstev;</w:t>
      </w:r>
    </w:p>
    <w:p w14:paraId="54FFFDEA" w14:textId="77777777" w:rsidR="000317F7" w:rsidRDefault="00F06B25">
      <w:pPr>
        <w:pStyle w:val="rkovnatoka"/>
        <w:spacing w:after="0" w:line="260" w:lineRule="auto"/>
      </w:pPr>
      <w:r>
        <w:tab/>
        <w:t>b) plačila z ločenega računa za plačilo raziskav, ki ga nadzira borznoposredniška družba.</w:t>
      </w:r>
    </w:p>
    <w:p w14:paraId="7BBCDC16" w14:textId="77777777" w:rsidR="000317F7" w:rsidRDefault="000317F7">
      <w:pPr>
        <w:spacing w:after="0" w:line="260" w:lineRule="auto"/>
        <w:rPr>
          <w:rFonts w:cs="Arial"/>
        </w:rPr>
      </w:pPr>
    </w:p>
    <w:p w14:paraId="17542F48" w14:textId="77777777" w:rsidR="000317F7" w:rsidRDefault="00F06B25">
      <w:pPr>
        <w:spacing w:after="0" w:line="260" w:lineRule="auto"/>
      </w:pPr>
      <w:r>
        <w:tab/>
        <w:t>(2) Za namene 250., 251.a in tega člena se raziskave razumejo kot raziskovalno gradivo ali storitve za raziskave, ki se nanašajo na enega ali več finančnih instrumentov ali drugih sredstev ali izdajatelje ali morebitne izdajatelje finančnih instrumentov, oziroma kot raziskovalno gradivo ali storitve za raziskave, ki so tesno povezane z določenim sektorjem ali trgom in zadevajo oblikovanje stališč o finančnih instrumentih, sredstvih ali izdajateljih v tem sektorju ali na trgu.</w:t>
      </w:r>
    </w:p>
    <w:p w14:paraId="13A6973B" w14:textId="77777777" w:rsidR="000317F7" w:rsidRDefault="000317F7">
      <w:pPr>
        <w:spacing w:after="0" w:line="260" w:lineRule="auto"/>
        <w:rPr>
          <w:rFonts w:cs="Arial"/>
        </w:rPr>
      </w:pPr>
    </w:p>
    <w:p w14:paraId="79045D24" w14:textId="77777777" w:rsidR="000317F7" w:rsidRDefault="00F06B25">
      <w:pPr>
        <w:spacing w:after="0" w:line="260" w:lineRule="auto"/>
      </w:pPr>
      <w:r>
        <w:tab/>
        <w:t xml:space="preserve">(3) Raziskave obsegajo tudi gradivo ali storitve, ki izrecno ali implicitno priporočajo ali predlagajo investicijsko strategijo ter zagotavljajo utemeljeno mnenje o sedanji ali prihodnji vrednosti ali ceni finančnih instrumentov oziroma sredstev ali drugače vsebujejo analize in izvirne ugotovitve ter zaključke, sprejete na podlagi novih ali obstoječih informacij, ki bi se lahko uporabili pri obveščanju za namene investicijske </w:t>
      </w:r>
      <w:r>
        <w:lastRenderedPageBreak/>
        <w:t>strategije in bi zaradi svojega pomena ustvarili dodano vrednost pri odločitvah borznoposredniške družbe v imenu njenih strank, ki jim zaračuna te raziskave.</w:t>
      </w:r>
    </w:p>
    <w:p w14:paraId="37761C73" w14:textId="77777777" w:rsidR="000317F7" w:rsidRDefault="000317F7">
      <w:pPr>
        <w:spacing w:after="0" w:line="260" w:lineRule="auto"/>
        <w:rPr>
          <w:rFonts w:cs="Arial"/>
        </w:rPr>
      </w:pPr>
    </w:p>
    <w:p w14:paraId="492E30AF" w14:textId="77777777" w:rsidR="000317F7" w:rsidRDefault="00F06B25">
      <w:pPr>
        <w:spacing w:after="0" w:line="260" w:lineRule="auto"/>
      </w:pPr>
      <w:r>
        <w:tab/>
        <w:t>(4) Za namene 250., 251.a in tega člena se poročilo o trgovanju in druge storitve trgovalnega svetovanja, namenjene posamezni stranki in neločljivo povezane z izvršitvijo posla s finančnimi instrumenti, ne štejejo za raziskave.</w:t>
      </w:r>
    </w:p>
    <w:p w14:paraId="0C0E794D" w14:textId="77777777" w:rsidR="000317F7" w:rsidRDefault="000317F7">
      <w:pPr>
        <w:spacing w:after="0" w:line="260" w:lineRule="auto"/>
        <w:rPr>
          <w:rFonts w:cs="Arial"/>
        </w:rPr>
      </w:pPr>
    </w:p>
    <w:p w14:paraId="22503CA4" w14:textId="77777777" w:rsidR="000317F7" w:rsidRDefault="00F06B25">
      <w:pPr>
        <w:spacing w:after="0" w:line="260" w:lineRule="auto"/>
      </w:pPr>
      <w:r>
        <w:tab/>
        <w:t>(5) Raziskava, ki jo borznoposredniška družba prejme od ponudnika raziskav, ki se ne ukvarja s storitvami izvrševanja naročil za račun strank in ni del skupine za finančne storitve, v katero spada borznoposredniška družba, ki ponuja storitve izvrševanja naročil za račun strank ali posredovanja, se šteje, da izpolnjuje pogoje iz 252. člena tega zakona. V teh primerih borznoposredniška družba opravi oceno iz 3. točke prvega odstavka tega člena.</w:t>
      </w:r>
    </w:p>
    <w:p w14:paraId="7B3325DC" w14:textId="77777777" w:rsidR="000317F7" w:rsidRDefault="000317F7">
      <w:pPr>
        <w:spacing w:after="0" w:line="260" w:lineRule="auto"/>
        <w:rPr>
          <w:rFonts w:cs="Arial"/>
        </w:rPr>
      </w:pPr>
    </w:p>
    <w:p w14:paraId="7440514B" w14:textId="77777777" w:rsidR="000317F7" w:rsidRDefault="00F06B25">
      <w:pPr>
        <w:spacing w:after="0" w:line="260" w:lineRule="auto"/>
      </w:pPr>
      <w:r>
        <w:tab/>
        <w:t>(6) Borznoposredniška družba vodi evidenco skupnih stroškov, povezanih z raziskavami, ki jih zanjo zagotavljajo tretje osebe, če so jim ti stroški znani. Če stranke zahtevajo, se jim informacije o stroških predložijo enkrat na leto.«.</w:t>
      </w:r>
    </w:p>
    <w:p w14:paraId="627BAB7F" w14:textId="77777777" w:rsidR="000317F7" w:rsidRDefault="00F06B25">
      <w:pPr>
        <w:pStyle w:val="len"/>
        <w:spacing w:line="260" w:lineRule="auto"/>
      </w:pPr>
      <w:r>
        <w:t>10. člen</w:t>
      </w:r>
    </w:p>
    <w:p w14:paraId="3D6F0DB7" w14:textId="77777777" w:rsidR="000317F7" w:rsidRDefault="000317F7">
      <w:pPr>
        <w:spacing w:after="0" w:line="260" w:lineRule="auto"/>
        <w:rPr>
          <w:rFonts w:cs="Arial"/>
        </w:rPr>
      </w:pPr>
    </w:p>
    <w:p w14:paraId="686DF281" w14:textId="77777777" w:rsidR="000317F7" w:rsidRDefault="00F06B25">
      <w:pPr>
        <w:spacing w:after="0" w:line="260" w:lineRule="auto"/>
      </w:pPr>
      <w:r>
        <w:tab/>
        <w:t>V 261. členu se v prvem odstavku 4. točka spremeni tako, da se glasi:</w:t>
      </w:r>
    </w:p>
    <w:p w14:paraId="5CFD3493" w14:textId="77777777" w:rsidR="000317F7" w:rsidRDefault="000317F7">
      <w:pPr>
        <w:spacing w:after="0" w:line="260" w:lineRule="auto"/>
        <w:rPr>
          <w:rFonts w:cs="Arial"/>
        </w:rPr>
      </w:pPr>
    </w:p>
    <w:p w14:paraId="78D6D2F3" w14:textId="77777777" w:rsidR="000317F7" w:rsidRDefault="00F06B25">
      <w:pPr>
        <w:pStyle w:val="tevilnatoka"/>
        <w:spacing w:after="0" w:line="260" w:lineRule="auto"/>
      </w:pPr>
      <w:r>
        <w:tab/>
        <w:t>»4. podrobnejša pravila o prejemanju provizij, spodbud ali katerih koli drugih denarnih ali nedenarnih koristi v zvezi z opravljanjem investicijskih storitev in poslov ter pomožnih investicijskih storitev za stranke od tretjih oseb iz 251. člena tega zakona ter o raziskavah, ki jih za borznoposredniško družbo pripravijo tretje osebe, iz 251.b člena tega zakona, zlasti o vodenju ločenega računa za plačilo raziskav, o določitvi in upravljanju proračuna za raziskave ter o dajatvi za raziskave, o informacijah, ki jih borznoposredniška družba zagotovi strankam, in o letni oceni kakovosti, uporabnosti in vrednosti uporabljenih raziskav ter o popravnih ukrepih,«.</w:t>
      </w:r>
    </w:p>
    <w:p w14:paraId="6467B587" w14:textId="77777777" w:rsidR="000317F7" w:rsidRDefault="00F06B25">
      <w:pPr>
        <w:pStyle w:val="len"/>
        <w:spacing w:line="260" w:lineRule="auto"/>
      </w:pPr>
      <w:r>
        <w:t>11. člen</w:t>
      </w:r>
    </w:p>
    <w:p w14:paraId="79ABE29E" w14:textId="77777777" w:rsidR="000317F7" w:rsidRDefault="000317F7">
      <w:pPr>
        <w:spacing w:after="0" w:line="260" w:lineRule="auto"/>
        <w:rPr>
          <w:rFonts w:cs="Arial"/>
        </w:rPr>
      </w:pPr>
    </w:p>
    <w:p w14:paraId="5221BACA" w14:textId="77777777" w:rsidR="000317F7" w:rsidRDefault="00F06B25">
      <w:pPr>
        <w:spacing w:after="0" w:line="260" w:lineRule="auto"/>
      </w:pPr>
      <w:r>
        <w:tab/>
        <w:t>V 316. členu se za tretjim odstavkom doda nov, četrti odstavek, ki se glasi:</w:t>
      </w:r>
    </w:p>
    <w:p w14:paraId="7307A6BB" w14:textId="77777777" w:rsidR="000317F7" w:rsidRDefault="000317F7">
      <w:pPr>
        <w:spacing w:after="0" w:line="260" w:lineRule="auto"/>
        <w:rPr>
          <w:rFonts w:cs="Arial"/>
        </w:rPr>
      </w:pPr>
    </w:p>
    <w:p w14:paraId="07943B7D" w14:textId="77777777" w:rsidR="000317F7" w:rsidRDefault="000317F7">
      <w:pPr>
        <w:spacing w:after="0" w:line="260" w:lineRule="auto"/>
        <w:rPr>
          <w:rFonts w:cs="Arial"/>
        </w:rPr>
      </w:pPr>
    </w:p>
    <w:p w14:paraId="5CBADF15" w14:textId="77777777" w:rsidR="000317F7" w:rsidRDefault="00F06B25">
      <w:pPr>
        <w:spacing w:after="0" w:line="260" w:lineRule="auto"/>
      </w:pPr>
      <w:r>
        <w:tab/>
        <w:t>»(4) Upravljavec MTF v pravilih iz 4. točke prvega odstavka tega člena določi, da ne sme zavrniti uvrstitve delnic družbe v trgovanje iz razloga, ker je družba sprejela delniško strukturo z delnicami z večkratno glasovalno pravico v skladu z ZGD-1.«.</w:t>
      </w:r>
    </w:p>
    <w:p w14:paraId="080D1D12" w14:textId="77777777" w:rsidR="000317F7" w:rsidRDefault="00F06B25">
      <w:pPr>
        <w:pStyle w:val="len"/>
        <w:spacing w:line="260" w:lineRule="auto"/>
      </w:pPr>
      <w:r>
        <w:t>12. člen</w:t>
      </w:r>
    </w:p>
    <w:p w14:paraId="7A20F95A" w14:textId="77777777" w:rsidR="000317F7" w:rsidRDefault="000317F7">
      <w:pPr>
        <w:spacing w:after="0" w:line="260" w:lineRule="auto"/>
        <w:rPr>
          <w:rFonts w:cs="Arial"/>
        </w:rPr>
      </w:pPr>
    </w:p>
    <w:p w14:paraId="5E0AEC47" w14:textId="77777777" w:rsidR="000317F7" w:rsidRDefault="00F06B25">
      <w:pPr>
        <w:spacing w:after="0" w:line="260" w:lineRule="auto"/>
      </w:pPr>
      <w:r>
        <w:tab/>
        <w:t>V 317. členu se za besedilom člena, ki se označi kot prvi odstavek, doda nov, drugi odstavek, ki se glasi:</w:t>
      </w:r>
    </w:p>
    <w:p w14:paraId="64173FED" w14:textId="77777777" w:rsidR="000317F7" w:rsidRDefault="000317F7">
      <w:pPr>
        <w:spacing w:after="0" w:line="260" w:lineRule="auto"/>
        <w:rPr>
          <w:rFonts w:cs="Arial"/>
        </w:rPr>
      </w:pPr>
    </w:p>
    <w:p w14:paraId="6AFC42A8" w14:textId="77777777" w:rsidR="000317F7" w:rsidRDefault="000317F7">
      <w:pPr>
        <w:spacing w:after="0" w:line="260" w:lineRule="auto"/>
        <w:rPr>
          <w:rFonts w:cs="Arial"/>
        </w:rPr>
      </w:pPr>
    </w:p>
    <w:p w14:paraId="6A9625E2" w14:textId="77777777" w:rsidR="000317F7" w:rsidRDefault="00F06B25">
      <w:pPr>
        <w:spacing w:after="0" w:line="260" w:lineRule="auto"/>
      </w:pPr>
      <w:r>
        <w:tab/>
        <w:t>»(2) Upravljavec MTF ob upoštevanju regulativnih tehničnih standardov, ki jih sprejme Komisija, jasno označi delnice družb z delniškimi strukturami z delnicami z večkratno glasovalno pravico, ki so uvrščene v trgovanje na MTF. Izdajatelji obvestijo upravljavca MTF o obstoju delniških struktur z delnicami z večkratno glasovalno pravico.«.</w:t>
      </w:r>
    </w:p>
    <w:p w14:paraId="1D383CE0" w14:textId="77777777" w:rsidR="000317F7" w:rsidRDefault="00F06B25">
      <w:pPr>
        <w:pStyle w:val="len"/>
        <w:spacing w:line="260" w:lineRule="auto"/>
      </w:pPr>
      <w:r>
        <w:lastRenderedPageBreak/>
        <w:t>13. člen</w:t>
      </w:r>
    </w:p>
    <w:p w14:paraId="118414D3" w14:textId="77777777" w:rsidR="000317F7" w:rsidRDefault="000317F7">
      <w:pPr>
        <w:spacing w:after="0" w:line="260" w:lineRule="auto"/>
        <w:rPr>
          <w:rFonts w:cs="Arial"/>
        </w:rPr>
      </w:pPr>
    </w:p>
    <w:p w14:paraId="131FA604" w14:textId="77777777" w:rsidR="000317F7" w:rsidRDefault="00F06B25">
      <w:pPr>
        <w:spacing w:after="0" w:line="260" w:lineRule="auto"/>
      </w:pPr>
      <w:r>
        <w:tab/>
        <w:t>V 326. členu se prvi in drugi odstavek spremenita tako, da se glasita:</w:t>
      </w:r>
    </w:p>
    <w:p w14:paraId="4030A63E" w14:textId="77777777" w:rsidR="000317F7" w:rsidRDefault="000317F7">
      <w:pPr>
        <w:spacing w:after="0" w:line="260" w:lineRule="auto"/>
        <w:rPr>
          <w:rFonts w:cs="Arial"/>
        </w:rPr>
      </w:pPr>
    </w:p>
    <w:p w14:paraId="25667A9B" w14:textId="77777777" w:rsidR="000317F7" w:rsidRDefault="000317F7">
      <w:pPr>
        <w:spacing w:after="0" w:line="260" w:lineRule="auto"/>
        <w:rPr>
          <w:rFonts w:cs="Arial"/>
        </w:rPr>
      </w:pPr>
    </w:p>
    <w:p w14:paraId="677A5D3B" w14:textId="77777777" w:rsidR="000317F7" w:rsidRDefault="00F06B25">
      <w:pPr>
        <w:spacing w:after="0" w:line="260" w:lineRule="auto"/>
      </w:pPr>
      <w:r>
        <w:tab/>
        <w:t>»(1) Upravljavec MTF s sedežem v Republiki Sloveniji lahko pri agenciji vloži zahtevo, da se MTF ali njegov segment registrira kot razvojni trg MSP.</w:t>
      </w:r>
    </w:p>
    <w:p w14:paraId="5C5780DD" w14:textId="77777777" w:rsidR="000317F7" w:rsidRDefault="000317F7">
      <w:pPr>
        <w:spacing w:after="0" w:line="260" w:lineRule="auto"/>
        <w:rPr>
          <w:rFonts w:cs="Arial"/>
        </w:rPr>
      </w:pPr>
    </w:p>
    <w:p w14:paraId="23F795B9" w14:textId="77777777" w:rsidR="000317F7" w:rsidRDefault="00F06B25">
      <w:pPr>
        <w:spacing w:after="0" w:line="260" w:lineRule="auto"/>
      </w:pPr>
      <w:r>
        <w:tab/>
        <w:t>(2) Agencija registrira MTF kot razvojni trg MSP, če iz zahteve iz prejšnjega odstavka izhaja, da so izpolnjeni pogoji iz tretjega odstavka tega člena, oziroma registrira segment MTF kot razvojni trg MSP, če iz zahteve izhaja, da so izpolnjeni pogoji iz tretjega in četrtega odstavka tega člena.«.</w:t>
      </w:r>
    </w:p>
    <w:p w14:paraId="6C37A236" w14:textId="77777777" w:rsidR="000317F7" w:rsidRDefault="000317F7">
      <w:pPr>
        <w:spacing w:after="0" w:line="260" w:lineRule="auto"/>
        <w:rPr>
          <w:rFonts w:cs="Arial"/>
        </w:rPr>
      </w:pPr>
    </w:p>
    <w:p w14:paraId="2D56E0D0" w14:textId="77777777" w:rsidR="000317F7" w:rsidRDefault="00F06B25">
      <w:pPr>
        <w:spacing w:after="0" w:line="260" w:lineRule="auto"/>
      </w:pPr>
      <w:r>
        <w:tab/>
        <w:t>Za tretjim odstavkom se doda nov četrti odstavek, ki se glasi:</w:t>
      </w:r>
    </w:p>
    <w:p w14:paraId="78FB5451" w14:textId="77777777" w:rsidR="000317F7" w:rsidRDefault="000317F7">
      <w:pPr>
        <w:spacing w:after="0" w:line="260" w:lineRule="auto"/>
        <w:rPr>
          <w:rFonts w:cs="Arial"/>
        </w:rPr>
      </w:pPr>
    </w:p>
    <w:p w14:paraId="5CDE8F93" w14:textId="77777777" w:rsidR="000317F7" w:rsidRDefault="000317F7">
      <w:pPr>
        <w:spacing w:after="0" w:line="260" w:lineRule="auto"/>
        <w:rPr>
          <w:rFonts w:cs="Arial"/>
        </w:rPr>
      </w:pPr>
    </w:p>
    <w:p w14:paraId="6136E6D2" w14:textId="77777777" w:rsidR="000317F7" w:rsidRDefault="00F06B25">
      <w:pPr>
        <w:spacing w:after="0" w:line="260" w:lineRule="auto"/>
      </w:pPr>
      <w:r>
        <w:tab/>
        <w:t>»(4) Segment MTF se lahko registrira kot razvojni trg MSP, če izpolnjuje pogoje iz prejšnjega odstavka in:</w:t>
      </w:r>
    </w:p>
    <w:p w14:paraId="12420020" w14:textId="77777777" w:rsidR="000317F7" w:rsidRDefault="00F06B25">
      <w:pPr>
        <w:pStyle w:val="tevilnatoka"/>
        <w:spacing w:after="0" w:line="260" w:lineRule="auto"/>
      </w:pPr>
      <w:r>
        <w:tab/>
        <w:t>1. je jasno ločen od drugih tržnih segmentov, ki jih upravlja upravljavec MTF, zanj pa se med drugim uporabljajo drugačno ime, drugačen pravilnik, drugačna strategija trženja in drugačno obveščanje javnosti, posebej pa mu je dodeljena tudi identifikacijska koda trga za segment, registriran kot segment razvojnega trga MSP;</w:t>
      </w:r>
    </w:p>
    <w:p w14:paraId="090B8C71" w14:textId="77777777" w:rsidR="000317F7" w:rsidRDefault="00F06B25">
      <w:pPr>
        <w:pStyle w:val="tevilnatoka"/>
        <w:spacing w:after="0" w:line="260" w:lineRule="auto"/>
      </w:pPr>
      <w:r>
        <w:tab/>
        <w:t>2. se transakcije, opravljene na tem segmentu razvojnega trga MSP, jasno razlikujejo od drugih tržnih dejavnosti v drugih segmentih MTF;</w:t>
      </w:r>
    </w:p>
    <w:p w14:paraId="1B17831A" w14:textId="77777777" w:rsidR="000317F7" w:rsidRDefault="00F06B25">
      <w:pPr>
        <w:pStyle w:val="tevilnatoka"/>
        <w:spacing w:after="0" w:line="260" w:lineRule="auto"/>
      </w:pPr>
      <w:r>
        <w:tab/>
        <w:t>3. MTF s sedežem v Republiki Sloveniji na zahtevo agencije zagotovi izčrpen seznam instrumentov, uvrščenih na ta segment razvojnega trga MSP, ter vse informacije o delovanju segmenta razvojnega trga MSP, ki jih lahko zahteva agencija.«.</w:t>
      </w:r>
    </w:p>
    <w:p w14:paraId="700D2AD3" w14:textId="77777777" w:rsidR="000317F7" w:rsidRDefault="000317F7">
      <w:pPr>
        <w:spacing w:after="0" w:line="260" w:lineRule="auto"/>
        <w:rPr>
          <w:rFonts w:cs="Arial"/>
        </w:rPr>
      </w:pPr>
    </w:p>
    <w:p w14:paraId="4430CB33" w14:textId="77777777" w:rsidR="000317F7" w:rsidRDefault="00F06B25">
      <w:pPr>
        <w:spacing w:after="0" w:line="260" w:lineRule="auto"/>
      </w:pPr>
      <w:r>
        <w:tab/>
        <w:t>Dosedanji četrti odstavek, ki postane peti odstavek, se spremeni tako, da se glasi:</w:t>
      </w:r>
    </w:p>
    <w:p w14:paraId="1EF048C2" w14:textId="77777777" w:rsidR="000317F7" w:rsidRDefault="000317F7">
      <w:pPr>
        <w:spacing w:after="0" w:line="260" w:lineRule="auto"/>
        <w:rPr>
          <w:rFonts w:cs="Arial"/>
        </w:rPr>
      </w:pPr>
    </w:p>
    <w:p w14:paraId="0323FD2B" w14:textId="77777777" w:rsidR="000317F7" w:rsidRDefault="000317F7">
      <w:pPr>
        <w:spacing w:after="0" w:line="260" w:lineRule="auto"/>
        <w:rPr>
          <w:rFonts w:cs="Arial"/>
        </w:rPr>
      </w:pPr>
    </w:p>
    <w:p w14:paraId="16B40110" w14:textId="77777777" w:rsidR="000317F7" w:rsidRDefault="00F06B25">
      <w:pPr>
        <w:spacing w:after="0" w:line="260" w:lineRule="auto"/>
      </w:pPr>
      <w:r>
        <w:tab/>
        <w:t>»(5) Pogoji iz tretjega in četrtega odstavka tega člena ne vplivajo na druge obveznosti upravljavca MTF ali njegovega segmenta, ki jih ima v skladu s tem zakonom. Ne glede na osmi odstavek tega člena lahko upravljavec MTF ali njegovega segmenta za svoj sistem postavi dodatne pogoje.«.</w:t>
      </w:r>
    </w:p>
    <w:p w14:paraId="12997D43" w14:textId="77777777" w:rsidR="000317F7" w:rsidRDefault="000317F7">
      <w:pPr>
        <w:spacing w:after="0" w:line="260" w:lineRule="auto"/>
        <w:rPr>
          <w:rFonts w:cs="Arial"/>
        </w:rPr>
      </w:pPr>
    </w:p>
    <w:p w14:paraId="25673188" w14:textId="77777777" w:rsidR="000317F7" w:rsidRDefault="00F06B25">
      <w:pPr>
        <w:spacing w:after="0" w:line="260" w:lineRule="auto"/>
      </w:pPr>
      <w:r>
        <w:tab/>
        <w:t>Dosedanji peti odstavek, ki postane šesti odstavek, se spremeni tako, da se glasi:</w:t>
      </w:r>
    </w:p>
    <w:p w14:paraId="02E3FF1C" w14:textId="77777777" w:rsidR="000317F7" w:rsidRDefault="000317F7">
      <w:pPr>
        <w:spacing w:after="0" w:line="260" w:lineRule="auto"/>
        <w:rPr>
          <w:rFonts w:cs="Arial"/>
        </w:rPr>
      </w:pPr>
    </w:p>
    <w:p w14:paraId="7FBE7A55" w14:textId="77777777" w:rsidR="000317F7" w:rsidRDefault="000317F7">
      <w:pPr>
        <w:spacing w:after="0" w:line="260" w:lineRule="auto"/>
        <w:rPr>
          <w:rFonts w:cs="Arial"/>
        </w:rPr>
      </w:pPr>
    </w:p>
    <w:p w14:paraId="496812AE" w14:textId="77777777" w:rsidR="000317F7" w:rsidRDefault="00F06B25">
      <w:pPr>
        <w:spacing w:after="0" w:line="260" w:lineRule="auto"/>
      </w:pPr>
      <w:r>
        <w:tab/>
        <w:t>»(6) Agencija MTF s sedežem v Republiki Sloveniji ali njegovemu segmentu odvzame registracijo razvojnega trga MSP, če:</w:t>
      </w:r>
    </w:p>
    <w:p w14:paraId="38A17B19" w14:textId="77777777" w:rsidR="000317F7" w:rsidRDefault="00F06B25">
      <w:pPr>
        <w:pStyle w:val="tevilnatoka"/>
        <w:spacing w:after="0" w:line="260" w:lineRule="auto"/>
      </w:pPr>
      <w:r>
        <w:tab/>
        <w:t>1. to zahteva upravljavec MTF ali njegovega segmenta,</w:t>
      </w:r>
    </w:p>
    <w:p w14:paraId="25FC386A" w14:textId="77777777" w:rsidR="000317F7" w:rsidRDefault="00F06B25">
      <w:pPr>
        <w:pStyle w:val="tevilnatoka"/>
        <w:spacing w:after="0" w:line="260" w:lineRule="auto"/>
      </w:pPr>
      <w:r>
        <w:tab/>
        <w:t>2. ne izpolnjuje pogojev iz tretjega ali četrtega odstavka tega člena.«.</w:t>
      </w:r>
    </w:p>
    <w:p w14:paraId="580CF52D" w14:textId="77777777" w:rsidR="000317F7" w:rsidRDefault="000317F7">
      <w:pPr>
        <w:spacing w:after="0" w:line="260" w:lineRule="auto"/>
        <w:rPr>
          <w:rFonts w:cs="Arial"/>
        </w:rPr>
      </w:pPr>
    </w:p>
    <w:p w14:paraId="0426A1CF" w14:textId="77777777" w:rsidR="000317F7" w:rsidRDefault="00F06B25">
      <w:pPr>
        <w:spacing w:after="0" w:line="260" w:lineRule="auto"/>
      </w:pPr>
      <w:r>
        <w:tab/>
        <w:t>Dosedanji šesti odstavek postane sedmi odstavek.</w:t>
      </w:r>
    </w:p>
    <w:p w14:paraId="591A293C" w14:textId="77777777" w:rsidR="000317F7" w:rsidRDefault="000317F7">
      <w:pPr>
        <w:spacing w:after="0" w:line="260" w:lineRule="auto"/>
        <w:rPr>
          <w:rFonts w:cs="Arial"/>
        </w:rPr>
      </w:pPr>
    </w:p>
    <w:p w14:paraId="5BACD4FC" w14:textId="77777777" w:rsidR="000317F7" w:rsidRDefault="00F06B25">
      <w:pPr>
        <w:spacing w:after="0" w:line="260" w:lineRule="auto"/>
      </w:pPr>
      <w:r>
        <w:tab/>
        <w:t>Dosedanji sedmi odstavek, ki postane osmi odstavek, se spremeni tako, da se glasi:</w:t>
      </w:r>
    </w:p>
    <w:p w14:paraId="1073C0DC" w14:textId="77777777" w:rsidR="000317F7" w:rsidRDefault="000317F7">
      <w:pPr>
        <w:spacing w:after="0" w:line="260" w:lineRule="auto"/>
        <w:rPr>
          <w:rFonts w:cs="Arial"/>
        </w:rPr>
      </w:pPr>
    </w:p>
    <w:p w14:paraId="43BA6E52" w14:textId="77777777" w:rsidR="000317F7" w:rsidRDefault="000317F7">
      <w:pPr>
        <w:spacing w:after="0" w:line="260" w:lineRule="auto"/>
        <w:rPr>
          <w:rFonts w:cs="Arial"/>
        </w:rPr>
      </w:pPr>
    </w:p>
    <w:p w14:paraId="622714AE" w14:textId="77777777" w:rsidR="000317F7" w:rsidRDefault="00F06B25">
      <w:pPr>
        <w:spacing w:after="0" w:line="260" w:lineRule="auto"/>
      </w:pPr>
      <w:r>
        <w:tab/>
        <w:t xml:space="preserve">»(8) Finančni instrument izdajatelja, ki je sprejet v trgovanje na razvojnem trgu MSP, se lahko v trgovanje na drugem razvojnem trgu MSP uvrsti le, če je bil izdajatelj o tem obveščen in temu ni nasprotoval. V tem primeru izdajatelj do drugega razvojnega trga MSP nima obveznosti v zvezi s korporativnim upravljanjem ali z začetnim, stalnim ali priložnostnim razkritjem glede tega drugega razvojnega trga MSP. Kadar drugo mesto trgovanja ni razvojni trg MSP, se izdajatelj obvesti o vseh obveznostih, ki bodo veljale </w:t>
      </w:r>
      <w:r>
        <w:lastRenderedPageBreak/>
        <w:t>zanj v zvezi s korporativnim upravljanjem ali začetnim, stalnim ali priložnostnim razkritjem glede drugega mesta trgovanja.«.</w:t>
      </w:r>
    </w:p>
    <w:p w14:paraId="10514FB3" w14:textId="77777777" w:rsidR="000317F7" w:rsidRDefault="000317F7">
      <w:pPr>
        <w:spacing w:after="0" w:line="260" w:lineRule="auto"/>
        <w:rPr>
          <w:rFonts w:cs="Arial"/>
        </w:rPr>
      </w:pPr>
    </w:p>
    <w:p w14:paraId="1A6B3C81" w14:textId="77777777" w:rsidR="000317F7" w:rsidRDefault="00F06B25">
      <w:pPr>
        <w:spacing w:after="0" w:line="260" w:lineRule="auto"/>
      </w:pPr>
      <w:r>
        <w:tab/>
        <w:t>Dosedanji osmi odstavek postane deveti odstavek.</w:t>
      </w:r>
    </w:p>
    <w:p w14:paraId="1EFCD65D" w14:textId="77777777" w:rsidR="000317F7" w:rsidRDefault="000317F7">
      <w:pPr>
        <w:spacing w:after="0" w:line="260" w:lineRule="auto"/>
        <w:rPr>
          <w:rFonts w:cs="Arial"/>
        </w:rPr>
      </w:pPr>
    </w:p>
    <w:p w14:paraId="64B87BC9" w14:textId="77777777" w:rsidR="000317F7" w:rsidRDefault="00F06B25">
      <w:pPr>
        <w:pStyle w:val="len"/>
        <w:spacing w:line="260" w:lineRule="auto"/>
      </w:pPr>
      <w:r>
        <w:t>14. člen</w:t>
      </w:r>
    </w:p>
    <w:p w14:paraId="1471AB3C" w14:textId="77777777" w:rsidR="000317F7" w:rsidRDefault="000317F7">
      <w:pPr>
        <w:spacing w:after="0" w:line="260" w:lineRule="auto"/>
        <w:rPr>
          <w:rFonts w:cs="Arial"/>
        </w:rPr>
      </w:pPr>
    </w:p>
    <w:p w14:paraId="67C2CEC6" w14:textId="77777777" w:rsidR="000317F7" w:rsidRDefault="00F06B25">
      <w:pPr>
        <w:spacing w:after="0" w:line="260" w:lineRule="auto"/>
      </w:pPr>
      <w:r>
        <w:tab/>
        <w:t>V 347. členu se v osmem odstavku na koncu 19. točke pika nadomesti z vejico in dodajo nove, 20., 21. in 22. točka, ki se glasijo:</w:t>
      </w:r>
    </w:p>
    <w:p w14:paraId="378361B0" w14:textId="77777777" w:rsidR="000317F7" w:rsidRDefault="000317F7">
      <w:pPr>
        <w:spacing w:after="0" w:line="260" w:lineRule="auto"/>
        <w:rPr>
          <w:rFonts w:cs="Arial"/>
        </w:rPr>
      </w:pPr>
    </w:p>
    <w:p w14:paraId="46477C05" w14:textId="77777777" w:rsidR="000317F7" w:rsidRDefault="00F06B25">
      <w:pPr>
        <w:pStyle w:val="tevilnatoka"/>
        <w:spacing w:after="0" w:line="260" w:lineRule="auto"/>
      </w:pPr>
      <w:r>
        <w:tab/>
        <w:t>»20. od borznoposredniške družbe, investicijskega podjetja države članice ali investicijskega podjetja tretje države zahteva, da sprejme vse potrebne ukrepe, na podlagi katerih je mogoče preveriti, ali ima organizacijsko ureditev, s katero zagotavlja, da so raziskave, ki jih plača izdajatelj in jih borznoposredniška družba, investicijsko podjetje države članice ali investicijsko podjetje tretje države pripravi ali distribuira, v skladu s kodeksom ravnanja EU za raziskave, ki jih plača izdajatelj;</w:t>
      </w:r>
    </w:p>
    <w:p w14:paraId="3F6DB8EA" w14:textId="77777777" w:rsidR="000317F7" w:rsidRDefault="00F06B25">
      <w:pPr>
        <w:pStyle w:val="tevilnatoka"/>
        <w:spacing w:after="0" w:line="260" w:lineRule="auto"/>
      </w:pPr>
      <w:r>
        <w:tab/>
        <w:t>21. od borznoposredniške družbe, investicijskega podjetja države članice ali investicijskega podjetja tretje države zahteva prekinitev distribucije raziskav, označenih kot »raziskave, ki jih plača izdajatelj«, če te niso bile pripravljene v skladu s kodeksom ravnanja EU za raziskave, ki jih plača izdajatelj;</w:t>
      </w:r>
    </w:p>
    <w:p w14:paraId="6F5BAE77" w14:textId="77777777" w:rsidR="000317F7" w:rsidRDefault="00F06B25">
      <w:pPr>
        <w:pStyle w:val="tevilnatoka"/>
        <w:spacing w:after="0" w:line="260" w:lineRule="auto"/>
      </w:pPr>
      <w:r>
        <w:tab/>
        <w:t>22. kadar raziskava, označena kot »raziskava, ki jo plača izdajatelj« in ki jo distribuira borznoposredniška družba,  investicijsko podjetje države članice ali investicijsko podjetje tretje države, ni bila pripravljena v skladu s kodeksom ravnanja EU za raziskave, ki jih plača izdajatelj, objavi opozorila, s katerimi se javnost obvesti, da ta raziskava ni bila pripravljena v skladu z navedenim kodeksom ravnanja.«.</w:t>
      </w:r>
    </w:p>
    <w:p w14:paraId="2B40F3AF" w14:textId="77777777" w:rsidR="000317F7" w:rsidRDefault="00F06B25">
      <w:pPr>
        <w:pStyle w:val="len"/>
        <w:spacing w:line="260" w:lineRule="auto"/>
      </w:pPr>
      <w:r>
        <w:t>15. člen</w:t>
      </w:r>
    </w:p>
    <w:p w14:paraId="75D13C24" w14:textId="77777777" w:rsidR="000317F7" w:rsidRDefault="000317F7">
      <w:pPr>
        <w:spacing w:after="0" w:line="260" w:lineRule="auto"/>
        <w:rPr>
          <w:rFonts w:cs="Arial"/>
        </w:rPr>
      </w:pPr>
    </w:p>
    <w:p w14:paraId="76FD1A6D" w14:textId="77777777" w:rsidR="000317F7" w:rsidRDefault="00F06B25">
      <w:pPr>
        <w:spacing w:after="0" w:line="260" w:lineRule="auto"/>
      </w:pPr>
      <w:r>
        <w:tab/>
        <w:t>V 357.a členu se v prvem odstavku beseda »osmega« nadomesti z besedo »devetega«.</w:t>
      </w:r>
    </w:p>
    <w:p w14:paraId="66EBB06C" w14:textId="77777777" w:rsidR="000317F7" w:rsidRDefault="000317F7">
      <w:pPr>
        <w:spacing w:after="0" w:line="260" w:lineRule="auto"/>
        <w:rPr>
          <w:rFonts w:cs="Arial"/>
        </w:rPr>
      </w:pPr>
    </w:p>
    <w:p w14:paraId="7ADBFD91" w14:textId="77777777" w:rsidR="000317F7" w:rsidRDefault="00F06B25">
      <w:pPr>
        <w:pStyle w:val="len"/>
        <w:spacing w:line="260" w:lineRule="auto"/>
      </w:pPr>
      <w:r>
        <w:t>16. člen</w:t>
      </w:r>
    </w:p>
    <w:p w14:paraId="649B97D0" w14:textId="77777777" w:rsidR="000317F7" w:rsidRDefault="000317F7">
      <w:pPr>
        <w:spacing w:after="0" w:line="260" w:lineRule="auto"/>
        <w:rPr>
          <w:rFonts w:cs="Arial"/>
        </w:rPr>
      </w:pPr>
    </w:p>
    <w:p w14:paraId="401BF562" w14:textId="77777777" w:rsidR="000317F7" w:rsidRDefault="00F06B25">
      <w:pPr>
        <w:spacing w:after="0" w:line="260" w:lineRule="auto"/>
      </w:pPr>
      <w:r>
        <w:tab/>
        <w:t>V 362. členu se v 2. točki črta druga alineja, dosedanji tretja in četrta alineja postaneta druga in tretja alineja.</w:t>
      </w:r>
    </w:p>
    <w:p w14:paraId="0BA17CE2" w14:textId="77777777" w:rsidR="000317F7" w:rsidRDefault="000317F7">
      <w:pPr>
        <w:spacing w:after="0" w:line="260" w:lineRule="auto"/>
        <w:rPr>
          <w:rFonts w:cs="Arial"/>
        </w:rPr>
      </w:pPr>
    </w:p>
    <w:p w14:paraId="4D409A21" w14:textId="77777777" w:rsidR="000317F7" w:rsidRDefault="00F06B25">
      <w:pPr>
        <w:pStyle w:val="len"/>
        <w:spacing w:line="260" w:lineRule="auto"/>
      </w:pPr>
      <w:r>
        <w:t>17. člen</w:t>
      </w:r>
    </w:p>
    <w:p w14:paraId="4265CE63" w14:textId="77777777" w:rsidR="000317F7" w:rsidRDefault="000317F7">
      <w:pPr>
        <w:spacing w:after="0" w:line="260" w:lineRule="auto"/>
        <w:rPr>
          <w:rFonts w:cs="Arial"/>
        </w:rPr>
      </w:pPr>
    </w:p>
    <w:p w14:paraId="56AB831B" w14:textId="77777777" w:rsidR="000317F7" w:rsidRDefault="00F06B25">
      <w:pPr>
        <w:spacing w:after="0" w:line="260" w:lineRule="auto"/>
      </w:pPr>
      <w:r>
        <w:tab/>
        <w:t>Besedilo 401. člena se spremeni tako, da se glasi:</w:t>
      </w:r>
    </w:p>
    <w:p w14:paraId="0CD1862B" w14:textId="77777777" w:rsidR="000317F7" w:rsidRDefault="000317F7">
      <w:pPr>
        <w:spacing w:after="0" w:line="260" w:lineRule="auto"/>
        <w:rPr>
          <w:rFonts w:cs="Arial"/>
        </w:rPr>
      </w:pPr>
    </w:p>
    <w:p w14:paraId="5D14CD8D" w14:textId="77777777" w:rsidR="000317F7" w:rsidRDefault="000317F7">
      <w:pPr>
        <w:spacing w:after="0" w:line="260" w:lineRule="auto"/>
        <w:rPr>
          <w:rFonts w:cs="Arial"/>
        </w:rPr>
      </w:pPr>
    </w:p>
    <w:p w14:paraId="021E8154" w14:textId="77777777" w:rsidR="000317F7" w:rsidRDefault="00F06B25">
      <w:pPr>
        <w:spacing w:after="0" w:line="260" w:lineRule="auto"/>
      </w:pPr>
      <w:r>
        <w:tab/>
        <w:t>»(1) V uradno borzno kotacijo se lahko uvrstijo samo delnice, ki izpolnjujejo naslednja dodatna pogoja:</w:t>
      </w:r>
    </w:p>
    <w:p w14:paraId="67542497" w14:textId="77777777" w:rsidR="000317F7" w:rsidRDefault="00F06B25">
      <w:pPr>
        <w:pStyle w:val="tevilnatoka"/>
        <w:spacing w:after="0" w:line="260" w:lineRule="auto"/>
      </w:pPr>
      <w:r>
        <w:tab/>
        <w:t>1. predvidena tržna kapitalizacija izdajatelja, katerega delnice se uvrščajo v uradno borzno kotacijo, ali, če tega ni mogoče oceniti, kapital in rezerve tega izdajatelja, vključno s poslovnim izidom iz zadnjega poslovnega leta, je najmanj 1.000.000 eurov, in</w:t>
      </w:r>
    </w:p>
    <w:p w14:paraId="220CB417" w14:textId="77777777" w:rsidR="000317F7" w:rsidRDefault="00F06B25">
      <w:pPr>
        <w:pStyle w:val="tevilnatoka"/>
        <w:spacing w:after="0" w:line="260" w:lineRule="auto"/>
      </w:pPr>
      <w:r>
        <w:tab/>
        <w:t>2. ob uvrstitvi v uradno borzno kotacijo je v lasti javnosti vsaj 10 % vpisanega kapitala, ki ga predstavlja razred delnic, na katerega se nanaša zahteva za uvrstitev v uradno borzno kotacijo.</w:t>
      </w:r>
    </w:p>
    <w:p w14:paraId="5C658ACE" w14:textId="77777777" w:rsidR="000317F7" w:rsidRDefault="000317F7">
      <w:pPr>
        <w:spacing w:after="0" w:line="260" w:lineRule="auto"/>
        <w:rPr>
          <w:rFonts w:cs="Arial"/>
        </w:rPr>
      </w:pPr>
    </w:p>
    <w:p w14:paraId="3E8AE05F" w14:textId="77777777" w:rsidR="000317F7" w:rsidRDefault="00F06B25">
      <w:pPr>
        <w:spacing w:after="0" w:line="260" w:lineRule="auto"/>
      </w:pPr>
      <w:r>
        <w:lastRenderedPageBreak/>
        <w:tab/>
        <w:t>(2) Zahteva za uvrstitev delnic v uradno borzno kotacijo se nanaša na celotno količino že izdanih delnic istega razreda.</w:t>
      </w:r>
    </w:p>
    <w:p w14:paraId="70CE66B0" w14:textId="77777777" w:rsidR="000317F7" w:rsidRDefault="000317F7">
      <w:pPr>
        <w:spacing w:after="0" w:line="260" w:lineRule="auto"/>
        <w:rPr>
          <w:rFonts w:cs="Arial"/>
        </w:rPr>
      </w:pPr>
    </w:p>
    <w:p w14:paraId="39466766" w14:textId="77777777" w:rsidR="000317F7" w:rsidRDefault="00F06B25">
      <w:pPr>
        <w:spacing w:after="0" w:line="260" w:lineRule="auto"/>
      </w:pPr>
      <w:r>
        <w:tab/>
        <w:t>(3) Pogoj iz 1. točke prvega odstavka tega člena se za uvrstitev delnic, ki so zamenljive z delnicami, ki so že bile uvrščene v trgovanje na borznem trgu, ne uporablja.</w:t>
      </w:r>
    </w:p>
    <w:p w14:paraId="5CF97876" w14:textId="77777777" w:rsidR="000317F7" w:rsidRDefault="000317F7">
      <w:pPr>
        <w:spacing w:after="0" w:line="260" w:lineRule="auto"/>
        <w:rPr>
          <w:rFonts w:cs="Arial"/>
        </w:rPr>
      </w:pPr>
    </w:p>
    <w:p w14:paraId="698F40D9" w14:textId="77777777" w:rsidR="000317F7" w:rsidRDefault="00F06B25">
      <w:pPr>
        <w:spacing w:after="0" w:line="260" w:lineRule="auto"/>
      </w:pPr>
      <w:r>
        <w:tab/>
        <w:t>(4) Ne glede na 2. točko prvega odstavka tega člena se v uradno borzno kotacijo izjemoma lahko uvrstijo tudi delnice, glede katerih pogoj iz navedene točke ni izpolnjen, če je zagotovljeno pravilno delovanje trga in je izpolnjena vsaj ena od naslednjih zahtev:</w:t>
      </w:r>
    </w:p>
    <w:p w14:paraId="37B7B9F2" w14:textId="77777777" w:rsidR="000317F7" w:rsidRDefault="00F06B25">
      <w:pPr>
        <w:spacing w:after="0" w:line="260" w:lineRule="auto"/>
      </w:pPr>
      <w:r>
        <w:tab/>
        <w:t>– javnost ima v lasti zadostno število delnic,</w:t>
      </w:r>
    </w:p>
    <w:p w14:paraId="1E654F15" w14:textId="77777777" w:rsidR="000317F7" w:rsidRDefault="00F06B25">
      <w:pPr>
        <w:spacing w:after="0" w:line="260" w:lineRule="auto"/>
      </w:pPr>
      <w:r>
        <w:tab/>
        <w:t>– delnice so v lasti zadostnega števila delničarjev, ali</w:t>
      </w:r>
    </w:p>
    <w:p w14:paraId="2F97AE20" w14:textId="77777777" w:rsidR="000317F7" w:rsidRDefault="00F06B25">
      <w:pPr>
        <w:spacing w:after="0" w:line="260" w:lineRule="auto"/>
      </w:pPr>
      <w:r>
        <w:tab/>
        <w:t>– tržna vrednost delnic v lasti javnosti predstavlja zadostno raven vpisanega kapitala v zadevnem razredu delnic.</w:t>
      </w:r>
    </w:p>
    <w:p w14:paraId="68FFBEC4" w14:textId="77777777" w:rsidR="000317F7" w:rsidRDefault="000317F7">
      <w:pPr>
        <w:spacing w:after="0" w:line="260" w:lineRule="auto"/>
        <w:rPr>
          <w:rFonts w:cs="Arial"/>
        </w:rPr>
      </w:pPr>
    </w:p>
    <w:p w14:paraId="3646476F" w14:textId="77777777" w:rsidR="000317F7" w:rsidRDefault="00F06B25">
      <w:pPr>
        <w:spacing w:after="0" w:line="260" w:lineRule="auto"/>
      </w:pPr>
      <w:r>
        <w:tab/>
        <w:t>(5) Kadar se zaprosi za uvrstitev v uradno borzno kotacijo za delnice, zamenljive z delnicami, ki so že bile uvrščene v trgovanje na borznem trgu, se za izpolnitev zahteve iz 2. točke prvega odstavka tega člena oceni, ali je bilo javnosti razdeljeno zadostno število delnic v razmerju do vseh izdanih delnic in ne le v razmerju do delnic, zamenljivih z delnicami, ki so že bile uvrščene v trgovanje na borznem trgu.«.</w:t>
      </w:r>
    </w:p>
    <w:p w14:paraId="412F4C2F" w14:textId="77777777" w:rsidR="000317F7" w:rsidRDefault="00F06B25">
      <w:pPr>
        <w:pStyle w:val="len"/>
        <w:spacing w:line="260" w:lineRule="auto"/>
      </w:pPr>
      <w:r>
        <w:t>18. člen</w:t>
      </w:r>
    </w:p>
    <w:p w14:paraId="4E8A7F44" w14:textId="77777777" w:rsidR="000317F7" w:rsidRDefault="000317F7">
      <w:pPr>
        <w:spacing w:after="0" w:line="260" w:lineRule="auto"/>
        <w:rPr>
          <w:rFonts w:cs="Arial"/>
        </w:rPr>
      </w:pPr>
    </w:p>
    <w:p w14:paraId="32412587" w14:textId="77777777" w:rsidR="000317F7" w:rsidRDefault="00F06B25">
      <w:pPr>
        <w:spacing w:after="0" w:line="260" w:lineRule="auto"/>
      </w:pPr>
      <w:r>
        <w:tab/>
        <w:t>V 426. členu se v tretjem odstavku v 6. točki beseda »in« na koncu črta.</w:t>
      </w:r>
    </w:p>
    <w:p w14:paraId="08496D02" w14:textId="77777777" w:rsidR="000317F7" w:rsidRDefault="000317F7">
      <w:pPr>
        <w:spacing w:after="0" w:line="260" w:lineRule="auto"/>
        <w:rPr>
          <w:rFonts w:cs="Arial"/>
        </w:rPr>
      </w:pPr>
    </w:p>
    <w:p w14:paraId="03E7ABB7" w14:textId="77777777" w:rsidR="000317F7" w:rsidRDefault="00F06B25">
      <w:pPr>
        <w:spacing w:after="0" w:line="260" w:lineRule="auto"/>
      </w:pPr>
      <w:r>
        <w:tab/>
        <w:t>V 7. točki se pika nadomesti z besedilom »in,« ter doda nova, 8. točka, ki se glasi:</w:t>
      </w:r>
    </w:p>
    <w:p w14:paraId="69B3319E" w14:textId="77777777" w:rsidR="000317F7" w:rsidRDefault="000317F7">
      <w:pPr>
        <w:spacing w:after="0" w:line="260" w:lineRule="auto"/>
        <w:rPr>
          <w:rFonts w:cs="Arial"/>
        </w:rPr>
      </w:pPr>
    </w:p>
    <w:p w14:paraId="1A8365B3" w14:textId="77777777" w:rsidR="000317F7" w:rsidRDefault="00F06B25">
      <w:pPr>
        <w:pStyle w:val="tevilnatoka"/>
        <w:spacing w:after="0" w:line="260" w:lineRule="auto"/>
      </w:pPr>
      <w:r>
        <w:tab/>
        <w:t>»8. poslabšanje pravnega položaja osebe, odgovorne za kršitev, zaradi vzporednega vodenja kaznovalnega in upravnega postopka za isto ravnanje.«.</w:t>
      </w:r>
    </w:p>
    <w:p w14:paraId="3DE13BB3" w14:textId="77777777" w:rsidR="000317F7" w:rsidRDefault="00F06B25">
      <w:pPr>
        <w:pStyle w:val="len"/>
        <w:spacing w:line="260" w:lineRule="auto"/>
      </w:pPr>
      <w:r>
        <w:t>19. člen</w:t>
      </w:r>
    </w:p>
    <w:p w14:paraId="04BC1A4C" w14:textId="77777777" w:rsidR="000317F7" w:rsidRDefault="000317F7">
      <w:pPr>
        <w:spacing w:after="0" w:line="260" w:lineRule="auto"/>
        <w:rPr>
          <w:rFonts w:cs="Arial"/>
        </w:rPr>
      </w:pPr>
    </w:p>
    <w:p w14:paraId="3F498809" w14:textId="6DD389EC" w:rsidR="000317F7" w:rsidRDefault="00F06B25">
      <w:pPr>
        <w:spacing w:after="0" w:line="260" w:lineRule="auto"/>
      </w:pPr>
      <w:r>
        <w:tab/>
      </w:r>
      <w:r w:rsidR="00C85571" w:rsidRPr="00C85571">
        <w:t>516. člen se spremeni tako, da se glasi:</w:t>
      </w:r>
    </w:p>
    <w:p w14:paraId="02F4A47B" w14:textId="77777777" w:rsidR="000317F7" w:rsidRDefault="000317F7">
      <w:pPr>
        <w:spacing w:after="0" w:line="260" w:lineRule="auto"/>
        <w:rPr>
          <w:rFonts w:cs="Arial"/>
        </w:rPr>
      </w:pPr>
    </w:p>
    <w:p w14:paraId="7E56A2AD" w14:textId="77777777" w:rsidR="000317F7" w:rsidRDefault="000317F7">
      <w:pPr>
        <w:spacing w:after="0" w:line="260" w:lineRule="auto"/>
        <w:rPr>
          <w:rFonts w:cs="Arial"/>
        </w:rPr>
      </w:pPr>
    </w:p>
    <w:p w14:paraId="5CABB631" w14:textId="77777777" w:rsidR="000317F7" w:rsidRDefault="00F06B25">
      <w:pPr>
        <w:pStyle w:val="lennaslov"/>
        <w:spacing w:line="260" w:lineRule="auto"/>
      </w:pPr>
      <w:r>
        <w:t xml:space="preserve">»516. člen </w:t>
      </w:r>
      <w:r>
        <w:br/>
        <w:t>(posebna pravila za odločanje o zahtevi za izdajo dovoljenja za pridobitev kvalificiranega deleža)</w:t>
      </w:r>
    </w:p>
    <w:p w14:paraId="42796392" w14:textId="77777777" w:rsidR="000317F7" w:rsidRDefault="000317F7">
      <w:pPr>
        <w:spacing w:after="0" w:line="260" w:lineRule="auto"/>
        <w:rPr>
          <w:rFonts w:cs="Arial"/>
        </w:rPr>
      </w:pPr>
    </w:p>
    <w:p w14:paraId="45EDB5D9" w14:textId="77777777" w:rsidR="000317F7" w:rsidRDefault="00F06B25">
      <w:pPr>
        <w:spacing w:after="0" w:line="260" w:lineRule="auto"/>
      </w:pPr>
      <w:r>
        <w:tab/>
        <w:t>(1) Agencija v dveh delovnih dneh vložniku zahteve izda potrdilo o prejemu zahteve za izdajo dovoljenja za pridobitev kvalificiranega deleža.</w:t>
      </w:r>
    </w:p>
    <w:p w14:paraId="4B662F8E" w14:textId="77777777" w:rsidR="000317F7" w:rsidRDefault="000317F7">
      <w:pPr>
        <w:spacing w:after="0" w:line="260" w:lineRule="auto"/>
        <w:rPr>
          <w:rFonts w:cs="Arial"/>
        </w:rPr>
      </w:pPr>
    </w:p>
    <w:p w14:paraId="2A3B3FBE" w14:textId="77777777" w:rsidR="000317F7" w:rsidRDefault="00F06B25">
      <w:pPr>
        <w:spacing w:after="0" w:line="260" w:lineRule="auto"/>
      </w:pPr>
      <w:r>
        <w:tab/>
        <w:t>(2) Ne glede na drugi odstavek 515. člena tega zakona agencija o zahtevi za izdajo dovoljenja za pridobitev kvalificiranega deleža odloči v 60 delovnih dneh od izdaje potrdila o prejemu zahteve za izdajo dovoljenja za pridobitev kvalificiranega deleža.</w:t>
      </w:r>
    </w:p>
    <w:p w14:paraId="3E0917BE" w14:textId="77777777" w:rsidR="000317F7" w:rsidRDefault="000317F7">
      <w:pPr>
        <w:spacing w:after="0" w:line="260" w:lineRule="auto"/>
        <w:rPr>
          <w:rFonts w:cs="Arial"/>
        </w:rPr>
      </w:pPr>
    </w:p>
    <w:p w14:paraId="7DE0A4F1" w14:textId="77777777" w:rsidR="000317F7" w:rsidRDefault="00F06B25">
      <w:pPr>
        <w:spacing w:after="0" w:line="260" w:lineRule="auto"/>
      </w:pPr>
      <w:r>
        <w:tab/>
        <w:t>(3) Agencija v potrdilu iz prvega odstavka tega člena navede dan, s katerim poteče rok iz prejšnjega odstavka.</w:t>
      </w:r>
    </w:p>
    <w:p w14:paraId="2E24B859" w14:textId="77777777" w:rsidR="000317F7" w:rsidRDefault="000317F7">
      <w:pPr>
        <w:spacing w:after="0" w:line="260" w:lineRule="auto"/>
        <w:rPr>
          <w:rFonts w:cs="Arial"/>
        </w:rPr>
      </w:pPr>
    </w:p>
    <w:p w14:paraId="51C0FF7B" w14:textId="77777777" w:rsidR="000317F7" w:rsidRDefault="00F06B25">
      <w:pPr>
        <w:spacing w:after="0" w:line="260" w:lineRule="auto"/>
      </w:pPr>
      <w:r>
        <w:tab/>
        <w:t>(4) V postopku odločanja o zahtevi za pridobitev kvalificiranega deleža se ne uporabljajo 2. točka prvega odstavka, drugi odstavek in 2. točka tretjega odstavka 513. člena in četrti odstavek 515. člena tega zakona.</w:t>
      </w:r>
    </w:p>
    <w:p w14:paraId="7415E0A8" w14:textId="77777777" w:rsidR="000317F7" w:rsidRDefault="000317F7">
      <w:pPr>
        <w:spacing w:after="0" w:line="260" w:lineRule="auto"/>
        <w:rPr>
          <w:rFonts w:cs="Arial"/>
        </w:rPr>
      </w:pPr>
    </w:p>
    <w:p w14:paraId="0658781C" w14:textId="77777777" w:rsidR="000317F7" w:rsidRDefault="00F06B25">
      <w:pPr>
        <w:spacing w:after="0" w:line="260" w:lineRule="auto"/>
      </w:pPr>
      <w:r>
        <w:lastRenderedPageBreak/>
        <w:tab/>
        <w:t>(5) Agencija lahko od vložnika zahteva, da predloži dodatne informacije ali dokumente, potrebne za presojo primernosti bodočega kvalificiranega imetnika (v nadaljnjem besedilu: zahteva za dodatne informacije ali dokumente), če tako zahtevo izda najpozneje 50. delovni dan od izdaje potrdila o prejemu zahteve za izdajo dovoljenja za pridobitev kvalificiranega deleža.</w:t>
      </w:r>
    </w:p>
    <w:p w14:paraId="0B046D04" w14:textId="77777777" w:rsidR="000317F7" w:rsidRDefault="000317F7">
      <w:pPr>
        <w:spacing w:after="0" w:line="260" w:lineRule="auto"/>
        <w:rPr>
          <w:rFonts w:cs="Arial"/>
        </w:rPr>
      </w:pPr>
    </w:p>
    <w:p w14:paraId="43D6F7B0" w14:textId="77777777" w:rsidR="000317F7" w:rsidRDefault="00F06B25">
      <w:pPr>
        <w:spacing w:after="0" w:line="260" w:lineRule="auto"/>
      </w:pPr>
      <w:r>
        <w:tab/>
        <w:t>(6) Če agencija izda zahtevo za dodatne informacije ali dokumente v skladu s prejšnjim odstavkom ali sklep o dopolnitvi zahteve iz tretjega odstavka 512. člena tega zakona, se tek roka iz drugega odstavka tega člena zadrži za čas od izdaje zahteve za dodatne informacije ali dokumente oziroma sklepa o dopolnitvi do dneva, ko vložnik predloži dodatne informacije ali dokumente oziroma dopolni zahtevo, vendar največ za 20 delovnih dni od izdaje prve zahteve oziroma sklepa. Agencija lahko po prejemu informacij in dokumentov na podlagi prve zahteve v skladu s prejšnjim odstavkom zahteva še dodatne informacije ali dokumente, vendar druga in naslednje zahteve agencije za dodatne informacije ali dokumente ne zadržijo teka roka iz drugega odstavka tega člena.</w:t>
      </w:r>
    </w:p>
    <w:p w14:paraId="28E8EE7C" w14:textId="77777777" w:rsidR="000317F7" w:rsidRDefault="000317F7">
      <w:pPr>
        <w:spacing w:after="0" w:line="260" w:lineRule="auto"/>
        <w:rPr>
          <w:rFonts w:cs="Arial"/>
        </w:rPr>
      </w:pPr>
    </w:p>
    <w:p w14:paraId="0B11D2D5" w14:textId="77777777" w:rsidR="000317F7" w:rsidRDefault="00F06B25">
      <w:pPr>
        <w:spacing w:after="0" w:line="260" w:lineRule="auto"/>
      </w:pPr>
      <w:r>
        <w:tab/>
        <w:t>(7) Ne glede na prejšnji odstavek lahko agencija s prvo zahtevo za dodatne informacije ali dokumente oziroma sklepom o dopolnitvi odloči, da se tek roka iz drugega odstavka tega člena zadrži za več kot 20 delovnih dni, vendar največ za 30 delovnih dni od izdaje te zahteve oziroma sklepa, če:</w:t>
      </w:r>
    </w:p>
    <w:p w14:paraId="45D1E94E" w14:textId="77777777" w:rsidR="000317F7" w:rsidRDefault="00F06B25">
      <w:pPr>
        <w:pStyle w:val="tevilnatoka"/>
        <w:spacing w:after="0" w:line="260" w:lineRule="auto"/>
      </w:pPr>
      <w:r>
        <w:tab/>
        <w:t>1. je bodoči kvalificirani imetnik oseba tretje države ali </w:t>
      </w:r>
    </w:p>
    <w:p w14:paraId="20F02A75" w14:textId="77777777" w:rsidR="000317F7" w:rsidRDefault="00F06B25">
      <w:pPr>
        <w:pStyle w:val="tevilnatoka"/>
        <w:spacing w:after="0" w:line="260" w:lineRule="auto"/>
      </w:pPr>
      <w:r>
        <w:tab/>
        <w:t>2. bodoči kvalificirani imetnik nima položaja kreditne institucije, investicijskega podjetja, družbe za upravljanje, kolektivnega naložbenega podjema, zavarovalnice ali pozavarovalnice.</w:t>
      </w:r>
    </w:p>
    <w:p w14:paraId="38998B2B" w14:textId="77777777" w:rsidR="000317F7" w:rsidRDefault="000317F7">
      <w:pPr>
        <w:spacing w:after="0" w:line="260" w:lineRule="auto"/>
        <w:rPr>
          <w:rFonts w:cs="Arial"/>
        </w:rPr>
      </w:pPr>
    </w:p>
    <w:p w14:paraId="757CC117" w14:textId="77777777" w:rsidR="000317F7" w:rsidRDefault="00F06B25">
      <w:pPr>
        <w:spacing w:after="0" w:line="260" w:lineRule="auto"/>
      </w:pPr>
      <w:r>
        <w:tab/>
        <w:t>(8) Agencija vložniku zahteve v dveh delovnih dneh po prejemu dodatnih informacij ali dokumentov na podlagi zahteve iz petega odstavka tega člena oziroma prejemu dopolnitve zahteve v skladu s sklepom o odpravi pomanjkljivosti izda potrdilo o prejemu dodatnih informacij ali dokumentov. V potrdilu o prejemu dodatnih informacij ali dokumentov na podlagi prve zahteve ali sklepa je naveden dan, s katerim poteče rok iz drugega odstavka tega člena ob upoštevanju njegovega zadržanja po šestem ali sedmem odstavku tega člena.</w:t>
      </w:r>
    </w:p>
    <w:p w14:paraId="4E0892B4" w14:textId="77777777" w:rsidR="000317F7" w:rsidRDefault="000317F7">
      <w:pPr>
        <w:spacing w:after="0" w:line="260" w:lineRule="auto"/>
        <w:rPr>
          <w:rFonts w:cs="Arial"/>
        </w:rPr>
      </w:pPr>
    </w:p>
    <w:p w14:paraId="39F0ED44" w14:textId="77777777" w:rsidR="000317F7" w:rsidRDefault="00F06B25">
      <w:pPr>
        <w:spacing w:after="0" w:line="260" w:lineRule="auto"/>
      </w:pPr>
      <w:r>
        <w:tab/>
        <w:t>(9) Če agencija zavrne zahtevo za izdajo dovoljenja za pridobitev kvalificiranega deleža, v dveh delovnih dneh po sprejetju te odločitve in do poteka roka iz drugega odstavka tega člena ob upoštevanju morebitnega zadržanja po šestem ali sedmem odstavku tega člena izda in odpravi pisni odpravek odločbe o zavrnitvi zahteve za izdajo dovoljenja za pridobitev kvalificiranega deleža.</w:t>
      </w:r>
    </w:p>
    <w:p w14:paraId="6ACB166D" w14:textId="77777777" w:rsidR="000317F7" w:rsidRDefault="000317F7">
      <w:pPr>
        <w:spacing w:after="0" w:line="260" w:lineRule="auto"/>
        <w:rPr>
          <w:rFonts w:cs="Arial"/>
        </w:rPr>
      </w:pPr>
    </w:p>
    <w:p w14:paraId="0C2853CE" w14:textId="77777777" w:rsidR="000317F7" w:rsidRDefault="00F06B25">
      <w:pPr>
        <w:spacing w:after="0" w:line="260" w:lineRule="auto"/>
      </w:pPr>
      <w:r>
        <w:tab/>
        <w:t>(10) Če agencija do poteka roka iz drugega odstavka tega člena ob upoštevanju morebitnega zadržanja po šestem ali sedmem odstavku tega člena ne izda in odpravi pisnega odpravka odločbe o zavrnitvi ali zavrženju zahteve za dovoljenje za pridobitev kvalificiranega deleža, se šteje, da je z dnem, s katerim poteče ta rok, izdala dovoljenje za pridobitev kvalificiranega deleža, za katerega je kvalificirani imetnik zahteval izdajo tega dovoljenja.</w:t>
      </w:r>
    </w:p>
    <w:p w14:paraId="0223B139" w14:textId="77777777" w:rsidR="000317F7" w:rsidRDefault="000317F7">
      <w:pPr>
        <w:spacing w:after="0" w:line="260" w:lineRule="auto"/>
        <w:rPr>
          <w:rFonts w:cs="Arial"/>
        </w:rPr>
      </w:pPr>
    </w:p>
    <w:p w14:paraId="2E5291B4" w14:textId="77777777" w:rsidR="000317F7" w:rsidRDefault="00F06B25">
      <w:pPr>
        <w:spacing w:after="0" w:line="260" w:lineRule="auto"/>
      </w:pPr>
      <w:r>
        <w:tab/>
        <w:t>(11) V primeru iz prejšnjega odstavka agencija na zahtevo kvalificiranega imetnika izda ugotovitveno odločbo, s katero ugotovi, da je dovoljenje izdano v osmih dneh od prejema zahteve za izdajo te ugotovitvene odločbe.</w:t>
      </w:r>
    </w:p>
    <w:p w14:paraId="30AC7080" w14:textId="77777777" w:rsidR="000317F7" w:rsidRDefault="000317F7">
      <w:pPr>
        <w:spacing w:after="0" w:line="260" w:lineRule="auto"/>
        <w:rPr>
          <w:rFonts w:cs="Arial"/>
        </w:rPr>
      </w:pPr>
    </w:p>
    <w:p w14:paraId="62649B44" w14:textId="77777777" w:rsidR="000317F7" w:rsidRDefault="00F06B25">
      <w:pPr>
        <w:spacing w:after="0" w:line="260" w:lineRule="auto"/>
      </w:pPr>
      <w:r>
        <w:tab/>
        <w:t>(12) Ne glede na prvi odstavek 488. člena ZTFI agencija na svojih javnih spletnih straneh objavi izvleček odločbe o zavrnitvi zahteve za izdajo dovoljenja za pridobitev kvalificiranega deleža s povzetkom razlogov za tako odločitev, če tako zahteva vložnik te zahteve.«.</w:t>
      </w:r>
    </w:p>
    <w:p w14:paraId="48A56575" w14:textId="77777777" w:rsidR="000317F7" w:rsidRDefault="00F06B25">
      <w:pPr>
        <w:pStyle w:val="len"/>
        <w:spacing w:line="260" w:lineRule="auto"/>
      </w:pPr>
      <w:r>
        <w:t>20. člen</w:t>
      </w:r>
    </w:p>
    <w:p w14:paraId="0C32069C" w14:textId="77777777" w:rsidR="000317F7" w:rsidRDefault="000317F7">
      <w:pPr>
        <w:spacing w:after="0" w:line="260" w:lineRule="auto"/>
        <w:rPr>
          <w:rFonts w:cs="Arial"/>
        </w:rPr>
      </w:pPr>
    </w:p>
    <w:p w14:paraId="76343E9F" w14:textId="77777777" w:rsidR="000317F7" w:rsidRDefault="00F06B25">
      <w:pPr>
        <w:spacing w:after="0" w:line="260" w:lineRule="auto"/>
      </w:pPr>
      <w:r>
        <w:tab/>
        <w:t>V 531. členu v prvem odstavku se za 11. točko dodajo nove 12., 13., 14. in 15. točka, ki se glasijo:</w:t>
      </w:r>
    </w:p>
    <w:p w14:paraId="4D53638E" w14:textId="77777777" w:rsidR="000317F7" w:rsidRDefault="000317F7">
      <w:pPr>
        <w:spacing w:after="0" w:line="260" w:lineRule="auto"/>
        <w:rPr>
          <w:rFonts w:cs="Arial"/>
        </w:rPr>
      </w:pPr>
    </w:p>
    <w:p w14:paraId="131F19ED" w14:textId="77777777" w:rsidR="000317F7" w:rsidRDefault="000317F7">
      <w:pPr>
        <w:spacing w:after="0" w:line="260" w:lineRule="auto"/>
        <w:rPr>
          <w:rFonts w:cs="Arial"/>
        </w:rPr>
      </w:pPr>
    </w:p>
    <w:p w14:paraId="2B325CAF" w14:textId="77777777" w:rsidR="000317F7" w:rsidRDefault="00F06B25">
      <w:pPr>
        <w:spacing w:after="0" w:line="260" w:lineRule="auto"/>
      </w:pPr>
      <w:r>
        <w:tab/>
        <w:t>»12. ne zagotovi, da so raziskave, ki jih pripravlja ali razširja, poštene, jasne in niso zavajajoče (prvi odstavek 251.a člena tega zakona);</w:t>
      </w:r>
    </w:p>
    <w:p w14:paraId="461A7945" w14:textId="77777777" w:rsidR="000317F7" w:rsidRDefault="000317F7">
      <w:pPr>
        <w:spacing w:after="0" w:line="260" w:lineRule="auto"/>
        <w:rPr>
          <w:rFonts w:cs="Arial"/>
        </w:rPr>
      </w:pPr>
    </w:p>
    <w:p w14:paraId="00AB21CA" w14:textId="77777777" w:rsidR="000317F7" w:rsidRDefault="00F06B25">
      <w:pPr>
        <w:spacing w:after="0" w:line="260" w:lineRule="auto"/>
      </w:pPr>
      <w:r>
        <w:tab/>
        <w:t>13. razširja raziskave, označene kot »raziskave, ki jih plača izdajatelj«, ki pa niso bile pripravljene v skladu s kodeksom ravnanja EU za raziskave, ki jih plača izdajatelj (tretji odstavek 251.a člena tega zakona);</w:t>
      </w:r>
    </w:p>
    <w:p w14:paraId="403BEE11" w14:textId="77777777" w:rsidR="000317F7" w:rsidRDefault="000317F7">
      <w:pPr>
        <w:spacing w:after="0" w:line="260" w:lineRule="auto"/>
        <w:rPr>
          <w:rFonts w:cs="Arial"/>
        </w:rPr>
      </w:pPr>
    </w:p>
    <w:p w14:paraId="5628D80B" w14:textId="77777777" w:rsidR="000317F7" w:rsidRDefault="00F06B25">
      <w:pPr>
        <w:spacing w:after="0" w:line="260" w:lineRule="auto"/>
      </w:pPr>
      <w:r>
        <w:tab/>
        <w:t>14. ne izpolnjuje zahtev iz prvega odstavka 251.b člena tega zakona glede plačevanja raziskav;</w:t>
      </w:r>
    </w:p>
    <w:p w14:paraId="77F50971" w14:textId="77777777" w:rsidR="000317F7" w:rsidRDefault="000317F7">
      <w:pPr>
        <w:spacing w:after="0" w:line="260" w:lineRule="auto"/>
        <w:rPr>
          <w:rFonts w:cs="Arial"/>
        </w:rPr>
      </w:pPr>
    </w:p>
    <w:p w14:paraId="0E782007" w14:textId="77777777" w:rsidR="000317F7" w:rsidRDefault="00F06B25">
      <w:pPr>
        <w:spacing w:after="0" w:line="260" w:lineRule="auto"/>
      </w:pPr>
      <w:r>
        <w:tab/>
        <w:t>15. ne vodi evidence skupnih stroškov, povezanih z raziskavami, ali ne zagotovi informacij o teh stroških strankam v skladu s šestim odstavkom 251.b člena tega zakona;«.</w:t>
      </w:r>
    </w:p>
    <w:p w14:paraId="31715647" w14:textId="77777777" w:rsidR="000317F7" w:rsidRDefault="000317F7">
      <w:pPr>
        <w:spacing w:after="0" w:line="260" w:lineRule="auto"/>
        <w:rPr>
          <w:rFonts w:cs="Arial"/>
        </w:rPr>
      </w:pPr>
    </w:p>
    <w:p w14:paraId="6407C24C" w14:textId="77777777" w:rsidR="000317F7" w:rsidRDefault="00F06B25">
      <w:pPr>
        <w:spacing w:after="0" w:line="260" w:lineRule="auto"/>
      </w:pPr>
      <w:r>
        <w:tab/>
        <w:t>Dosedanje 12. do 36. točka postanejo 16. do 40. točka.</w:t>
      </w:r>
    </w:p>
    <w:p w14:paraId="18B5DC04" w14:textId="77777777" w:rsidR="000317F7" w:rsidRDefault="000317F7">
      <w:pPr>
        <w:spacing w:after="0" w:line="260" w:lineRule="auto"/>
        <w:rPr>
          <w:rFonts w:cs="Arial"/>
        </w:rPr>
      </w:pPr>
    </w:p>
    <w:p w14:paraId="13C64957" w14:textId="77777777" w:rsidR="000317F7" w:rsidRDefault="00F06B25">
      <w:pPr>
        <w:pStyle w:val="len"/>
        <w:spacing w:line="260" w:lineRule="auto"/>
      </w:pPr>
      <w:r>
        <w:t>21. člen</w:t>
      </w:r>
    </w:p>
    <w:p w14:paraId="38F857D0" w14:textId="77777777" w:rsidR="000317F7" w:rsidRDefault="000317F7">
      <w:pPr>
        <w:spacing w:after="0" w:line="260" w:lineRule="auto"/>
        <w:rPr>
          <w:rFonts w:cs="Arial"/>
        </w:rPr>
      </w:pPr>
    </w:p>
    <w:p w14:paraId="2A4D8BCC" w14:textId="77777777" w:rsidR="000317F7" w:rsidRDefault="00F06B25">
      <w:pPr>
        <w:spacing w:after="0" w:line="260" w:lineRule="auto"/>
      </w:pPr>
      <w:r>
        <w:tab/>
        <w:t>V 540. členu se v drugem odstavku v 3. točki za besedilom »1.000.000 eurov« črta vejica in doda besedilo »ali 0,8 % skupnega letnega prometa pravne osebe v skladu z zadnjimi razpoložljivimi računovodskimi izkazi, ki jih je odobril upravljalni organ, ali, kadar pravna oseba pripravi konsolidirane računovodske izkaze na podlagi ZGD-1, pri čemer se upošteva višji znesek,«.</w:t>
      </w:r>
    </w:p>
    <w:p w14:paraId="7BF8E4A7" w14:textId="77777777" w:rsidR="000317F7" w:rsidRDefault="000317F7">
      <w:pPr>
        <w:spacing w:after="0" w:line="260" w:lineRule="auto"/>
        <w:rPr>
          <w:rFonts w:cs="Arial"/>
        </w:rPr>
      </w:pPr>
    </w:p>
    <w:p w14:paraId="1668C8D1" w14:textId="77777777" w:rsidR="000317F7" w:rsidRDefault="00F06B25">
      <w:pPr>
        <w:pStyle w:val="len"/>
        <w:spacing w:line="260" w:lineRule="auto"/>
      </w:pPr>
      <w:r>
        <w:t>22. člen</w:t>
      </w:r>
    </w:p>
    <w:p w14:paraId="4CECAE00" w14:textId="77777777" w:rsidR="000317F7" w:rsidRDefault="000317F7">
      <w:pPr>
        <w:spacing w:after="0" w:line="260" w:lineRule="auto"/>
        <w:rPr>
          <w:rFonts w:cs="Arial"/>
        </w:rPr>
      </w:pPr>
    </w:p>
    <w:p w14:paraId="2EDC190E" w14:textId="77777777" w:rsidR="000317F7" w:rsidRDefault="00F06B25">
      <w:pPr>
        <w:spacing w:after="0" w:line="260" w:lineRule="auto"/>
      </w:pPr>
      <w:r>
        <w:tab/>
        <w:t>V 542. členu se za 17. točko doda nova 18. točka, ki se glasi:</w:t>
      </w:r>
    </w:p>
    <w:p w14:paraId="4CBA0CDF" w14:textId="77777777" w:rsidR="000317F7" w:rsidRDefault="000317F7">
      <w:pPr>
        <w:spacing w:after="0" w:line="260" w:lineRule="auto"/>
        <w:rPr>
          <w:rFonts w:cs="Arial"/>
        </w:rPr>
      </w:pPr>
    </w:p>
    <w:p w14:paraId="188C983D" w14:textId="77777777" w:rsidR="000317F7" w:rsidRDefault="000317F7">
      <w:pPr>
        <w:spacing w:after="0" w:line="260" w:lineRule="auto"/>
        <w:rPr>
          <w:rFonts w:cs="Arial"/>
        </w:rPr>
      </w:pPr>
    </w:p>
    <w:p w14:paraId="64B90BBD" w14:textId="77777777" w:rsidR="000317F7" w:rsidRDefault="00F06B25">
      <w:pPr>
        <w:spacing w:after="0" w:line="260" w:lineRule="auto"/>
      </w:pPr>
      <w:r>
        <w:tab/>
        <w:t>»18. upravljavec referenčne vrednosti ne zaprosi za dovoljenje, registracijo, priznanje ali odobritev v rokih iz prvega do četrtega odstavka 24.a člena Uredbe 2016/1011/EU;«</w:t>
      </w:r>
    </w:p>
    <w:p w14:paraId="2A04389D" w14:textId="77777777" w:rsidR="000317F7" w:rsidRDefault="000317F7">
      <w:pPr>
        <w:spacing w:after="0" w:line="260" w:lineRule="auto"/>
        <w:rPr>
          <w:rFonts w:cs="Arial"/>
        </w:rPr>
      </w:pPr>
    </w:p>
    <w:p w14:paraId="7EFCA889" w14:textId="77777777" w:rsidR="000317F7" w:rsidRDefault="00F06B25">
      <w:pPr>
        <w:spacing w:after="0" w:line="260" w:lineRule="auto"/>
      </w:pPr>
      <w:r>
        <w:tab/>
        <w:t>Dosedanja 18. do 25. točka postanejo 19. do 26. točka.</w:t>
      </w:r>
    </w:p>
    <w:p w14:paraId="3DDA973E" w14:textId="77777777" w:rsidR="000317F7" w:rsidRDefault="000317F7">
      <w:pPr>
        <w:spacing w:after="0" w:line="260" w:lineRule="auto"/>
        <w:rPr>
          <w:rFonts w:cs="Arial"/>
        </w:rPr>
      </w:pPr>
    </w:p>
    <w:p w14:paraId="05E8E897" w14:textId="77777777" w:rsidR="000317F7" w:rsidRDefault="00F06B25">
      <w:pPr>
        <w:pStyle w:val="Poglavje"/>
        <w:spacing w:line="260" w:lineRule="auto"/>
      </w:pPr>
      <w:r>
        <w:t>PREHODNE IN KONČNE DOLOČBE</w:t>
      </w:r>
    </w:p>
    <w:p w14:paraId="532F8BC5" w14:textId="77777777" w:rsidR="000317F7" w:rsidRDefault="00F06B25">
      <w:pPr>
        <w:pStyle w:val="len"/>
        <w:spacing w:line="260" w:lineRule="auto"/>
      </w:pPr>
      <w:r>
        <w:t>23. člen</w:t>
      </w:r>
    </w:p>
    <w:p w14:paraId="6211F721" w14:textId="77777777" w:rsidR="000317F7" w:rsidRDefault="00F06B25">
      <w:pPr>
        <w:pStyle w:val="lennaslov"/>
        <w:spacing w:line="260" w:lineRule="auto"/>
      </w:pPr>
      <w:r>
        <w:t>(uskladitev podzakonskih predpisov)</w:t>
      </w:r>
    </w:p>
    <w:p w14:paraId="6642A2C6" w14:textId="77777777" w:rsidR="000317F7" w:rsidRDefault="000317F7">
      <w:pPr>
        <w:spacing w:after="0" w:line="260" w:lineRule="auto"/>
        <w:rPr>
          <w:rFonts w:cs="Arial"/>
        </w:rPr>
      </w:pPr>
    </w:p>
    <w:p w14:paraId="256B7473" w14:textId="77777777" w:rsidR="000317F7" w:rsidRDefault="00F06B25">
      <w:pPr>
        <w:spacing w:after="0" w:line="260" w:lineRule="auto"/>
      </w:pPr>
      <w:r>
        <w:tab/>
        <w:t>(1) Agencija za trg vrednostnih papirjev izda predpis iz 4. točke prvega odstavka 261. člena zakona v delu, ki se nanaša na raziskave iz 251.b člena zakona, v treh mesecih po uveljavitvi tega zakona.</w:t>
      </w:r>
    </w:p>
    <w:p w14:paraId="265F368C" w14:textId="77777777" w:rsidR="000317F7" w:rsidRDefault="000317F7">
      <w:pPr>
        <w:spacing w:after="0" w:line="260" w:lineRule="auto"/>
        <w:rPr>
          <w:rFonts w:cs="Arial"/>
        </w:rPr>
      </w:pPr>
    </w:p>
    <w:p w14:paraId="2DBC5960" w14:textId="54FF810F" w:rsidR="000317F7" w:rsidRDefault="00F06B25">
      <w:pPr>
        <w:spacing w:after="0" w:line="260" w:lineRule="auto"/>
      </w:pPr>
      <w:r>
        <w:tab/>
        <w:t>(2) Agencija uskladi Sklep o podrobnejših pravilih o borznem trgu (Uradni list RS, št. 42/19 in 10/20) s tem zakonom v treh mesecih po uveljavitvi tega zakona. Do uskladitve se navedeni sklep</w:t>
      </w:r>
      <w:r w:rsidR="00203A48">
        <w:t xml:space="preserve"> uporablja</w:t>
      </w:r>
      <w:r>
        <w:t>, kolikor ni v nasprotju s tem zakonom.</w:t>
      </w:r>
    </w:p>
    <w:p w14:paraId="2DBD7A6A" w14:textId="77777777" w:rsidR="000317F7" w:rsidRDefault="00F06B25">
      <w:pPr>
        <w:pStyle w:val="len"/>
        <w:spacing w:line="260" w:lineRule="auto"/>
      </w:pPr>
      <w:r>
        <w:lastRenderedPageBreak/>
        <w:t>24. člen</w:t>
      </w:r>
    </w:p>
    <w:p w14:paraId="590DF35F" w14:textId="77777777" w:rsidR="000317F7" w:rsidRDefault="00F06B25">
      <w:pPr>
        <w:pStyle w:val="lennaslov"/>
        <w:spacing w:line="260" w:lineRule="auto"/>
      </w:pPr>
      <w:r>
        <w:t>(postopki za izdajo dovoljenja za pridobitev kvalificiranega deleža)</w:t>
      </w:r>
    </w:p>
    <w:p w14:paraId="073E6C91" w14:textId="77777777" w:rsidR="000317F7" w:rsidRDefault="000317F7">
      <w:pPr>
        <w:spacing w:after="0" w:line="260" w:lineRule="auto"/>
        <w:rPr>
          <w:rFonts w:cs="Arial"/>
        </w:rPr>
      </w:pPr>
    </w:p>
    <w:p w14:paraId="00D79D1E" w14:textId="77777777" w:rsidR="000317F7" w:rsidRDefault="00F06B25">
      <w:pPr>
        <w:spacing w:after="0" w:line="260" w:lineRule="auto"/>
      </w:pPr>
      <w:r>
        <w:tab/>
        <w:t>Postopki za izdajo dovoljenja za pridobitev kvalificiranega deleža, ki  do uveljavitve tega zakona še niso pravnomočno končani, se končajo v skladu z dosedanjimi predpisi.</w:t>
      </w:r>
    </w:p>
    <w:p w14:paraId="6AB34257" w14:textId="77777777" w:rsidR="000317F7" w:rsidRDefault="00F06B25">
      <w:pPr>
        <w:pStyle w:val="len"/>
        <w:spacing w:line="260" w:lineRule="auto"/>
      </w:pPr>
      <w:r>
        <w:t>25. člen</w:t>
      </w:r>
    </w:p>
    <w:p w14:paraId="7A04F784" w14:textId="77777777" w:rsidR="000317F7" w:rsidRDefault="00F06B25">
      <w:pPr>
        <w:pStyle w:val="lennaslov"/>
        <w:spacing w:line="260" w:lineRule="auto"/>
      </w:pPr>
      <w:r>
        <w:t>(začetek uporabe posameznih določb)</w:t>
      </w:r>
    </w:p>
    <w:p w14:paraId="2B988E8C" w14:textId="77777777" w:rsidR="000317F7" w:rsidRDefault="000317F7">
      <w:pPr>
        <w:spacing w:after="0" w:line="260" w:lineRule="auto"/>
        <w:rPr>
          <w:rFonts w:cs="Arial"/>
        </w:rPr>
      </w:pPr>
    </w:p>
    <w:p w14:paraId="16A153A0" w14:textId="77777777" w:rsidR="000317F7" w:rsidRDefault="00F06B25">
      <w:pPr>
        <w:spacing w:after="0" w:line="260" w:lineRule="auto"/>
      </w:pPr>
      <w:r>
        <w:tab/>
        <w:t>Novi 76.a člen, novi četrti odstavek 316. člena in novi drugi odstavek 317. člena zakona se začnejo uporabljati 5. decembra 2026.</w:t>
      </w:r>
    </w:p>
    <w:p w14:paraId="4611CE88" w14:textId="77777777" w:rsidR="000317F7" w:rsidRDefault="00F06B25">
      <w:pPr>
        <w:pStyle w:val="len"/>
        <w:spacing w:line="260" w:lineRule="auto"/>
      </w:pPr>
      <w:r>
        <w:t>26. člen</w:t>
      </w:r>
    </w:p>
    <w:p w14:paraId="342D1418" w14:textId="77777777" w:rsidR="000317F7" w:rsidRDefault="00F06B25">
      <w:pPr>
        <w:pStyle w:val="lennaslov"/>
        <w:spacing w:line="260" w:lineRule="auto"/>
      </w:pPr>
      <w:r>
        <w:t>(začetek veljavnosti)</w:t>
      </w:r>
    </w:p>
    <w:p w14:paraId="4068AAA5" w14:textId="77777777" w:rsidR="000317F7" w:rsidRDefault="000317F7">
      <w:pPr>
        <w:spacing w:after="0" w:line="260" w:lineRule="auto"/>
        <w:rPr>
          <w:rFonts w:cs="Arial"/>
        </w:rPr>
      </w:pPr>
    </w:p>
    <w:p w14:paraId="0A675230" w14:textId="77777777" w:rsidR="000317F7" w:rsidRDefault="00F06B25">
      <w:pPr>
        <w:spacing w:after="0" w:line="260" w:lineRule="auto"/>
      </w:pPr>
      <w:r>
        <w:tab/>
        <w:t>Ta zakon začne veljati petnajsti dan po objavi v Uradnem listu Republike Slovenije.</w:t>
      </w:r>
    </w:p>
    <w:p w14:paraId="38C8B189" w14:textId="77777777" w:rsidR="000317F7" w:rsidRDefault="00F06B25">
      <w:r>
        <w:br w:type="page"/>
      </w:r>
    </w:p>
    <w:p w14:paraId="064FB428" w14:textId="77777777" w:rsidR="000317F7" w:rsidRDefault="00F06B25">
      <w:pPr>
        <w:pStyle w:val="Odebeljeno"/>
        <w:spacing w:line="260" w:lineRule="auto"/>
      </w:pPr>
      <w:r>
        <w:lastRenderedPageBreak/>
        <w:t>III.</w:t>
      </w:r>
      <w:r>
        <w:tab/>
        <w:t>OBRAZLOŽITEV</w:t>
      </w:r>
    </w:p>
    <w:p w14:paraId="3ABF1EC6" w14:textId="77777777" w:rsidR="000317F7" w:rsidRDefault="000317F7">
      <w:pPr>
        <w:spacing w:after="0" w:line="260" w:lineRule="auto"/>
        <w:rPr>
          <w:rFonts w:cs="Arial"/>
        </w:rPr>
      </w:pPr>
    </w:p>
    <w:p w14:paraId="510C6D44" w14:textId="77777777" w:rsidR="000317F7" w:rsidRDefault="00F06B25">
      <w:pPr>
        <w:pStyle w:val="Odebeljeno"/>
        <w:spacing w:line="260" w:lineRule="auto"/>
      </w:pPr>
      <w:r>
        <w:t>K 1. členu:</w:t>
      </w:r>
    </w:p>
    <w:p w14:paraId="64C8B3A6" w14:textId="77777777" w:rsidR="000317F7" w:rsidRDefault="00F06B25">
      <w:pPr>
        <w:spacing w:after="0" w:line="240" w:lineRule="auto"/>
      </w:pPr>
      <w:r>
        <w:t xml:space="preserve">S tem členom se spreminja 2. člen Zakona o trgu finančnih instrumentov (Uradni list RS, št. 77/18, 17/19 – </w:t>
      </w:r>
      <w:proofErr w:type="spellStart"/>
      <w:r>
        <w:t>popr</w:t>
      </w:r>
      <w:proofErr w:type="spellEnd"/>
      <w:r>
        <w:t>., 66/19, 123/21, 45/24 in 77/25; v nadaljnjem besedilu: ZTFI-1), ki določa seznam direktiv EU, ki se prenašajo v pravni red Republike Slovenije.</w:t>
      </w:r>
    </w:p>
    <w:p w14:paraId="02A0E15E" w14:textId="77777777" w:rsidR="000317F7" w:rsidRDefault="00F06B25">
      <w:pPr>
        <w:spacing w:after="0" w:line="240" w:lineRule="auto"/>
      </w:pPr>
      <w:r>
        <w:t xml:space="preserve"> </w:t>
      </w:r>
    </w:p>
    <w:p w14:paraId="70F28280" w14:textId="77777777" w:rsidR="000317F7" w:rsidRDefault="00F06B25">
      <w:pPr>
        <w:spacing w:after="0" w:line="240" w:lineRule="auto"/>
      </w:pPr>
      <w:r>
        <w:t>S črtanjem 4. točke prvega odstavka se črta sklicevanje na Direktivo 2001/34/ES Evropskega parlamenta in Sveta o sprejemu vrednostnih papirjev v uradno kotacijo na borzi, ki se na podlagi 2. člena Direktive Evropskega parlamenta in Sveta z dne 23. oktobra 2024 o spremembi Direktive 2014/65/EU za povečanje privlačnosti javnih kapitalskih trgov v Uniji za podjetja in olajšanje dostopa do kapitala za mala in srednja podjetja ter razveljavitvi Direktive 2001/34/ES (UL L št. 2024/2811 z dne 14. 11. 2024; v nadaljnjem besedilu: Direktiva 2024/2811/EU). Ustrezne vsebinske določbe Direktive 2001/34/ES, ki jih je še treba ohraniti (minimalna tržna kapitalizacija, prosti obtok), so bile prenesene v novi člen 51.a Direktive 2014/65/EU Evropskega parlamenta in Sveta z dne 15. maja 2014 o trgih finančnih instrumentov ter spremembi Direktive 2002/92/ES in Direktive 2011/61/EU (UL L št. 173 z dne 12. 6. 2014, str. 349), zadnjič spremenjena z Direktivo (EU) 2024/2811 Evropskega parlamenta in Sveta z dne 23. oktobra 2024 o spremembi Direktive 2014/65/EU za povečanje privlačnosti javnih kapitalskih trgov v Uniji za podjetja in olajšanje dostopa do kapitala za mala in srednja podjetja ter razveljavitvi Direktive 2001/34/ES (UL L št. 2024/2811 z dne 14. 11. 2024), (v nadaljnjem besedilu: Direktiva 2014/65/EU) in so v tem zakonu prenesene v spremenjeni 401. člen ZTFI-1.</w:t>
      </w:r>
    </w:p>
    <w:p w14:paraId="228560EA" w14:textId="77777777" w:rsidR="000317F7" w:rsidRDefault="00F06B25">
      <w:pPr>
        <w:spacing w:after="0" w:line="240" w:lineRule="auto"/>
      </w:pPr>
      <w:r>
        <w:t xml:space="preserve"> </w:t>
      </w:r>
    </w:p>
    <w:p w14:paraId="71E3B783" w14:textId="77777777" w:rsidR="000317F7" w:rsidRDefault="00F06B25">
      <w:pPr>
        <w:spacing w:after="0" w:line="240" w:lineRule="auto"/>
      </w:pPr>
      <w:r>
        <w:t>S spremembo 8. točke prvega odstavka 2. člena ZTFI-1 se posodobi sklicevanje na zadnjo spremembo Direktive 2014/65/EU, ki je sedaj Direktiva 2024/2811/EU (namesto dosedanje Direktive 2024/790/EU).</w:t>
      </w:r>
    </w:p>
    <w:p w14:paraId="480419DF" w14:textId="77777777" w:rsidR="000317F7" w:rsidRDefault="00F06B25">
      <w:pPr>
        <w:spacing w:after="0" w:line="240" w:lineRule="auto"/>
      </w:pPr>
      <w:r>
        <w:t xml:space="preserve"> </w:t>
      </w:r>
    </w:p>
    <w:p w14:paraId="60614E76" w14:textId="77777777" w:rsidR="000317F7" w:rsidRDefault="00F06B25">
      <w:pPr>
        <w:spacing w:after="0" w:line="240" w:lineRule="auto"/>
      </w:pPr>
      <w:r>
        <w:t>Z dodatkom nove, 20. točke prvega odstavka se v seznam direktiv, ki se prenašajo v slovenski pravni red, doda Direktiva (EU) 2024/2810 Evropskega parlamenta in Sveta z dne 23. oktobra 2024 o delniških strukturah z delnicami z večkratno glasovalno pravico v družbah, ki želijo uvrstiti svoje delnice v večstranski sistem trgovanja (UL L št. 2024/2810 z dne 14. 11. 2024; v nadaljnjem besedilu: Direktiva 2024/2810/EU). Direktiva ureja sprejemanje delniških struktur z delnicami z večkratno glasovalno pravico v družbah, ki želijo uvrstiti svoje delnice v trgovanje na večstranskih sistemih trgovanja (MTF), in zaščitne ukrepe za delničarje brez teh delnic ter zahteve glede preglednosti. Določbe te direktive so v ZTFI-1 prenesene z novim 76.a členom (5. člen tega predloga sprememb) ter z novim četrtim odstavkom 316. člena (11. člen tega predloga sprememb) in novim drugim odstavkom 317. člena ZTFI-1 (12. člen tega predloga sprememb).</w:t>
      </w:r>
    </w:p>
    <w:p w14:paraId="100BE587" w14:textId="77777777" w:rsidR="000317F7" w:rsidRDefault="00F06B25">
      <w:pPr>
        <w:spacing w:after="0" w:line="240" w:lineRule="auto"/>
      </w:pPr>
      <w:r>
        <w:t xml:space="preserve"> </w:t>
      </w:r>
    </w:p>
    <w:p w14:paraId="33712BA8" w14:textId="77777777" w:rsidR="000317F7" w:rsidRDefault="00F06B25">
      <w:pPr>
        <w:spacing w:after="0" w:line="240" w:lineRule="auto"/>
      </w:pPr>
      <w:r>
        <w:t xml:space="preserve">S spremembo 3. točke drugega odstavka 2. člena ZTFI-1 se sklicevanje na Uredbo (EU) 2023/2869 nadomesti s sklicevanjem na Uredbo (EU) 2024/2809 Evropskega parlamenta in Sveta z dne 23. oktobra 2024 o spremembi uredb (EU) 2017/1129, (EU) št. 596/2014 in (EU) št. 600/2014 za povečanje privlačnosti javnih kapitalskih trgov v Uniji za podjetja in za olajšanje dostopa do kapitala za mala in srednja podjetja (UL L št. 2024/2809 z dne 14. 11. 2024), zadnjič popravljena s Popravkom (UL L št. 2025/90190 z dne 28. 2. 2025) (v nadaljnjem besedilu: Uredba 2024/2809/EU). Uredba 2024/2809/EU je del širšega zakonodajnega svežnja, tako imenovanega </w:t>
      </w:r>
      <w:proofErr w:type="spellStart"/>
      <w:r>
        <w:t>Listing</w:t>
      </w:r>
      <w:proofErr w:type="spellEnd"/>
      <w:r>
        <w:t xml:space="preserve"> </w:t>
      </w:r>
      <w:proofErr w:type="spellStart"/>
      <w:r>
        <w:t>Act</w:t>
      </w:r>
      <w:proofErr w:type="spellEnd"/>
      <w:r>
        <w:t>, katerega cilj je povečati privlačnost javnih kapitalskih trgov v Uniji ter zlasti olajšati dostop do kapitala za mala in srednja podjetja.</w:t>
      </w:r>
    </w:p>
    <w:p w14:paraId="17A4AE0A" w14:textId="77777777" w:rsidR="000317F7" w:rsidRDefault="00F06B25">
      <w:pPr>
        <w:spacing w:after="0" w:line="240" w:lineRule="auto"/>
      </w:pPr>
      <w:r>
        <w:t xml:space="preserve"> </w:t>
      </w:r>
    </w:p>
    <w:p w14:paraId="23B57F97" w14:textId="77777777" w:rsidR="000317F7" w:rsidRDefault="00F06B25">
      <w:pPr>
        <w:spacing w:after="0" w:line="240" w:lineRule="auto"/>
      </w:pPr>
      <w:r>
        <w:t>S spremembo 6. točke drugega odstavka se sklicevanje na Delegirano uredbo Komisije (EU) 2018/1646 nadomesti s sklicevanjem na Uredbo (EU) 2025/914 Evropskega parlamenta in Sveta z dne 7. maja 2025 o spremembi Uredbe (EU) 2016/1011 v zvezi s področjem uporabe pravil za referenčne vrednosti, uporabo referenčnih vrednosti, ki jih zagotavlja upravljavec s sedežem v tretji državi, v Uniji in nekaterimi zahtevami glede poročanja (UL L št. 2025/914 z dne 19. 5. 2025; v nadaljnjem besedilu: Uredba 2025/914/EU). Uredba 2025/914/EU bistveno spreminja področje uporabe Uredbe 2016/1011/EU tako, da se od 1. januarja 2026 uporablja le še za kritične in pomembne referenčne vrednosti, podnebne referenčne vrednosti EU ter določene blagovne referenčne vrednosti.</w:t>
      </w:r>
    </w:p>
    <w:p w14:paraId="04EC820D" w14:textId="77777777" w:rsidR="000317F7" w:rsidRDefault="00F06B25">
      <w:pPr>
        <w:spacing w:after="0" w:line="240" w:lineRule="auto"/>
      </w:pPr>
      <w:r>
        <w:t xml:space="preserve"> </w:t>
      </w:r>
    </w:p>
    <w:p w14:paraId="0045D710" w14:textId="77777777" w:rsidR="000317F7" w:rsidRDefault="00F06B25">
      <w:pPr>
        <w:spacing w:after="0" w:line="240" w:lineRule="auto"/>
        <w:jc w:val="left"/>
      </w:pPr>
      <w:r>
        <w:t xml:space="preserve">S spremembo 7. točke drugega odstavka se sklicevanju na Uredbo (EU) 2017/1129 (Uredba o prospektu) doda navedba njene zadnje spremembe z Uredbo 2024/2809/EU. Ta dopolnitev zagotavlja sledljivost </w:t>
      </w:r>
      <w:r>
        <w:lastRenderedPageBreak/>
        <w:t>veljavne različice Uredbe o prospektu.</w:t>
      </w:r>
      <w:r>
        <w:br/>
        <w:t xml:space="preserve"> </w:t>
      </w:r>
    </w:p>
    <w:p w14:paraId="125825FB" w14:textId="77777777" w:rsidR="000317F7" w:rsidRDefault="000317F7">
      <w:pPr>
        <w:spacing w:after="0" w:line="260" w:lineRule="auto"/>
        <w:rPr>
          <w:rFonts w:cs="Arial"/>
        </w:rPr>
      </w:pPr>
    </w:p>
    <w:p w14:paraId="5AB5C542" w14:textId="77777777" w:rsidR="000317F7" w:rsidRDefault="00F06B25">
      <w:pPr>
        <w:pStyle w:val="Odebeljeno"/>
        <w:spacing w:line="260" w:lineRule="auto"/>
      </w:pPr>
      <w:r>
        <w:t>K 2. členu:</w:t>
      </w:r>
    </w:p>
    <w:p w14:paraId="0A5D4A3B" w14:textId="77777777" w:rsidR="000317F7" w:rsidRDefault="00F06B25">
      <w:pPr>
        <w:spacing w:after="0" w:line="240" w:lineRule="auto"/>
      </w:pPr>
      <w:r>
        <w:t xml:space="preserve">S predlagano spremembo se dopolnjuje 4. člen ZTFI‑1, in sicer tako, da se med definicije doda nova, 16. točka, ki določa pomen izraza </w:t>
      </w:r>
      <w:proofErr w:type="spellStart"/>
      <w:r>
        <w:t>ZPlaSSIED</w:t>
      </w:r>
      <w:proofErr w:type="spellEnd"/>
      <w:r>
        <w:t xml:space="preserve"> kot zakona, ki ureja plačilne storitve, storitve izdajanja elektronskega denarja in plačilne sisteme. Dopolnitev je potrebna zaradi sprememb v drugem odstavku 38. člena ZTFI‑1 (glej obrazložitev k 4. členu), kjer se dodajata novi 5. in 6. točka, in sicer plačilna institucija v skladu z </w:t>
      </w:r>
      <w:proofErr w:type="spellStart"/>
      <w:r>
        <w:t>ZPlaSSIED</w:t>
      </w:r>
      <w:proofErr w:type="spellEnd"/>
      <w:r>
        <w:t xml:space="preserve"> in izdajatelj elektronskega denarja v skladu z </w:t>
      </w:r>
      <w:proofErr w:type="spellStart"/>
      <w:r>
        <w:t>ZPlaSSIED</w:t>
      </w:r>
      <w:proofErr w:type="spellEnd"/>
      <w:r>
        <w:t>.</w:t>
      </w:r>
    </w:p>
    <w:p w14:paraId="37F5698A" w14:textId="77777777" w:rsidR="000317F7" w:rsidRDefault="00F06B25">
      <w:pPr>
        <w:spacing w:after="0" w:line="240" w:lineRule="auto"/>
      </w:pPr>
      <w:r>
        <w:t xml:space="preserve"> </w:t>
      </w:r>
    </w:p>
    <w:p w14:paraId="5CDE9E22" w14:textId="77777777" w:rsidR="000317F7" w:rsidRDefault="00F06B25">
      <w:pPr>
        <w:spacing w:after="0" w:line="240" w:lineRule="auto"/>
      </w:pPr>
      <w:r>
        <w:t xml:space="preserve">V veljavnem ZTFI-1 </w:t>
      </w:r>
      <w:proofErr w:type="spellStart"/>
      <w:r>
        <w:t>ZPlaSSIED</w:t>
      </w:r>
      <w:proofErr w:type="spellEnd"/>
      <w:r>
        <w:t xml:space="preserve"> še ni opredeljen. Dodajanje nove definicije zato zagotavlja sistemsko skladnost zakona, jasnost terminologije ter enotno razumevanje uporabe izraza v vseh določbah ZTFI‑1.</w:t>
      </w:r>
    </w:p>
    <w:p w14:paraId="636577BC" w14:textId="77777777" w:rsidR="000317F7" w:rsidRDefault="000317F7">
      <w:pPr>
        <w:spacing w:after="0" w:line="260" w:lineRule="auto"/>
        <w:rPr>
          <w:rFonts w:cs="Arial"/>
        </w:rPr>
      </w:pPr>
    </w:p>
    <w:p w14:paraId="46AF4B07" w14:textId="77777777" w:rsidR="000317F7" w:rsidRDefault="00F06B25">
      <w:pPr>
        <w:pStyle w:val="Odebeljeno"/>
        <w:spacing w:line="260" w:lineRule="auto"/>
      </w:pPr>
      <w:r>
        <w:t>K 3. členu:</w:t>
      </w:r>
    </w:p>
    <w:p w14:paraId="4DDE1C51" w14:textId="77777777" w:rsidR="000317F7" w:rsidRDefault="00F06B25">
      <w:pPr>
        <w:spacing w:after="0" w:line="240" w:lineRule="auto"/>
      </w:pPr>
      <w:r>
        <w:t xml:space="preserve">S tem členom se spreminja 31. člen ZTFI-1, ki opredeljuje pomen razvojnega trga malih in srednjih podjetij (razvojni trg MSP). Z dopolnitvijo se definicija razširi tako, da razvojni trg MSP poleg celotnega MTF lahko predstavlja tudi posamezen segment MTF. Sprememba prenaša prvi odstavek 1. člena Direktive 2024/2811/EU (12. točka prvega odstavka 4. člena Direktive 2014/65/EU). </w:t>
      </w:r>
    </w:p>
    <w:p w14:paraId="5CF121EC" w14:textId="77777777" w:rsidR="000317F7" w:rsidRDefault="00F06B25">
      <w:pPr>
        <w:spacing w:after="0" w:line="240" w:lineRule="auto"/>
        <w:jc w:val="left"/>
      </w:pPr>
      <w:r>
        <w:br/>
        <w:t>Cilj razširitve opredelitve MTF tudi na segment MTF je spodbujanje razvoja specializiranih trgov za MSP ter zmanjšanje organizacijske obremenitve upravljavcev MTF, hkrati pa ohranjanje jasne ločenosti segmenta od preostalega dela MTF. Praktično to pomeni, da lahko upravljavec enega MTF registrira le posamezni segment MTF kot razvojni trg MSP, če je ta segment jasno ločen od drugih segmentov MTF in avtonomen. En MTF lahko tako hkrati obratuje v več segmentih, od katerih je eden (ali več) registriran kot razvojni trg MSP in izpolnjuje posebne pogoje za MSP (na primer lažje zahteve po poročanju, nižje upravne ovire in spodbude za vstop malih podjetij), medtem ko preostali deli MTF ostanejo splošni večstranski trgovalni sistem brez teh posebnosti.</w:t>
      </w:r>
    </w:p>
    <w:p w14:paraId="29AF340D" w14:textId="77777777" w:rsidR="000317F7" w:rsidRDefault="000317F7">
      <w:pPr>
        <w:spacing w:after="0" w:line="260" w:lineRule="auto"/>
        <w:rPr>
          <w:rFonts w:cs="Arial"/>
        </w:rPr>
      </w:pPr>
    </w:p>
    <w:p w14:paraId="416C9DFB" w14:textId="77777777" w:rsidR="000317F7" w:rsidRDefault="00F06B25">
      <w:pPr>
        <w:pStyle w:val="Odebeljeno"/>
        <w:spacing w:line="260" w:lineRule="auto"/>
      </w:pPr>
      <w:r>
        <w:t>K 4. členu:</w:t>
      </w:r>
    </w:p>
    <w:p w14:paraId="7EF5760E" w14:textId="77777777" w:rsidR="000317F7" w:rsidRDefault="00F06B25">
      <w:pPr>
        <w:spacing w:after="0" w:line="240" w:lineRule="auto"/>
      </w:pPr>
      <w:r>
        <w:t>S tem členom se spreminja 38. člen zakona, ki opredeljuje izraze v zvezi s poravnalnimi sistemi.</w:t>
      </w:r>
    </w:p>
    <w:p w14:paraId="29BEE90E" w14:textId="77777777" w:rsidR="000317F7" w:rsidRDefault="00F06B25">
      <w:pPr>
        <w:spacing w:after="0" w:line="240" w:lineRule="auto"/>
      </w:pPr>
      <w:r>
        <w:t xml:space="preserve"> </w:t>
      </w:r>
    </w:p>
    <w:p w14:paraId="1BFF7C34" w14:textId="77777777" w:rsidR="000317F7" w:rsidRDefault="00F06B25">
      <w:pPr>
        <w:spacing w:after="0" w:line="240" w:lineRule="auto"/>
      </w:pPr>
      <w:r>
        <w:t>Spremembe izhajajo iz potrebe po natančnejšem prenosu Direktive 98/26/ES v slovenski pravni red, na kar je v okviru uradnega pregleda ustreznosti prenosa določb Direktive (EU) 2019/879 Evropskega parlamenta in Sveta z dne 20. maja 2019 o spremembi Direktive 2014/59/EU glede sposobnosti kreditnih institucij in investicijskih podjetij za pokrivanje izgub in dokapitalizacijo ter Direktive 98/26/ES (v nadaljnjem besedilu: Direktiva 2019/879/EU) opozorila Evropska komisija.</w:t>
      </w:r>
    </w:p>
    <w:p w14:paraId="334CA09F" w14:textId="77777777" w:rsidR="000317F7" w:rsidRDefault="00F06B25">
      <w:pPr>
        <w:spacing w:after="0" w:line="240" w:lineRule="auto"/>
      </w:pPr>
      <w:r>
        <w:t xml:space="preserve"> </w:t>
      </w:r>
    </w:p>
    <w:p w14:paraId="1DBAC36A" w14:textId="77777777" w:rsidR="000317F7" w:rsidRDefault="00F06B25">
      <w:pPr>
        <w:spacing w:after="0" w:line="240" w:lineRule="auto"/>
      </w:pPr>
      <w:r>
        <w:t>Z Direktivo 2019/879/EU sta bili v Direktivo 98/26/ES uvedeni dve ključni spremembi:</w:t>
      </w:r>
    </w:p>
    <w:p w14:paraId="20E77035" w14:textId="77777777" w:rsidR="000317F7" w:rsidRDefault="00F06B25">
      <w:pPr>
        <w:spacing w:after="0" w:line="240" w:lineRule="auto"/>
      </w:pPr>
      <w:r>
        <w:t>– razširitev kategorij oseb, ki se štejejo za institucijo po 2(b) členu Direktive 98/26/ES, na plačilne institucije in institucije za izdajo elektronskega denarja, ter</w:t>
      </w:r>
    </w:p>
    <w:p w14:paraId="69C86BA8" w14:textId="77777777" w:rsidR="000317F7" w:rsidRDefault="00F06B25">
      <w:pPr>
        <w:spacing w:after="0" w:line="240" w:lineRule="auto"/>
      </w:pPr>
      <w:r>
        <w:t>– razširitev opredelitve »udeleženca« v 2(f) členu Direktive 98/26/ES s klirinškim članom centralne nasprotne stranke (v nadaljnjem besedilu: CNS), ki ima dovoljenje, izdano na podlagi 17. člena Uredbe (EU) št. 648/2012 (EMIR).</w:t>
      </w:r>
    </w:p>
    <w:p w14:paraId="48D6F408" w14:textId="77777777" w:rsidR="000317F7" w:rsidRDefault="00F06B25">
      <w:pPr>
        <w:spacing w:after="0" w:line="240" w:lineRule="auto"/>
      </w:pPr>
      <w:r>
        <w:t xml:space="preserve"> </w:t>
      </w:r>
    </w:p>
    <w:p w14:paraId="795CB53D" w14:textId="77777777" w:rsidR="000317F7" w:rsidRDefault="00F06B25">
      <w:pPr>
        <w:spacing w:after="0" w:line="240" w:lineRule="auto"/>
      </w:pPr>
      <w:r>
        <w:t xml:space="preserve">S spremembo drugega odstavka 38. člena ZTFI-1 se izvajata navedeni razširitvi iz točke (b) 2. člena Direktive 98/26/ES, in sicer sta kot člana poravnalnega sistema dodana plačilna institucija in izdajatelj elektronskega denarja, ki sta sicer opredeljena z Zakonom o plačilnih storitvah, storitvah izdajanja elektronskega denarja in plačilnih sistemih (Uradni list RS, št. 7/18, 9/18 – </w:t>
      </w:r>
      <w:proofErr w:type="spellStart"/>
      <w:r>
        <w:t>popr</w:t>
      </w:r>
      <w:proofErr w:type="spellEnd"/>
      <w:r>
        <w:t>., 102/20, 113/24 in 17/25 – ZPPDFT-2B).</w:t>
      </w:r>
    </w:p>
    <w:p w14:paraId="74A1D94C" w14:textId="77777777" w:rsidR="000317F7" w:rsidRDefault="00F06B25">
      <w:pPr>
        <w:spacing w:after="0" w:line="240" w:lineRule="auto"/>
      </w:pPr>
      <w:r>
        <w:t xml:space="preserve"> </w:t>
      </w:r>
    </w:p>
    <w:p w14:paraId="001A276F" w14:textId="77777777" w:rsidR="000317F7" w:rsidRDefault="00F06B25">
      <w:pPr>
        <w:spacing w:after="0" w:line="240" w:lineRule="auto"/>
      </w:pPr>
      <w:r>
        <w:t>Z dodatkom novega, tretjega odstavka 38. člena ZTFI-1 se v slovenski pravni red prenaša točka f) 2. člena Direktive 98/26/ES, in sicer opredelitev udeleženca poravnalnega sistema. Ta zajema člana poravnalnega sistema, CNS, posrednika za poravnavo, klirinško družbo, upravljavca poravnalnega sistema in klirinškega člana CNS. V skladu s pravili poravnalnega sistema lahko isti udeleženec opravlja različne naloge.</w:t>
      </w:r>
    </w:p>
    <w:p w14:paraId="06677351" w14:textId="77777777" w:rsidR="000317F7" w:rsidRDefault="00F06B25">
      <w:pPr>
        <w:spacing w:after="0" w:line="240" w:lineRule="auto"/>
      </w:pPr>
      <w:r>
        <w:t xml:space="preserve"> </w:t>
      </w:r>
    </w:p>
    <w:p w14:paraId="49BFA16D" w14:textId="77777777" w:rsidR="000317F7" w:rsidRDefault="00F06B25">
      <w:pPr>
        <w:spacing w:after="0" w:line="240" w:lineRule="auto"/>
      </w:pPr>
      <w:r>
        <w:lastRenderedPageBreak/>
        <w:t>Z dodatkom novega četrtega odstavka 38. člena ZTFI-1 se vsebinsko zagotavlja prenos točke g) 2. člena Direktive 98/26/ES, ki opredeljuje posrednega udeleženca. Ureja se pogodbena ureditev, na podlagi katere lahko določene osebe po članu poravnalnega sistema vnesejo naročila v poravnalni sistem, pri čemer mora biti taka oseba znana upravljavcu poravnalnega sistema.</w:t>
      </w:r>
    </w:p>
    <w:p w14:paraId="57A0A0E2" w14:textId="77777777" w:rsidR="000317F7" w:rsidRDefault="00F06B25">
      <w:pPr>
        <w:spacing w:after="0" w:line="240" w:lineRule="auto"/>
      </w:pPr>
      <w:r>
        <w:t xml:space="preserve"> </w:t>
      </w:r>
    </w:p>
    <w:p w14:paraId="4848E055" w14:textId="77777777" w:rsidR="000317F7" w:rsidRDefault="00F06B25">
      <w:pPr>
        <w:spacing w:after="0" w:line="240" w:lineRule="auto"/>
      </w:pPr>
      <w:r>
        <w:t>Z novim petim odstavkom 38. člena ZTFI-1 se prenaša točka d) 2. člena Direktive 98/26/ES, ki opredeljuje posrednika za poravnavo kot subjekt, ki udeležencem poravnalnega sistema in CNS zagotavlja poravnalne račune ter po potrebi odobrava kredite za namene poravnave.</w:t>
      </w:r>
    </w:p>
    <w:p w14:paraId="2ED2FBBD" w14:textId="77777777" w:rsidR="000317F7" w:rsidRDefault="000317F7">
      <w:pPr>
        <w:spacing w:after="0" w:line="260" w:lineRule="auto"/>
        <w:rPr>
          <w:rFonts w:cs="Arial"/>
        </w:rPr>
      </w:pPr>
    </w:p>
    <w:p w14:paraId="6F1059D9" w14:textId="77777777" w:rsidR="000317F7" w:rsidRDefault="00F06B25">
      <w:pPr>
        <w:pStyle w:val="Odebeljeno"/>
        <w:spacing w:line="260" w:lineRule="auto"/>
      </w:pPr>
      <w:r>
        <w:t>K 5. členu:</w:t>
      </w:r>
    </w:p>
    <w:p w14:paraId="6153D204" w14:textId="77777777" w:rsidR="000317F7" w:rsidRDefault="00F06B25">
      <w:pPr>
        <w:spacing w:after="0" w:line="240" w:lineRule="auto"/>
      </w:pPr>
      <w:r>
        <w:t>S tem členom se za črtanim 76. členom ZTFI-1 dodaja nov, 76.a člen, ki prenaša 5. člen Direktive (EU) 2024/2810 Evropskega parlamenta in Sveta z dne 23. oktobra 2024 o delniških strukturah z delnicami z večkratno glasovalno pravico v družbah, ki želijo uvrstiti svoje delnice v večstranski sistem trgovanja (UL L št. 2024/2810 z dne 14. 11. 2024; v nadaljnjem besedilu: Direktiva 2024/2810/EU). Člen določa obveznost izdajateljev z delniško strukturo z delnicami z večkratno glasovalno pravico, da v prospekt ali dokument o uvrstitvi vključijo predpisane podatke o svoji delniški strukturi.</w:t>
      </w:r>
    </w:p>
    <w:p w14:paraId="67ACCAC7" w14:textId="77777777" w:rsidR="000317F7" w:rsidRDefault="00F06B25">
      <w:pPr>
        <w:spacing w:after="0" w:line="240" w:lineRule="auto"/>
      </w:pPr>
      <w:r>
        <w:t xml:space="preserve"> </w:t>
      </w:r>
    </w:p>
    <w:p w14:paraId="6AEC20A3" w14:textId="77777777" w:rsidR="000317F7" w:rsidRDefault="00F06B25">
      <w:pPr>
        <w:spacing w:after="0" w:line="240" w:lineRule="auto"/>
      </w:pPr>
      <w:r>
        <w:t>V prvem odstavku je urejena obveznost za izdajatelje na razvojnem trgu MSP, v drugem odstavku pa za izdajatelje na drugih MTF. Tretji odstavek natančno našteva podatke, ki jih je treba vključiti: podatki o razredih delnic, pravicah in obveznostih, glasovalnih pravicah, omejitvah glede prenosa in glasovanja ter identiteti imetnikov delnic z večkratno glasovalno pravico. Četrti odstavek določa omejitev razkritja identitete fizičnih oseb le na osebno ime.</w:t>
      </w:r>
    </w:p>
    <w:p w14:paraId="7FAD0014" w14:textId="77777777" w:rsidR="000317F7" w:rsidRDefault="00F06B25">
      <w:pPr>
        <w:spacing w:after="0" w:line="240" w:lineRule="auto"/>
      </w:pPr>
      <w:r>
        <w:t xml:space="preserve"> </w:t>
      </w:r>
    </w:p>
    <w:p w14:paraId="2AE8EAA4" w14:textId="77777777" w:rsidR="000317F7" w:rsidRDefault="00F06B25">
      <w:pPr>
        <w:spacing w:after="0" w:line="240" w:lineRule="auto"/>
      </w:pPr>
      <w:r>
        <w:t xml:space="preserve">Direktiva 2024/2810/EU v uvodni izjavi 20 izrecno določa, da ne posega v varstvo osebnih podatkov in zlasti ne v Uredb0 (EU) 2016/679 (v nadaljnjem besedilu: Splošna uredba), o predlogu direktive pa je mnenje podal tudi Evropski nadzornik za varstvo podatkov. V skladu s tretjim odstavkom 24. člena Zakona o varstvu osebnih podatkov (Uradni list RS, št. 163/22, 40/25 – ZInfV-1 in 10/26 – ZP-1L; v nadaljnjem besedilu: ZVOP 2) v zvezi s 36. členom Splošne uredbe je bilo o predlogu zakona opravljeno predhodno posvetovanje z Informacijskim pooblaščencem, ki je podal mnenje, in je pri pripravi predloga upoštevano. </w:t>
      </w:r>
    </w:p>
    <w:p w14:paraId="447E544B" w14:textId="77777777" w:rsidR="000317F7" w:rsidRDefault="00F06B25">
      <w:pPr>
        <w:spacing w:after="0" w:line="240" w:lineRule="auto"/>
        <w:jc w:val="left"/>
      </w:pPr>
      <w:r>
        <w:br/>
        <w:t>Obdelava je skladna z načeli iz 5. člena Splošne uredbe. Zakonitost, poštenost in preglednost so zagotovljene z jasno zakonsko podlago ter z objavo podatkov v javno dostopnih dokumentih, katerih namen in vsebina sta vlagateljem znana vnaprej. Skladno z drugim odstavkom 6. člena ZVOP 2 so vse obvezne sestavine obdelave določene z zakonom, in sicer obdelava obsega razkritje identitete z vključitvijo podatkov v prospekt oziroma dokument o uvrstitvi (tretji odstavek), spremembe pa v letno poročilo (peti odstavek). Vrsta podatkov je omejena na identiteto, pri čemer se pri fizičnih osebah zahteva le navedba osebnega imena (četrti odstavek), kategoriji posameznikov, na katere se obdelava nanaša, pa sta določeni v 4. točki tretjega odstavka. Namen obdelave je zagotoviti preglednost delniške strukture z delnicami z večkratno glasovalno pravico in obveščenost vlagateljev. Rok hrambe oziroma javne dostopnosti podatkov pa je določen z ureditvijo dokumentov, v katere se podatki vključijo. Za prospekt z neposredno uporabljivo Uredbo 2017/1129/EU, ki v sedmem odstavku 21. člena zahteva javno dostopnost prospekta najmanj deset let po objavi, v 36. členu pa ureja varstvo osebnih podatkov.</w:t>
      </w:r>
      <w:r>
        <w:br/>
        <w:t xml:space="preserve"> </w:t>
      </w:r>
    </w:p>
    <w:p w14:paraId="3D749C5C" w14:textId="77777777" w:rsidR="000317F7" w:rsidRDefault="00F06B25">
      <w:pPr>
        <w:spacing w:after="0" w:line="240" w:lineRule="auto"/>
      </w:pPr>
      <w:r>
        <w:t xml:space="preserve">Namen vključitve teh predpisanih podatkov v prospekt ali dokument o uvrstitvi je zagotoviti natančne in celovite informacije o delniški strukturi družb z delnicami z večkratno glasovalno pravico, ki so osnova za zaupanje vlagateljev ter so nujne za sprejemanje informiranih naložbenih odločitev. Struktura družb z delnicami z večkratno glasovalno pravico namreč omogoča ohranitev nadzora ustanoviteljev ali kontrolnih delničarjev po uvrstitvi na MTF, vendar lahko pri kontrolnih delničarjih poveča tveganje izkoriščanja zasebnih koristi in razredči vpliv manjšinskih delničarjev. Z obveznim razkritjem se zagotavljata varstvo manjšinskih vlagateljev in učinkovitost trga, ne da bi se omejevala uporaba takšnih struktur. Zahteva velja tako ob sprejetju ali spremembi strukture družb z delnicami z večkratno glasovalno pravico v skladu z Zakonom o gospodarskih družbah (Uradni list RS, št. 65/09 – uradno prečiščeno besedilo, 33/11, 91/11, 32/12, 57/12, 44/13 – </w:t>
      </w:r>
      <w:proofErr w:type="spellStart"/>
      <w:r>
        <w:t>odl</w:t>
      </w:r>
      <w:proofErr w:type="spellEnd"/>
      <w:r>
        <w:t xml:space="preserve">. US, 82/13, 55/15, 15/17, 22/19 – </w:t>
      </w:r>
      <w:proofErr w:type="spellStart"/>
      <w:r>
        <w:t>ZPosS</w:t>
      </w:r>
      <w:proofErr w:type="spellEnd"/>
      <w:r>
        <w:t xml:space="preserve">, 158/20 – </w:t>
      </w:r>
      <w:proofErr w:type="spellStart"/>
      <w:r>
        <w:t>ZIntPK</w:t>
      </w:r>
      <w:proofErr w:type="spellEnd"/>
      <w:r>
        <w:t xml:space="preserve">-C, 18/21, 18/23 – ZDU-1O, 75/23, 102/24, 77/25 in 10/26 – </w:t>
      </w:r>
      <w:proofErr w:type="spellStart"/>
      <w:r>
        <w:t>ZdZEETD</w:t>
      </w:r>
      <w:proofErr w:type="spellEnd"/>
      <w:r>
        <w:t xml:space="preserve">; v nadaljnjem besedilu: ZGD-1) kot tudi po uvrstitvi, če pride do sprememb. To pomeni, da mora izdajatelj z delnicami z večkratno glasovalno pravico že v dokumentu, ki ga vlagatelji preberejo pred nakupom delnic na MTF ali razvojnem trgu MSP, jasno in podrobno predstaviti </w:t>
      </w:r>
      <w:r>
        <w:lastRenderedPageBreak/>
        <w:t>celotno delniško strukturo (vse razrede delnic, tudi neuvrščene), razmerje glasovalnih pravic, morebitne omejitve prenosa ali glasovanja. Vlagatelji tako pridobijo celostno informacijo o prevladujoči razporeditvi nadzora, morebitnih tveganjih upravljanja in vplivu na njihove pravice, kar jim omogoča informirano odločitev o naložbi. Razkritje je omejeno na podatke, ki so izdajatelju znani, in spoštuje načelo sorazmernosti.</w:t>
      </w:r>
    </w:p>
    <w:p w14:paraId="3D9F4A77" w14:textId="77777777" w:rsidR="000317F7" w:rsidRDefault="00F06B25">
      <w:pPr>
        <w:spacing w:after="0" w:line="240" w:lineRule="auto"/>
      </w:pPr>
      <w:r>
        <w:t xml:space="preserve"> </w:t>
      </w:r>
    </w:p>
    <w:p w14:paraId="22F8974A" w14:textId="77777777" w:rsidR="000317F7" w:rsidRDefault="00F06B25">
      <w:pPr>
        <w:spacing w:after="0" w:line="240" w:lineRule="auto"/>
      </w:pPr>
      <w:r>
        <w:t>Predlagani 76.a člen ne ureja vsebine prospekta, temveč izdajatelju le nalaga, da podatke iz tretjega odstavka tega člena vključi v prospekt oziroma, kadar prospekta ni, v dokument o uvrstitvi. Vsebino prospekta namreč določa neposredno uporabljiva Uredba 2017/1129/EU o prospektu, katere priloge so bile z Uredbo (EU) 2024/2809 dopolnjene tako, da v razdelkih o značilnostih vrednostnih papirjev (»Pogoji za vrednostne papirje« oziroma »Bistvene informacije o delnicah«) izrecno določajo, da prospekt, kadar je ustrezno, vključuje informacije iz 5. člena Direktive 2024/2810/EU. Ker se to pravilo sproži ob obstoju delniške strukture z delnicami z večkratno glasovalno pravico, bo izdajatelj s tako strukturo te podatke vključil v prospekt že na podlagi navedene uredbe, 76.a člen pa v skladu s tem iste podatke zahteva tudi tedaj, ko prospekta ni in se objavi le dokument o uvrstitvi. Tako se prepreči podvajanje vsebine in zagotovi, da podatki iz tretjega odstavka 5. člena direktive dosežejo vlagatelja ne glede na to, kateri dokument se v konkretnem primeru objavi.</w:t>
      </w:r>
    </w:p>
    <w:p w14:paraId="35D0C67A" w14:textId="77777777" w:rsidR="000317F7" w:rsidRDefault="00F06B25">
      <w:pPr>
        <w:spacing w:after="0" w:line="240" w:lineRule="auto"/>
      </w:pPr>
      <w:r>
        <w:t xml:space="preserve"> </w:t>
      </w:r>
    </w:p>
    <w:p w14:paraId="255B12EF" w14:textId="77777777" w:rsidR="000317F7" w:rsidRDefault="00F06B25">
      <w:pPr>
        <w:spacing w:after="0" w:line="240" w:lineRule="auto"/>
      </w:pPr>
      <w:r>
        <w:t>Direktiva 2024/2810/EU v svojem zavezujočem delu ureja izključno uvrstitev delnic z večkratno glasovalno pravico v trgovanje v MTF, vključno z razvojnimi trgi MSP. Glede tega državam članicam nalaga obveznost v 3. členu, da morajo družbam zagotoviti pravico, da pred uvrstitvijo na MTF sprejmejo delniško strukturo z delnicami z večkratno glasovalno pravico, in upravljavcem MTF preprečiti, da bi uvrstitev zavrnili samo zaradi take strukture.</w:t>
      </w:r>
    </w:p>
    <w:p w14:paraId="31F221C8" w14:textId="77777777" w:rsidR="000317F7" w:rsidRDefault="00F06B25">
      <w:pPr>
        <w:spacing w:after="0" w:line="240" w:lineRule="auto"/>
      </w:pPr>
      <w:r>
        <w:t xml:space="preserve"> </w:t>
      </w:r>
    </w:p>
    <w:p w14:paraId="3106D005" w14:textId="77777777" w:rsidR="000317F7" w:rsidRDefault="00F06B25">
      <w:pPr>
        <w:spacing w:after="0" w:line="240" w:lineRule="auto"/>
      </w:pPr>
      <w:r>
        <w:t>Direktiva pa uvrstitve takih družb na organizirani (regulirani) trg ne ureja in je tudi ne zahteva, hkrati pa je ne prepoveduje. Možnost, da se delnice z večkratno glasovalno pravico dopustijo tudi družbam, ki se želijo uvrstiti na organizirani trg (ali ostajajo nejavne), izhaja iz uvodne izjave številka 10 Direktive 2024/2810/EU, ki državam članicam prepušča presojo za tak širši način delovanja. Gre torej za dopustno državno odločitev, katere pravna podlaga je nacionalno korporacijsko pravo, ne direktiva sama.</w:t>
      </w:r>
    </w:p>
    <w:p w14:paraId="6D672BE7" w14:textId="77777777" w:rsidR="000317F7" w:rsidRDefault="00F06B25">
      <w:pPr>
        <w:spacing w:after="0" w:line="240" w:lineRule="auto"/>
      </w:pPr>
      <w:r>
        <w:t xml:space="preserve"> </w:t>
      </w:r>
    </w:p>
    <w:p w14:paraId="2A0C1FD3" w14:textId="77777777" w:rsidR="000317F7" w:rsidRDefault="00F06B25">
      <w:pPr>
        <w:spacing w:after="0" w:line="240" w:lineRule="auto"/>
      </w:pPr>
      <w:r>
        <w:t>Te ugotovitve ne spreminja niti tretji odstavek 3. člena Direktive 2024/2810/EU, ki državam članicam dopušča, da uveljavljanje večjih glasovalnih pravic pogojijo z uvrstitvijo delnic družbe v trgovanje na MTF. Gre za možnost, ne za zapoved, ki ostaja v celoti znotraj okvira MTF. Ta državi članici dovoljuje uvedbo modela, po katerem večje glasovalne pravice začnejo učinkovati šele z uvrstitvijo na MTF, ne določa pa, da te pravice zunaj MTF ne bi smele učinkovati. Določba zato ne posega v dopustnost širšega načina delovanja glede organiziranega trga in ne ustvarja nobene dodatne obveznosti ali omejitve v zvezi z njim.</w:t>
      </w:r>
    </w:p>
    <w:p w14:paraId="2E2DB280" w14:textId="77777777" w:rsidR="000317F7" w:rsidRDefault="00F06B25">
      <w:pPr>
        <w:spacing w:after="0" w:line="240" w:lineRule="auto"/>
      </w:pPr>
      <w:r>
        <w:t xml:space="preserve"> </w:t>
      </w:r>
    </w:p>
    <w:p w14:paraId="2A25B1F7" w14:textId="77777777" w:rsidR="000317F7" w:rsidRDefault="00F06B25">
      <w:pPr>
        <w:spacing w:after="0" w:line="240" w:lineRule="auto"/>
      </w:pPr>
      <w:r>
        <w:t>Preglednost družb z delnicami z večkratno glasovalno pravico, ki se uvrstijo na organizirani trg, je pri tem ustrezno zagotovljena z drugimi, že veljavnimi predpisi, ki ta trg urejajo, zlasti z ureditvijo prospekta po Uredbi 2017/1129/EU, z določbami o nadzorovanih informacijah za izdajatelje na organiziranem trgu in z obveznostmi razkritja v letnem poročilu po ZGD-1.</w:t>
      </w:r>
    </w:p>
    <w:p w14:paraId="032925EE" w14:textId="77777777" w:rsidR="000317F7" w:rsidRDefault="00F06B25">
      <w:pPr>
        <w:spacing w:after="0" w:line="240" w:lineRule="auto"/>
      </w:pPr>
      <w:r>
        <w:t xml:space="preserve"> </w:t>
      </w:r>
    </w:p>
    <w:p w14:paraId="5CA0BCBA" w14:textId="77777777" w:rsidR="000317F7" w:rsidRDefault="00F06B25">
      <w:pPr>
        <w:spacing w:after="0" w:line="240" w:lineRule="auto"/>
      </w:pPr>
      <w:r>
        <w:t xml:space="preserve">Slovenija bi sicer lahko uvrstitev delnic z večkratno glasovalno pravico na organizirani trg prepovedala, vendar taka prepoved ne bi bila smotrna. Izbrani širši način delovanja, ki je skladen tudi z ureditvami primerljivih držav članic (zlasti nemškega § 135a </w:t>
      </w:r>
      <w:proofErr w:type="spellStart"/>
      <w:r>
        <w:t>Aktiengesetz</w:t>
      </w:r>
      <w:proofErr w:type="spellEnd"/>
      <w:r>
        <w:t>), ohranja konkurenčnost slovenskega pravnega in finančnega okolja ter preprečuje, da bi se družbe, ki želijo tako strukturo, selile v druge jurisdikcije.</w:t>
      </w:r>
    </w:p>
    <w:p w14:paraId="1D751E4A" w14:textId="77777777" w:rsidR="000317F7" w:rsidRDefault="00F06B25">
      <w:pPr>
        <w:spacing w:after="0" w:line="240" w:lineRule="auto"/>
      </w:pPr>
      <w:r>
        <w:t xml:space="preserve"> </w:t>
      </w:r>
    </w:p>
    <w:p w14:paraId="3117CAE2" w14:textId="77777777" w:rsidR="000317F7" w:rsidRDefault="00F06B25">
      <w:pPr>
        <w:spacing w:after="0" w:line="240" w:lineRule="auto"/>
        <w:jc w:val="left"/>
      </w:pPr>
      <w:r>
        <w:t>Če bi se Slovenija za prepoved kljub temu odločila, bi morala v ZGD 1 nujno urediti tudi prehod družbe z MTF na organizirani trg ob ohranitvi delnic z večkratno glasovalno pravico. Določiti bi morala, kaj se s temi delnicami zgodi ob takem prehodu (na primer prenehanje glasovalnih privilegijev).</w:t>
      </w:r>
      <w:r>
        <w:br/>
        <w:t xml:space="preserve"> </w:t>
      </w:r>
    </w:p>
    <w:p w14:paraId="78CF1D4F" w14:textId="77777777" w:rsidR="000317F7" w:rsidRDefault="00F06B25">
      <w:pPr>
        <w:spacing w:after="0" w:line="240" w:lineRule="auto"/>
      </w:pPr>
      <w:r>
        <w:t>Sprememba ne posega v druge določbe ZTFI-1 o prospektih ali uvrstitvi, temveč le dopolnjuje obstoječi okvir z minimalnimi usklajenimi zahtevami EU, ki zagotavljajo enotno raven varstva vlagateljev po vsej EU.</w:t>
      </w:r>
    </w:p>
    <w:p w14:paraId="3CA45E67" w14:textId="77777777" w:rsidR="000317F7" w:rsidRDefault="000317F7">
      <w:pPr>
        <w:spacing w:after="0" w:line="260" w:lineRule="auto"/>
        <w:rPr>
          <w:rFonts w:cs="Arial"/>
        </w:rPr>
      </w:pPr>
    </w:p>
    <w:p w14:paraId="08C67541" w14:textId="77777777" w:rsidR="000317F7" w:rsidRDefault="00F06B25">
      <w:pPr>
        <w:pStyle w:val="Odebeljeno"/>
        <w:spacing w:line="260" w:lineRule="auto"/>
      </w:pPr>
      <w:r>
        <w:t>K 6. členu:</w:t>
      </w:r>
    </w:p>
    <w:p w14:paraId="408CFE4D" w14:textId="77777777" w:rsidR="000317F7" w:rsidRDefault="00F06B25">
      <w:pPr>
        <w:spacing w:after="0" w:line="240" w:lineRule="auto"/>
      </w:pPr>
      <w:r>
        <w:lastRenderedPageBreak/>
        <w:t>S tem členom se spreminja 81. člen ZTFI-1, ki ureja odškodninsko odgovornost v zvezi s prospektom. Sprememba šestega odstavka 81. člena ZTFI-1 usklajuje besedilo z devetim odstavkom 1. člena Uredbe (EU) 2024/2809, ki spreminja Uredbo o prospektu. Nova ureditev pojasnjuje, da osebe iz prvega odstavka v zvezi s povzetkom prospekta niso odškodninsko odgovorne, razen če je povzetek zavajajoč, nepravilen ali v neskladju z drugimi deli prospekta.</w:t>
      </w:r>
    </w:p>
    <w:p w14:paraId="7C04B8F2" w14:textId="77777777" w:rsidR="000317F7" w:rsidRDefault="000317F7">
      <w:pPr>
        <w:spacing w:after="0" w:line="260" w:lineRule="auto"/>
        <w:rPr>
          <w:rFonts w:cs="Arial"/>
        </w:rPr>
      </w:pPr>
    </w:p>
    <w:p w14:paraId="5C38081C" w14:textId="77777777" w:rsidR="000317F7" w:rsidRDefault="00F06B25">
      <w:pPr>
        <w:pStyle w:val="Odebeljeno"/>
        <w:spacing w:line="260" w:lineRule="auto"/>
      </w:pPr>
      <w:r>
        <w:t>K 7. členu:</w:t>
      </w:r>
    </w:p>
    <w:p w14:paraId="6C9BFF19" w14:textId="77777777" w:rsidR="000317F7" w:rsidRDefault="00F06B25">
      <w:pPr>
        <w:spacing w:after="0" w:line="240" w:lineRule="auto"/>
      </w:pPr>
      <w:r>
        <w:t>S tem členom se v 172. členu zakona črta sklicevanje na Direktivo 2001/34/ES, ki se razveljavlja.</w:t>
      </w:r>
    </w:p>
    <w:p w14:paraId="3796559F" w14:textId="77777777" w:rsidR="000317F7" w:rsidRDefault="000317F7">
      <w:pPr>
        <w:spacing w:after="0" w:line="260" w:lineRule="auto"/>
        <w:rPr>
          <w:rFonts w:cs="Arial"/>
        </w:rPr>
      </w:pPr>
    </w:p>
    <w:p w14:paraId="1D5F9233" w14:textId="77777777" w:rsidR="000317F7" w:rsidRDefault="00F06B25">
      <w:pPr>
        <w:pStyle w:val="Odebeljeno"/>
        <w:spacing w:line="260" w:lineRule="auto"/>
      </w:pPr>
      <w:r>
        <w:t>K 8. členu:</w:t>
      </w:r>
    </w:p>
    <w:p w14:paraId="76787568" w14:textId="77777777" w:rsidR="000317F7" w:rsidRDefault="00F06B25">
      <w:pPr>
        <w:spacing w:after="0" w:line="240" w:lineRule="auto"/>
      </w:pPr>
      <w:r>
        <w:t>S tem členom se črtajo petindvajseti, šestindvajseti in sedemindvajseti odstavek 251. člena ZTFI-1, ki so doslej urejali pravila o plačevanju raziskav. Ta vsebina se s tem zakonom prenaša v nov, 251.b člen, ki celovito ureja to vsebino v skladu z novimi zahtevami Direktive 2014/65/EU, kakor je bila spremenjena z Direktivo 2024/2811/EU (podrobneje v obrazložitvi k 9. členu).</w:t>
      </w:r>
    </w:p>
    <w:p w14:paraId="063D108B" w14:textId="77777777" w:rsidR="000317F7" w:rsidRDefault="000317F7">
      <w:pPr>
        <w:spacing w:after="0" w:line="260" w:lineRule="auto"/>
        <w:rPr>
          <w:rFonts w:cs="Arial"/>
        </w:rPr>
      </w:pPr>
    </w:p>
    <w:p w14:paraId="6FB05E6A" w14:textId="77777777" w:rsidR="000317F7" w:rsidRDefault="00F06B25">
      <w:pPr>
        <w:pStyle w:val="Odebeljeno"/>
        <w:spacing w:line="260" w:lineRule="auto"/>
      </w:pPr>
      <w:r>
        <w:t>K 9. členu:</w:t>
      </w:r>
    </w:p>
    <w:p w14:paraId="5C22F201" w14:textId="77777777" w:rsidR="000317F7" w:rsidRDefault="00F06B25">
      <w:pPr>
        <w:spacing w:after="0" w:line="240" w:lineRule="auto"/>
      </w:pPr>
      <w:r>
        <w:t>S tem členom se dodajata nova, 251.a in 251.b člen ZTFI-1, ki prenašata novi 3a do 3e odstavek in spremenjeni 9a odstavek 24. člena Direktive 2014/65/EU, kakor so bili spremenjeni oziroma dopolnjeni z Direktivo 2024/2811/EU. Namen je povečati preglednost, integriteto in zaupanje vlagateljev v raziskovalna gradiva ter hkrati spodbuditi dostop do raziskav, zlasti za mala in srednja podjetja.</w:t>
      </w:r>
    </w:p>
    <w:p w14:paraId="43AB06FA" w14:textId="77777777" w:rsidR="000317F7" w:rsidRDefault="00F06B25">
      <w:pPr>
        <w:spacing w:after="0" w:line="240" w:lineRule="auto"/>
      </w:pPr>
      <w:r>
        <w:t xml:space="preserve"> </w:t>
      </w:r>
    </w:p>
    <w:p w14:paraId="13376CE8" w14:textId="77777777" w:rsidR="000317F7" w:rsidRDefault="00F06B25">
      <w:pPr>
        <w:spacing w:after="0" w:line="240" w:lineRule="auto"/>
      </w:pPr>
      <w:r>
        <w:t xml:space="preserve">Direktiva 2024/2811/EU v angleški različici uvaja izraz </w:t>
      </w:r>
      <w:proofErr w:type="spellStart"/>
      <w:r>
        <w:t>issuer-sponsored</w:t>
      </w:r>
      <w:proofErr w:type="spellEnd"/>
      <w:r>
        <w:t xml:space="preserve"> </w:t>
      </w:r>
      <w:proofErr w:type="spellStart"/>
      <w:r>
        <w:t>research</w:t>
      </w:r>
      <w:proofErr w:type="spellEnd"/>
      <w:r>
        <w:t>, ki ga slovenska uradna različica direktive prevaja kot »raziskave, ki jih naroči izdajatelj«. V tem zakonu se namesto navedenega prevoda dosledno uporablja izraz »raziskave, ki jih plača izdajatelj« oziroma »kodeks ravnanja EU za raziskave, ki jih plača izdajatelj«. Bistvo zakonodajne ureditve je urejanje finančnega razmerja med izdajateljem in pripravljavcem raziskave ter obvladovanje tveganj nasprotja interesov, ki iz tega razmerja izhajajo, ne pa pravne oblike naročila storitve. Glagol »plača« neposredno opisuje to ekonomsko razmerje in razlog za posebne zahteve glede priprave, označevanja in distribucije takšnih raziskav, kakor jih podrobneje ureja kodeks ravnanja Evropske unije, ki ga sprejme Evropska komisija.</w:t>
      </w:r>
    </w:p>
    <w:p w14:paraId="5059A9B7" w14:textId="77777777" w:rsidR="000317F7" w:rsidRDefault="00F06B25">
      <w:pPr>
        <w:spacing w:after="0" w:line="240" w:lineRule="auto"/>
      </w:pPr>
      <w:r>
        <w:t xml:space="preserve"> </w:t>
      </w:r>
    </w:p>
    <w:p w14:paraId="1AD0BC7B" w14:textId="77777777" w:rsidR="000317F7" w:rsidRDefault="00F06B25">
      <w:pPr>
        <w:spacing w:after="0" w:line="240" w:lineRule="auto"/>
      </w:pPr>
      <w:r>
        <w:t>V 251.a členu ZTFI-1 ureja raziskave, ki jih pripravijo borznoposredniške družbe ali tretje osebe, in prenaša 3a do 3e odstavek 24. člena Direktive 2014/65/EU.</w:t>
      </w:r>
    </w:p>
    <w:p w14:paraId="54DB7CD8" w14:textId="77777777" w:rsidR="000317F7" w:rsidRDefault="00F06B25">
      <w:pPr>
        <w:spacing w:after="0" w:line="240" w:lineRule="auto"/>
      </w:pPr>
      <w:r>
        <w:t xml:space="preserve"> </w:t>
      </w:r>
    </w:p>
    <w:p w14:paraId="03515339" w14:textId="77777777" w:rsidR="000317F7" w:rsidRDefault="00F06B25">
      <w:pPr>
        <w:spacing w:after="0" w:line="240" w:lineRule="auto"/>
      </w:pPr>
      <w:r>
        <w:t xml:space="preserve">Prvi odstavek določa osnovno zahtevo za vse raziskave, in sicer da morajo biti poštene, jasne in </w:t>
      </w:r>
      <w:proofErr w:type="spellStart"/>
      <w:r>
        <w:t>nezavajajoče</w:t>
      </w:r>
      <w:proofErr w:type="spellEnd"/>
      <w:r>
        <w:t>. To pomeni, da morajo biti informacije predstavljene uravnoteženo, brez selektivnega prikazovanja dejstev, da morajo biti uporabljeni izrazi, metodologija in ugotovitve predstavljeni na razumljiv način ter da raziskave ne smejo vsebovati prikritih interesov ali zavajajočih poudarkov, ki bi lahko vplivali na investicijske odločitve vlagateljev. Gre za upoštevanje splošnega načela varstva vlagateljev in pravil poslovanja investicijskih podjetij, ki zagotavlja, da raziskave ne delujejo kot prikrito trženje ali promocija finančnih instrumentov.</w:t>
      </w:r>
    </w:p>
    <w:p w14:paraId="61F262A2" w14:textId="77777777" w:rsidR="000317F7" w:rsidRDefault="00F06B25">
      <w:pPr>
        <w:spacing w:after="0" w:line="240" w:lineRule="auto"/>
      </w:pPr>
      <w:r>
        <w:t xml:space="preserve"> </w:t>
      </w:r>
    </w:p>
    <w:p w14:paraId="2ABED226" w14:textId="77777777" w:rsidR="000317F7" w:rsidRDefault="00F06B25">
      <w:pPr>
        <w:spacing w:after="0" w:line="240" w:lineRule="auto"/>
      </w:pPr>
      <w:r>
        <w:t>Drugi odstavek določa, da morajo biti raziskave jasno in vidno prepoznavne kot raziskave oziroma ustrezno označene s podobnimi izrazi, vendar le pod pogojem, da izpolnjujejo vse zahteve, ki veljajo za raziskave po pravu EU. Uporabniku mora biti nedvoumno jasno, da gre za raziskovalno gradivo in ne za tržno sporočilo, pri čemer se oznaka »raziskava« ali podobna oznaka lahko uporablja le, če so izpolnjeni vsi pogoji iz Delegirane uredbe (EU) 2017/565. S tem se preprečuje zloraba oznake »raziskava« za gradiva, ki bi bilo v resnici promocija ali oglaševanje, ter zagotavlja pravilna razmejitev med investicijskimi raziskavami in tržnimi sporočili.</w:t>
      </w:r>
    </w:p>
    <w:p w14:paraId="7590B87E" w14:textId="77777777" w:rsidR="000317F7" w:rsidRDefault="00F06B25">
      <w:pPr>
        <w:spacing w:after="0" w:line="240" w:lineRule="auto"/>
      </w:pPr>
      <w:r>
        <w:t xml:space="preserve"> </w:t>
      </w:r>
    </w:p>
    <w:p w14:paraId="4C02BEEC" w14:textId="77777777" w:rsidR="000317F7" w:rsidRDefault="00F06B25">
      <w:pPr>
        <w:spacing w:after="0" w:line="240" w:lineRule="auto"/>
      </w:pPr>
      <w:r>
        <w:t>Tretji odstavek uvaja posebno ureditev za raziskave, ki jih plača izdajatelj. Določa, da se lahko raziskave, ki jih v celoti ali delno plača izdajatelj finančnega instrumenta in jih distribuirajo borznoposredniške družbe, označijo kot »raziskave, ki jih plača izdajatelj« samo, če so pripravljene v skladu s kodeksom ravnanja Evropske unije, ki ga sprejme Evropska komisija v obliki regulativnih tehničnih standardov. Namen te določbe je omogočiti večjo dostopnost raziskav, zlasti za manjše izdajatelje, ob hkratnem zagotavljanju standardov neodvisnosti, preglednosti in ustreznega razkritja interesov, saj takšne raziskave že po svoji naravnanosti vsebujejo potencialni konflikt interesov, ker jih plača izdajatelj.</w:t>
      </w:r>
    </w:p>
    <w:p w14:paraId="20633509" w14:textId="77777777" w:rsidR="000317F7" w:rsidRDefault="00F06B25">
      <w:pPr>
        <w:spacing w:after="0" w:line="240" w:lineRule="auto"/>
      </w:pPr>
      <w:r>
        <w:lastRenderedPageBreak/>
        <w:t xml:space="preserve"> </w:t>
      </w:r>
    </w:p>
    <w:p w14:paraId="18F650D2" w14:textId="77777777" w:rsidR="000317F7" w:rsidRDefault="00F06B25">
      <w:pPr>
        <w:spacing w:after="0" w:line="240" w:lineRule="auto"/>
      </w:pPr>
      <w:r>
        <w:t>Četrti odstavek določa, da morajo borznoposredniške družbe, ki pripravljajo ali distribuirajo raziskave, ki jih plača izdajatelj, vzpostaviti ustrezno organizacijsko strukturo, ki zagotavlja skladnost priprave takšnih raziskav s kodeksom ravnanja Evropske unije. To vključuje zlasti zagotavljanje neodvisnosti analitičnega procesa, ustrezno upravljanje in preprečevanje nasprotij interesov ter vzpostavitev učinkovitih notranjih kontrol in nadzora. S tem se zagotavlja, da dejstvo, da raziskave plača izdajatelj, ne vpliva na njihovo objektivnost in verodostojnost.</w:t>
      </w:r>
    </w:p>
    <w:p w14:paraId="3C8744C2" w14:textId="77777777" w:rsidR="000317F7" w:rsidRDefault="00F06B25">
      <w:pPr>
        <w:spacing w:after="0" w:line="240" w:lineRule="auto"/>
      </w:pPr>
      <w:r>
        <w:t xml:space="preserve"> </w:t>
      </w:r>
    </w:p>
    <w:p w14:paraId="2C65905B" w14:textId="77777777" w:rsidR="000317F7" w:rsidRDefault="00F06B25">
      <w:pPr>
        <w:spacing w:after="0" w:line="240" w:lineRule="auto"/>
      </w:pPr>
      <w:r>
        <w:t>Peti odstavek omogoča, da izdajatelj predloži raziskave, ki jih plača izdajatelj, v evropsko enotno točko dostopa po ATVP v skladu z Uredbo 2023/2859/EU. Takšnim raziskavam morajo biti priloženi metapodatki, iz katerih izhaja, da so pripravljene v skladu s kodeksom ravnanja Evropske unije. Hkrati se določa, da se takšne raziskave ne štejejo za nadzorovane informacije ali investicijske raziskave po tem zakonu, zato zanje ne velja enak nadzorni režim.</w:t>
      </w:r>
    </w:p>
    <w:p w14:paraId="4F5FD0A5" w14:textId="77777777" w:rsidR="000317F7" w:rsidRDefault="00F06B25">
      <w:pPr>
        <w:spacing w:after="0" w:line="240" w:lineRule="auto"/>
      </w:pPr>
      <w:r>
        <w:t xml:space="preserve"> </w:t>
      </w:r>
    </w:p>
    <w:p w14:paraId="29D41EC3" w14:textId="77777777" w:rsidR="000317F7" w:rsidRDefault="00F06B25">
      <w:pPr>
        <w:spacing w:after="0" w:line="240" w:lineRule="auto"/>
      </w:pPr>
      <w:r>
        <w:t>Šesti odstavek določa obveznosti glede jasnega označevanja raziskav, ki jih plača izdajatelj. Na naslovnici mora biti jasno in vidno navedeno, da so bile pripravljene v skladu s kodeksom ravnanja Evropske unije. Če raziskovalno gradivo, ki ga v celoti ali delno plača izdajatelj, ni pripravljeno v skladu s tem kodeksom, se ne sme predstavljati kot raziskava, temveč se mora označiti kot tržno sporočilo. Ta določba je ključna za preprečevanje zavajanja vlagateljev ter jasno razlikovanje med raziskavami in promocijskimi vsebinami, s čimer se zagotavlja pravilno razumevanje, za kakšne vrste gradiv gre.</w:t>
      </w:r>
    </w:p>
    <w:p w14:paraId="49ACE9FE" w14:textId="77777777" w:rsidR="000317F7" w:rsidRDefault="00F06B25">
      <w:pPr>
        <w:spacing w:after="0" w:line="240" w:lineRule="auto"/>
      </w:pPr>
      <w:r>
        <w:t xml:space="preserve"> </w:t>
      </w:r>
    </w:p>
    <w:p w14:paraId="0999963C" w14:textId="77777777" w:rsidR="000317F7" w:rsidRDefault="00F06B25">
      <w:pPr>
        <w:spacing w:after="0" w:line="240" w:lineRule="auto"/>
      </w:pPr>
      <w:r>
        <w:t>Člen 251.b ureja pogoje, pod katerimi lahko borznoposredniška družba uporablja raziskave, ki jih zanjo pripravljajo tretje osebe, ter v pravni red Republike Slovenije prenaša spremenjeni 9a odstavek 24. člena Direktive 2014/65/EU. Hkrati nadomešča dosedanjo ureditev iz črtanega petindvajsetega odstavka 251. člena ZTFI-1 ter ohranja opredelitve raziskav iz nekdanjih šestindvajsetega in sedemindvajsetega odstavka tega člena. Namen določbe je nadaljnje izboljšanje preglednosti stroškov raziskav, zmanjševanje nasprotij interesov ter povečanje dostopnosti raziskav na trgu ob hkratnem varstvu interesov vlagateljev.</w:t>
      </w:r>
    </w:p>
    <w:p w14:paraId="642530EB" w14:textId="77777777" w:rsidR="000317F7" w:rsidRDefault="00F06B25">
      <w:pPr>
        <w:spacing w:after="0" w:line="240" w:lineRule="auto"/>
      </w:pPr>
      <w:r>
        <w:t xml:space="preserve"> </w:t>
      </w:r>
    </w:p>
    <w:p w14:paraId="01D29F43" w14:textId="77777777" w:rsidR="000317F7" w:rsidRDefault="00F06B25">
      <w:pPr>
        <w:spacing w:after="0" w:line="240" w:lineRule="auto"/>
      </w:pPr>
      <w:r>
        <w:t>Prvi odstavek določa pogoje, pod katerimi se šteje, da raziskave, ki jih za borznoposredniško družbo pripravljajo tretje osebe, izpolnjujejo zahteve glede dopustnosti plačil oziroma spodbud. Ključna novost te ureditve je odprava prejšnje omejitve, po kateri je bilo skupno plačevanje storitev izvrševanja naročil in raziskav dovoljeno le, kadar so se raziskave nanašale na izdajatelje s tržno kapitalizacijo pod pragom ene milijarde evrov. Nova ureditev omogoča, da borznoposredniške družbe za vse izdajatelje ne glede na njihovo tržno kapitalizacijo uporabljajo bodisi model ločenega bodisi model skupnega plačevanja storitev izvrševanja naročil in raziskav pod pogojem, da so izpolnjene zahteve glede preglednosti, razkritij in upravljanja nasprotij interesov. S tem se odpravlja prejšnja segmentacija trga in omogoča večja prilagodljivost pri plačevanju za raziskave, kar naj bi prispevalo k širši dostopnosti raziskovalnih vsebin. Hkrati določba ohranja temeljno načelo ureditve iz Direktive 2014/65/EU, da morajo biti stroški raziskav pregledni in ustrezno upravljani, saj morajo borznoposredniške družbe z ustreznim sporazumom določiti metodologijo plačil, stranke vnaprej obvestiti o načinu plačevanja ter redno ocenjevati kakovost in vrednost prejetih raziskav.</w:t>
      </w:r>
    </w:p>
    <w:p w14:paraId="0834726F" w14:textId="77777777" w:rsidR="000317F7" w:rsidRDefault="00F06B25">
      <w:pPr>
        <w:spacing w:after="0" w:line="240" w:lineRule="auto"/>
      </w:pPr>
      <w:r>
        <w:t xml:space="preserve"> </w:t>
      </w:r>
    </w:p>
    <w:p w14:paraId="5F16BC6E" w14:textId="77777777" w:rsidR="000317F7" w:rsidRDefault="00F06B25">
      <w:pPr>
        <w:spacing w:after="0" w:line="240" w:lineRule="auto"/>
      </w:pPr>
      <w:r>
        <w:t>Drugi in tretji odstavek ohranjata vsebinsko opredelitev raziskav, kakor je bila že uveljavljena v veljavnem zakonu, pri čemer jasno določata, da raziskave zajemajo tako raziskovalno gradivo kot tudi storitve, ki se nanašajo na finančne instrumente, izdajatelje ali trge ter vključujejo analize, priporočila ali investicijske strategije, ki ustvarjajo dodano vrednost pri odločanju borznoposredniške družbe za račun strank.</w:t>
      </w:r>
    </w:p>
    <w:p w14:paraId="0647A9F6" w14:textId="77777777" w:rsidR="000317F7" w:rsidRDefault="00F06B25">
      <w:pPr>
        <w:spacing w:after="0" w:line="240" w:lineRule="auto"/>
      </w:pPr>
      <w:r>
        <w:t xml:space="preserve"> </w:t>
      </w:r>
    </w:p>
    <w:p w14:paraId="064FFD0A" w14:textId="77777777" w:rsidR="000317F7" w:rsidRDefault="00F06B25">
      <w:pPr>
        <w:spacing w:after="0" w:line="240" w:lineRule="auto"/>
      </w:pPr>
      <w:r>
        <w:t>Četrti odstavek izrecno določa, da se poročila o trgovanju in druge posebne storitve trgovalnega svetovanja, neločljivo povezane z izvršitvijo posla, ne štejejo za raziskave. Namen te določbe je preprečiti, da bi se operativne ali tehnične storitve, ki so neposredno povezane z izvrševanjem naročil, obravnavale kot raziskave in s tem neupravičeno podvrgle pravilom o plačevanju raziskav. S tem se ohranja jasna razmejitev med storitvami izvrševanja in raziskovalnimi storitvami, ki je bistvena za pravilno uporabo pravil o razvezavi plačil in preprečevanje prikritega plačevanja za raziskave v obliki transakcijskih stroškov.</w:t>
      </w:r>
    </w:p>
    <w:p w14:paraId="45AB24BA" w14:textId="77777777" w:rsidR="000317F7" w:rsidRDefault="00F06B25">
      <w:pPr>
        <w:spacing w:after="0" w:line="240" w:lineRule="auto"/>
      </w:pPr>
      <w:r>
        <w:t xml:space="preserve"> </w:t>
      </w:r>
    </w:p>
    <w:p w14:paraId="51ACC0F8" w14:textId="77777777" w:rsidR="000317F7" w:rsidRDefault="00F06B25">
      <w:pPr>
        <w:spacing w:after="0" w:line="240" w:lineRule="auto"/>
      </w:pPr>
      <w:r>
        <w:t xml:space="preserve">Peti odstavek uvaja posebno ureditev za primere, ko borznoposredniška družba prejme raziskavo od neodvisnega ponudnika, torej ponudnika, ki ne opravlja storitev izvrševanja naročil za stranke in ni del </w:t>
      </w:r>
      <w:r>
        <w:lastRenderedPageBreak/>
        <w:t>skupine, ki takšne storitve opravlja. V teh primerih se šteje, da so pogoji glede dopustnosti plačil za raziskave izpolnjeni, saj so to ponudniki, ki ne ustvarjajo enakih tveganj nasprotij interesov kot subjekti, ki hkrati ponujajo izvrševanje naročil in raziskave. Takšna ureditev odraža spremembe na ravni Evropske unije, katerih cilj je izboljšati konkurenčni položaj neodvisnih ponudnikov raziskav ter povečati raznolikost in kakovost raziskovalnih virov na trgu. Ob tem pa mora borznoposredniška družba še vedno izpolnjevati obveznost rednega ocenjevanja kakovosti in vrednosti prejetih raziskav, s čimer se zagotavlja, da so tudi takšne raziskave uporabljene v najboljšem interesu strank.</w:t>
      </w:r>
    </w:p>
    <w:p w14:paraId="6B73DC48" w14:textId="77777777" w:rsidR="000317F7" w:rsidRDefault="00F06B25">
      <w:pPr>
        <w:spacing w:after="0" w:line="240" w:lineRule="auto"/>
      </w:pPr>
      <w:r>
        <w:t xml:space="preserve"> </w:t>
      </w:r>
    </w:p>
    <w:p w14:paraId="56D6AF77" w14:textId="77777777" w:rsidR="000317F7" w:rsidRDefault="00F06B25">
      <w:pPr>
        <w:spacing w:after="0" w:line="240" w:lineRule="auto"/>
      </w:pPr>
      <w:r>
        <w:t>Šesti odstavek določa obveznost borznoposredniške družbe, da vodi evidenco skupnih stroškov, povezanih z raziskavami, ki jih prejema od tretjih oseb, kadar so ti stroški znani, ter da na zahtevo strank te informacije predloži najmanj enkrat letno. Namen te določbe je zagotoviti visoko stopnjo preglednosti stroškov raziskav ter omogočiti strankam, da so ustrezno informirane o tem, kako se njihova sredstva uporabljajo.</w:t>
      </w:r>
    </w:p>
    <w:p w14:paraId="05164512" w14:textId="77777777" w:rsidR="000317F7" w:rsidRDefault="000317F7">
      <w:pPr>
        <w:spacing w:after="0" w:line="260" w:lineRule="auto"/>
        <w:rPr>
          <w:rFonts w:cs="Arial"/>
        </w:rPr>
      </w:pPr>
    </w:p>
    <w:p w14:paraId="4264790A" w14:textId="77777777" w:rsidR="000317F7" w:rsidRDefault="00F06B25">
      <w:pPr>
        <w:pStyle w:val="Odebeljeno"/>
        <w:spacing w:line="260" w:lineRule="auto"/>
      </w:pPr>
      <w:r>
        <w:t>K 10. členu:</w:t>
      </w:r>
    </w:p>
    <w:p w14:paraId="238442A3" w14:textId="77777777" w:rsidR="000317F7" w:rsidRDefault="00F06B25">
      <w:pPr>
        <w:spacing w:after="0" w:line="240" w:lineRule="auto"/>
      </w:pPr>
      <w:r>
        <w:t>S tem členom se dopolnjuje pooblastilo ATVP za izdajo podzakonskih predpisov iz 261. člena ZTFI-1. Spremeni se 4. točka prvega odstavka, ki ATVP poleg dosedanjega pooblastila za predpis podrobnejših pravil o prejemanju koristi od tretjih oseb iz 251. člena tega zakona pooblašča še za predpis podrobnejših pravil o raziskavah, ki jih za borznoposredniško družbo pripravijo tretje osebe in so urejene v novem 251.b členu tega zakona.</w:t>
      </w:r>
    </w:p>
    <w:p w14:paraId="23FD1E10" w14:textId="77777777" w:rsidR="000317F7" w:rsidRDefault="00F06B25">
      <w:pPr>
        <w:spacing w:after="0" w:line="240" w:lineRule="auto"/>
        <w:jc w:val="left"/>
      </w:pPr>
      <w:r>
        <w:br/>
        <w:t>Dopolnitev je potrebna zaradi prenosa Delegirane direktive Komisije (EU) 2026/374 z dne 20. februarja 2026 o spremembi Delegirane direktive (EU) 2017/593 v zvezi s pogoji za opravljanje storitev izvrševanja in raziskav s strani tretjih oseb za investicijska podjetja, ki opravljajo storitve upravljanja portfeljev ali druge investicijske ali pomožne storitve (UL L št. 2026/374 z dne 2. 6. 2026; v nadaljnjem besedilu: Delegirana direktiva 2026/374/EU). Navedena delegirana direktiva v celoti spreminja 13. člen Delegirane direktive (EU) 2017/593, ki podrobneje ureja režim računa za plačilo raziskav in oceno kakovosti raziskav, in ga prilagaja spremenjenemu (9a) odstavku 24. člena Direktive 2014/65/EU, kakor je bil spremenjen z Direktivo 2024/2811/EU.</w:t>
      </w:r>
    </w:p>
    <w:p w14:paraId="40772427" w14:textId="77777777" w:rsidR="000317F7" w:rsidRDefault="00F06B25">
      <w:pPr>
        <w:spacing w:after="0" w:line="240" w:lineRule="auto"/>
        <w:jc w:val="left"/>
      </w:pPr>
      <w:r>
        <w:br/>
        <w:t xml:space="preserve">Vsebina 13. člena  Delegirane direktive (EU) 2017/593 se v pravni red Republike Slovenije prenaša na ravni podzakonskega predpisa ATVP, primarno raven (možnost skupnega ali ločenega plačila za storitve izvrševanja naročil strank in raziskav, pogoje za ločeni račun za plačilo raziskav ter obveznost letne ocene kakovosti, uporabnosti in vrednosti raziskav) pa ureja novi 251.b člen tega zakona. Veljavna 4. točka prvega odstavka 261. člena se je sklicevala le na 251. člen in je bila vsebinsko vezana na prejemanje koristi od tretjih oseb, zato ni zajemala niti novega 251.b člena niti načina plačila raziskav in letne ocene kakovosti raziskav. </w:t>
      </w:r>
    </w:p>
    <w:p w14:paraId="35B2CBED" w14:textId="77777777" w:rsidR="000317F7" w:rsidRDefault="000317F7">
      <w:pPr>
        <w:spacing w:after="0" w:line="260" w:lineRule="auto"/>
        <w:rPr>
          <w:rFonts w:cs="Arial"/>
        </w:rPr>
      </w:pPr>
    </w:p>
    <w:p w14:paraId="2746222F" w14:textId="77777777" w:rsidR="000317F7" w:rsidRDefault="00F06B25">
      <w:pPr>
        <w:pStyle w:val="Odebeljeno"/>
        <w:spacing w:line="260" w:lineRule="auto"/>
      </w:pPr>
      <w:r>
        <w:t>K 11. členu:</w:t>
      </w:r>
    </w:p>
    <w:p w14:paraId="489A2BCE" w14:textId="77777777" w:rsidR="000317F7" w:rsidRDefault="00F06B25">
      <w:pPr>
        <w:spacing w:after="0" w:line="240" w:lineRule="auto"/>
      </w:pPr>
      <w:r>
        <w:t>S tem členom se v 316. člen ZTFI-1 dodaja nov, četrti odstavek, ki prenaša četrti odstavek 3. člena Direktive 2024/2810/EU. Določba prepoveduje upravljavcu MTF, da zavrne uvrstitev delnic družbe v trgovanje le iz razloga, ker je družba sprejela delniško strukturo z delnicami z večkratno glasovalno pravico.</w:t>
      </w:r>
    </w:p>
    <w:p w14:paraId="5D8F69A8" w14:textId="77777777" w:rsidR="000317F7" w:rsidRDefault="00F06B25">
      <w:pPr>
        <w:spacing w:after="0" w:line="240" w:lineRule="auto"/>
      </w:pPr>
      <w:r>
        <w:t xml:space="preserve"> </w:t>
      </w:r>
    </w:p>
    <w:p w14:paraId="61D53A7B" w14:textId="77777777" w:rsidR="000317F7" w:rsidRDefault="00F06B25">
      <w:pPr>
        <w:spacing w:after="0" w:line="240" w:lineRule="auto"/>
      </w:pPr>
      <w:r>
        <w:t xml:space="preserve">Namen te določbe je odpraviti zakonodajno oviro, ki je v preteklosti preprečevala ali oteževala uvrstitev delnic podjetij z delniško strukturo z delnicami z večkratno glasovalno pravico na MTF. Direktiva 2024/2810/EU izhaja iz ugotovitve, da strah pred izgubo nadzora nad podjetjem odvrača ustanovitelje, družinske lastnike in dolgoročne investitorje od javne uvrstitve. Struktura z delnicami z večkratno glasovalno pravico jim omogoča, da ob zbiranju svežega kapitala na trgu ohranijo odločevalno moč in uresničujejo svojo vizijo brez pritiska kratkoročnih tržnih nihanj. Vendar so v nekaterih državah članicah obstajale različne nacionalne ureditve (nekatere so takšne strukture dovoljevale, druge pa ne ali pa so jih omejevale), kar je ustvarjalo ovire za prosti pretok kapitala in neenake konkurenčne pogoje na notranjem trgu EU. Podjetja iz držav, kjer takšne strukture niso bile dovoljene, so se morala bodisi preseliti v drugo državo ali pa so se odpovedala financiranju prek javnih trgov, kar je bilo še posebej problematično za mala in srednja podjetja ter zagonska podjetja, ki nimajo dovolj lastnih sredstev. Zato direktiva (in s tem slovenska transpozicija) nalaga upravljavcem MTF jasno prepoved diskriminacije: ne smejo zavrniti uvrstitve izključno zaradi obstoja delniške strukture z delnicami z večkratno glasovalno pravico. Ureditev ne posega v druge pogoje za </w:t>
      </w:r>
      <w:r>
        <w:lastRenderedPageBreak/>
        <w:t>uvrstitev na MTF, temveč odpravlja točno določeno oviro, ki je izhajala iz razlik v nacionalnih pravilih posameznih držav o delniških strukturah.</w:t>
      </w:r>
    </w:p>
    <w:p w14:paraId="4C316277" w14:textId="77777777" w:rsidR="000317F7" w:rsidRDefault="000317F7">
      <w:pPr>
        <w:spacing w:after="0" w:line="260" w:lineRule="auto"/>
        <w:rPr>
          <w:rFonts w:cs="Arial"/>
        </w:rPr>
      </w:pPr>
    </w:p>
    <w:p w14:paraId="1D9B4AA5" w14:textId="77777777" w:rsidR="000317F7" w:rsidRDefault="00F06B25">
      <w:pPr>
        <w:pStyle w:val="Odebeljeno"/>
        <w:spacing w:line="260" w:lineRule="auto"/>
      </w:pPr>
      <w:r>
        <w:t>K 12. členu:</w:t>
      </w:r>
    </w:p>
    <w:p w14:paraId="698B667E" w14:textId="77777777" w:rsidR="000317F7" w:rsidRDefault="00F06B25">
      <w:pPr>
        <w:spacing w:after="0" w:line="240" w:lineRule="auto"/>
      </w:pPr>
      <w:r>
        <w:t>S tem členom se v 317. člen ZTFI-1 dodaja nov, drugi odstavek, ki prenaša četrti odstavek 5. člena Direktive 2024/2810/EU. Upravljavec MTF mora jasno označiti delnice družb z delniškimi strukturami z delnicami z večkratno glasovalno pravico. Podrobnosti bo določila Komisija z regulativnimi tehničnimi standardi.</w:t>
      </w:r>
    </w:p>
    <w:p w14:paraId="23E7E5B6" w14:textId="77777777" w:rsidR="000317F7" w:rsidRDefault="00F06B25">
      <w:pPr>
        <w:spacing w:after="0" w:line="240" w:lineRule="auto"/>
      </w:pPr>
      <w:r>
        <w:t xml:space="preserve"> </w:t>
      </w:r>
    </w:p>
    <w:p w14:paraId="12644D37" w14:textId="77777777" w:rsidR="000317F7" w:rsidRDefault="00F06B25">
      <w:pPr>
        <w:spacing w:after="0" w:line="240" w:lineRule="auto"/>
      </w:pPr>
      <w:r>
        <w:t>Namen te ureditve je zagotoviti visoko stopnjo preglednosti in informiranosti vlagateljev glede obstoja delniških struktur z večkratno glasovalno pravico, ki lahko bistveno vplivajo na razmerje med lastništvom in glasovalno močjo, saj obvladujoči delničarji ohranijo nadzor kljub izdaji novih delnic. Delniške strukture z večkratno glasovalno pravico namreč lahko vodijo do prevlade odločevalne moči pri obvladujočih delničarjih, kar pomeni tveganje za manjšinske vlagatelje, zato je treba zagotoviti, da vlagatelji jasno vedo, katera delnica pripada delniški strukturi z večkratno glasovalno pravico. Jasna označitev delnic z delniškimi strukturami z večkratno glasovalno pravico na MTF, na primer z markerjem v imenu delnice ali v trgovalnem sistemu, spodbuja preglednost, javno razumevanje in informirano odločanje vlagateljev ter krepi učinkovitost kapitalskih trgov. Ureditev dopolnjuje določbo o prepovedi zavrnitve uvrstitve zaradi delniške strukture z večkratno glasovalno pravico (glej obrazložitev k 12. členu) z nujnim varovalom, saj omogočanje takšnih struktur ne sme ogroziti zaščite vlagateljev. Namesto da bi vlagatelji sami raziskovali strukturo kapitala v prospektu ali letnem poročilu, morajo delnice z delniškimi strukturami z večkratno glasovalno pravico jasno izstopati že v samem trgovanju, kar zmanjšuje tveganje presenečenja in krepi zaupanje v MTF kot vir financiranja za mala in srednja podjetja. Hkrati obveznost izdajateljev, da aktivno obvestijo upravljavca MTF, zagotavlja, da označitev ni prepuščena naključju, temveč je sistematična in enotna po vsej Evropski uniji, pri čemer bodo regulativni tehnični standardi določili tehnične podrobnosti, kot so format markerja, časovni okvir obveščanja in vključevanja v obstoječe tržne standarde.</w:t>
      </w:r>
    </w:p>
    <w:p w14:paraId="2CF2DF25" w14:textId="77777777" w:rsidR="000317F7" w:rsidRDefault="000317F7">
      <w:pPr>
        <w:spacing w:after="0" w:line="260" w:lineRule="auto"/>
        <w:rPr>
          <w:rFonts w:cs="Arial"/>
        </w:rPr>
      </w:pPr>
    </w:p>
    <w:p w14:paraId="7C674FB3" w14:textId="77777777" w:rsidR="000317F7" w:rsidRDefault="00F06B25">
      <w:pPr>
        <w:pStyle w:val="Odebeljeno"/>
        <w:spacing w:line="260" w:lineRule="auto"/>
      </w:pPr>
      <w:r>
        <w:t>K 13. členu:</w:t>
      </w:r>
    </w:p>
    <w:p w14:paraId="22698E40" w14:textId="77777777" w:rsidR="000317F7" w:rsidRDefault="00F06B25">
      <w:pPr>
        <w:spacing w:after="0" w:line="240" w:lineRule="auto"/>
      </w:pPr>
      <w:r>
        <w:t>S tem členom se spreminja 326. člen zakona o registraciji razvojnega trga MSP. Spremembe prenašajo 33. člen Direktive 2014/65/EU, kakor je bil spremenjen z Direktivo 2024/2811/EU.</w:t>
      </w:r>
    </w:p>
    <w:p w14:paraId="4682E96B" w14:textId="77777777" w:rsidR="000317F7" w:rsidRDefault="00F06B25">
      <w:pPr>
        <w:spacing w:after="0" w:line="240" w:lineRule="auto"/>
      </w:pPr>
      <w:r>
        <w:t xml:space="preserve"> </w:t>
      </w:r>
    </w:p>
    <w:p w14:paraId="2741823E" w14:textId="77777777" w:rsidR="000317F7" w:rsidRDefault="00F06B25">
      <w:pPr>
        <w:spacing w:after="0" w:line="240" w:lineRule="auto"/>
      </w:pPr>
      <w:r>
        <w:t>Spremenjena prvi in drugi odstavek širita možnost registracije razvojnega trga MSP tako, da se ta ne nanaša več le na celotni MTF, temveč tudi na njegov posamezni segment. Upravljavcu MTF se tako omogoča, da pri pristojnem organu vloži zahtevo za registracijo bodisi celotnega sistema bodisi njegovega jasno opredeljenega dela kot razvojnega trga MSP. ATVP na podlagi take zahteve odloči o registraciji, če so izpolnjeni zakonsko določeni pogoji. Ta sprememba pomeni pomembno povečanje prilagodljivosti pri strukturiranju trgov, saj omogoča, da upravljavci znotraj enotnega MTF oblikujejo specializirane segmente, namenjene izključno trgovanju z vrednostnimi papirji malih in srednjih podjetij, brez potrebe po vzpostavitvi ločenega sistema trgovanja.</w:t>
      </w:r>
    </w:p>
    <w:p w14:paraId="172E4C3C" w14:textId="77777777" w:rsidR="000317F7" w:rsidRDefault="00F06B25">
      <w:pPr>
        <w:spacing w:after="0" w:line="240" w:lineRule="auto"/>
      </w:pPr>
      <w:r>
        <w:t xml:space="preserve"> </w:t>
      </w:r>
    </w:p>
    <w:p w14:paraId="662F46C0" w14:textId="77777777" w:rsidR="000317F7" w:rsidRDefault="00F06B25">
      <w:pPr>
        <w:spacing w:after="0" w:line="240" w:lineRule="auto"/>
      </w:pPr>
      <w:r>
        <w:t>Novi četrti odstavek podrobneje določa pogoje, pod katerimi lahko posamezni segment MTF pridobi status razvojnega trga MSP. Ključna prvina te ureditve je zahteva po jasni in nedvoumni ločenosti takšnega segmenta od drugih segmentov istega MTF. Ta ločenost se zagotavlja tako z organizacijskimi kot tudi operativnimi ukrepi, med drugim z uporabo drugačnega imena, ločenega pravilnika, samostojne strategije trženja in posebnega načina obveščanja javnosti, ter z dodelitvijo posebne identifikacijske kode trga. Poleg tega mora biti zagotovljeno, da se transakcije, opravljene na tem segmentu, jasno razlikujejo od transakcij na drugih segmentih MTF, kar omogoča ustrezno spremljanje in nadzor nad trgovanjem. Upravljavec MTF mora na zahtevo ATVP zagotoviti tudi izčrpen seznam finančnih instrumentov, uvrščenih na tak segment, ter vse potrebne informacije o njegovem delovanju. Namen teh zahtev je zagotoviti, da segment razvojnega trga MSP dejansko deluje kot samostojen in pregleden trg z jasno opredeljenimi pravili, kar je bistveno za varstvo vlagateljev in učinkovit nadzor.</w:t>
      </w:r>
    </w:p>
    <w:p w14:paraId="3EBA335A" w14:textId="77777777" w:rsidR="000317F7" w:rsidRDefault="00F06B25">
      <w:pPr>
        <w:spacing w:after="0" w:line="240" w:lineRule="auto"/>
      </w:pPr>
      <w:r>
        <w:t xml:space="preserve"> </w:t>
      </w:r>
    </w:p>
    <w:p w14:paraId="0850EA5A" w14:textId="77777777" w:rsidR="000317F7" w:rsidRDefault="00F06B25">
      <w:pPr>
        <w:spacing w:after="0" w:line="240" w:lineRule="auto"/>
      </w:pPr>
      <w:r>
        <w:t xml:space="preserve">Dosedanji četrti do osmi odstavek se zaradi uvedbe novega četrtega odstavka ustrezno preštevilčijo v peti do deveti odstavek, pri čemer se posamezne določbe tudi vsebinsko prilagodijo. Spremenjeni peti odstavek poudarja, da izpolnjevanje pogojev za registracijo razvojnega trga MSP ne posega v druge obveznosti upravljavca MTF ali njegovega segmenta po ZTFI-1, hkrati pa izrecno dopušča, da upravljavec za svoj </w:t>
      </w:r>
      <w:r>
        <w:lastRenderedPageBreak/>
        <w:t>sistem določi tudi strožje ali dodatne zahteve. S tem se ohranja zakonodajna doslednost in omogoča nadaljnji razvoj tržnih standardov.</w:t>
      </w:r>
    </w:p>
    <w:p w14:paraId="233B2C54" w14:textId="77777777" w:rsidR="000317F7" w:rsidRDefault="00F06B25">
      <w:pPr>
        <w:spacing w:after="0" w:line="240" w:lineRule="auto"/>
      </w:pPr>
      <w:r>
        <w:t xml:space="preserve"> </w:t>
      </w:r>
    </w:p>
    <w:p w14:paraId="30205DBF" w14:textId="77777777" w:rsidR="000317F7" w:rsidRDefault="00F06B25">
      <w:pPr>
        <w:spacing w:after="0" w:line="240" w:lineRule="auto"/>
      </w:pPr>
      <w:r>
        <w:t>Pomembna vsebinska dopolnitev je vključena tudi v spremenjeni osmi odstavek, ki razširja ureditev glede uvrstitve finančnih instrumentov na drugo mesto trgovanja. Določba sledi spremembam evropske zakonodaje in določa, da se lahko finančni instrument, ki je že sprejet v trgovanje na razvojnem trgu MSP, uvrsti na drug razvojni trg MSP le, če je bil izdajatelj o tem predhodno obveščen in temu ni nasprotoval. S tem se krepi položaj izdajatelja in zagotavlja njegova seznanjenost z dodatnimi uvrstitvami njegovih finančnih instrumentov. Hkrati se določa, da v primeru take uvrstitve izdajatelj do drugega razvojnega trga MSP nima dodatnih obveznosti glede korporativnega upravljanja ali razkrivanja informacij, kar zmanjšuje upravne obremenitve. Če pa se finančni instrument uvrsti na drugo mesto trgovanja, ki ni razvojni trg MSP, mora biti izdajatelj vnaprej obveščen o vseh obveznostih, ki bodo zanj veljale na tem mestu trgovanja. Ta ureditev zagotavlja večjo pravno varnost in preglednost za izdajatelje ter preprečuje nastanek nepričakovanih zakonsko prepisanih obveznosti.</w:t>
      </w:r>
    </w:p>
    <w:p w14:paraId="64B929F2" w14:textId="77777777" w:rsidR="000317F7" w:rsidRDefault="000317F7">
      <w:pPr>
        <w:spacing w:after="0" w:line="260" w:lineRule="auto"/>
        <w:rPr>
          <w:rFonts w:cs="Arial"/>
        </w:rPr>
      </w:pPr>
    </w:p>
    <w:p w14:paraId="2E8B26A5" w14:textId="77777777" w:rsidR="000317F7" w:rsidRDefault="00F06B25">
      <w:pPr>
        <w:pStyle w:val="Odebeljeno"/>
        <w:spacing w:line="260" w:lineRule="auto"/>
      </w:pPr>
      <w:r>
        <w:t>K 14. členu:</w:t>
      </w:r>
    </w:p>
    <w:p w14:paraId="2B5659D7" w14:textId="77777777" w:rsidR="000317F7" w:rsidRDefault="00F06B25">
      <w:pPr>
        <w:spacing w:after="0" w:line="240" w:lineRule="auto"/>
      </w:pPr>
      <w:r>
        <w:t>S tem členom se spreminja 347. člen ZTFI-1 o pooblastilih ATVP za nadzor. V osmem odstavku 347. člena ZTFI-1, ki določa nadzorna in preiskovalna pooblastila ATVP za potrebe izvajanja nadzora po tem zakonu, Uredbi 600/2014/EU in Uredbi 2016/1011/EU, se za dosedanjo 19. točko dodajajo tri nove točke (20., 21. in 22.), s katerimi se prenašajo nove točke (v), (w) in (x), dodane v prvi pododstavek drugega odstavka 69. člena Direktive 2014/65/EU z 18. odstavkom 1. člena Direktive 2024/2811/EU.</w:t>
      </w:r>
    </w:p>
    <w:p w14:paraId="2AC1550A" w14:textId="77777777" w:rsidR="000317F7" w:rsidRDefault="00F06B25">
      <w:pPr>
        <w:spacing w:after="0" w:line="240" w:lineRule="auto"/>
      </w:pPr>
      <w:r>
        <w:t xml:space="preserve"> </w:t>
      </w:r>
    </w:p>
    <w:p w14:paraId="55E8227E" w14:textId="77777777" w:rsidR="000317F7" w:rsidRDefault="00F06B25">
      <w:pPr>
        <w:spacing w:after="0" w:line="240" w:lineRule="auto"/>
      </w:pPr>
      <w:r>
        <w:t>Nove nadzorne pristojnosti ATVP so povezane z novim institutom raziskav, ki jih plača izdajatelj, ki ga uvajata nova 251.a in 251.b člen ZTFI-1, in z obveznostmi investicijskih podjetij glede priprave in distribucije takšnih raziskav. Da bi se zagotovilo zaupanje vlagateljev v te raziskave in njihova skladnost s kodeksom ravnanja EU za raziskave, ki jih plača izdajatelj, ki ga bo pripravila ESMA, je treba pristojnemu nadzornemu organu podeliti ustrezna nadzorna pooblastila.</w:t>
      </w:r>
    </w:p>
    <w:p w14:paraId="45802F03" w14:textId="77777777" w:rsidR="000317F7" w:rsidRDefault="00F06B25">
      <w:pPr>
        <w:spacing w:after="0" w:line="240" w:lineRule="auto"/>
      </w:pPr>
      <w:r>
        <w:t xml:space="preserve"> </w:t>
      </w:r>
    </w:p>
    <w:p w14:paraId="61986DDD" w14:textId="77777777" w:rsidR="000317F7" w:rsidRDefault="00F06B25">
      <w:pPr>
        <w:spacing w:after="0" w:line="240" w:lineRule="auto"/>
      </w:pPr>
      <w:r>
        <w:t>V novi 20. točki se ATVP podeljuje pooblastilo, da od subjekta, ki pripravlja ali distribuira raziskave, ki jih plača izdajatelj, zahteva sprejetje vseh potrebnih ukrepov, na podlagi katerih je mogoče preveriti, ali ima vzpostavljeno organizacijsko ureditev za zagotavljanje skladnosti teh raziskav s kodeksom ravnanja EU za raziskave, ki jih plača izdajatelj. Ta organizacijska ureditev je samostojno določena že v novem 251.a členu ZTFI-1, v okviru novega nadzornega pooblastila iz 20. točke pa ATVP dejansko izpolnjevanje te obveznosti preverja.</w:t>
      </w:r>
    </w:p>
    <w:p w14:paraId="2FBBA714" w14:textId="77777777" w:rsidR="000317F7" w:rsidRDefault="00F06B25">
      <w:pPr>
        <w:spacing w:after="0" w:line="240" w:lineRule="auto"/>
      </w:pPr>
      <w:r>
        <w:t xml:space="preserve"> </w:t>
      </w:r>
    </w:p>
    <w:p w14:paraId="4D058467" w14:textId="77777777" w:rsidR="000317F7" w:rsidRDefault="00F06B25">
      <w:pPr>
        <w:spacing w:after="0" w:line="240" w:lineRule="auto"/>
      </w:pPr>
      <w:r>
        <w:t>V novi 21. točki se ATVP podeljuje pooblastilo, da od subjekta, ki distribuira raziskave, označene kot »raziskave, ki jih plača izdajatelj«, zahteva prekinitev distribucije takšnih raziskav, če te niso bile pripravljene v skladu s kodeksom ravnanja EU za raziskave, ki jih plača izdajatelj. S tem se preprečuje, da bi se raziskave, ki niso pripravljene po zahtevanih standardih neodvisnosti in objektivnosti, lahko nadalje razširjale med vlagatelji pod oznako, ki bi nakazovala njihovo skladnost s kodeksom ravnanja EU.</w:t>
      </w:r>
    </w:p>
    <w:p w14:paraId="67B550F6" w14:textId="77777777" w:rsidR="000317F7" w:rsidRDefault="00F06B25">
      <w:pPr>
        <w:spacing w:after="0" w:line="240" w:lineRule="auto"/>
      </w:pPr>
      <w:r>
        <w:t xml:space="preserve"> </w:t>
      </w:r>
    </w:p>
    <w:p w14:paraId="31EFDCA3" w14:textId="77777777" w:rsidR="000317F7" w:rsidRDefault="00F06B25">
      <w:pPr>
        <w:spacing w:after="0" w:line="240" w:lineRule="auto"/>
      </w:pPr>
      <w:r>
        <w:t>V novi 22. točki se ATVP podeljuje pooblastilo, da v primeru, ko raziskava, ki jo distribuira subjekt, ki opravlja te storitve, in je označena kot »raziskava, ki jo plača izdajatelj«, ni bila pripravljena v skladu s kodeksom ravnanja EU za raziskave, ki jih plača izdajatelj, objavi opozorila, s katerimi se javnost obvesti o nepripravljenosti raziskave po navedenem kodeksu ravnanja. Namen tega pooblastila je zagotoviti pravočasno in učinkovito obveščanje vlagateljev o tem, da pri takšni raziskavi morda ni mogoče pričakovati standardov neodvisnosti in objektivnosti, ki sicer veljajo za raziskave, pripravljene v skladu s kodeksom ravnanja EU.</w:t>
      </w:r>
    </w:p>
    <w:p w14:paraId="59F028F0" w14:textId="77777777" w:rsidR="000317F7" w:rsidRDefault="00F06B25">
      <w:pPr>
        <w:spacing w:after="0" w:line="240" w:lineRule="auto"/>
      </w:pPr>
      <w:r>
        <w:t xml:space="preserve"> </w:t>
      </w:r>
    </w:p>
    <w:p w14:paraId="6D5F6337" w14:textId="77777777" w:rsidR="000317F7" w:rsidRDefault="00F06B25">
      <w:pPr>
        <w:spacing w:after="0" w:line="240" w:lineRule="auto"/>
      </w:pPr>
      <w:r>
        <w:t>Vse tri nove točke se nanašajo na vse subjekte, ki lahko po prvem odstavku 59. člena ZTFI-1 v Republiki Sloveniji opravljajo investicijske storitve in posle ter lahko v okviru tega pripravljajo ali distribuirajo raziskave, ki jih plača izdajatelj, in sicer na borznoposredniške družbe, investicijska podjetja države članice in investicijska podjetja tretje države. S tem se zagotavlja, da se nadzorna pooblastila ATVP nanašajo na vse subjekte, ki spadajo v področje uporabe Direktive 2014/65/EU in opravljajo navedene storitve na ozemlju Republike Slovenije.</w:t>
      </w:r>
    </w:p>
    <w:p w14:paraId="7F6E219F" w14:textId="77777777" w:rsidR="000317F7" w:rsidRDefault="000317F7">
      <w:pPr>
        <w:spacing w:after="0" w:line="260" w:lineRule="auto"/>
        <w:rPr>
          <w:rFonts w:cs="Arial"/>
        </w:rPr>
      </w:pPr>
    </w:p>
    <w:p w14:paraId="3F0CDFA6" w14:textId="77777777" w:rsidR="000317F7" w:rsidRDefault="00F06B25">
      <w:pPr>
        <w:pStyle w:val="Odebeljeno"/>
        <w:spacing w:line="260" w:lineRule="auto"/>
      </w:pPr>
      <w:r>
        <w:lastRenderedPageBreak/>
        <w:t>K 15. členu:</w:t>
      </w:r>
    </w:p>
    <w:p w14:paraId="6BECCC21" w14:textId="77777777" w:rsidR="000317F7" w:rsidRDefault="00F06B25">
      <w:pPr>
        <w:spacing w:after="0" w:line="240" w:lineRule="auto"/>
      </w:pPr>
      <w:r>
        <w:t>S tem členom se v 357.a členu ZTFI-1 v prvem odstavku usklajuje sklicevanje na odstavek 326. člena ZTFI-1, ki se je s preštevilčenjem (13. člen tega predloga sprememb) spremenil iz osmega v deveti odstavek.</w:t>
      </w:r>
    </w:p>
    <w:p w14:paraId="765FEC3F" w14:textId="77777777" w:rsidR="000317F7" w:rsidRDefault="000317F7">
      <w:pPr>
        <w:spacing w:after="0" w:line="260" w:lineRule="auto"/>
        <w:rPr>
          <w:rFonts w:cs="Arial"/>
        </w:rPr>
      </w:pPr>
    </w:p>
    <w:p w14:paraId="58F71A35" w14:textId="77777777" w:rsidR="000317F7" w:rsidRDefault="00F06B25">
      <w:pPr>
        <w:pStyle w:val="Odebeljeno"/>
        <w:spacing w:line="260" w:lineRule="auto"/>
      </w:pPr>
      <w:r>
        <w:t>K 16. členu:</w:t>
      </w:r>
    </w:p>
    <w:p w14:paraId="1AB53DB2" w14:textId="77777777" w:rsidR="000317F7" w:rsidRDefault="00F06B25">
      <w:pPr>
        <w:spacing w:after="0" w:line="240" w:lineRule="auto"/>
      </w:pPr>
      <w:r>
        <w:t>S tem členom se redakcijsko uskladi 362. člen ZTFI-1, ki ATVP pooblašča za izdajo predpisov o borzi in borznem trgu. V 2. točki, ki ureja pooblastilo za predpisovanje podrobnejših pogojev za uvrstitev vrednostnih papirjev v uradno borzno kotacijo, se črta druga alineja, ki se sklicuje na izjemo iz dosedanjega drugega odstavka 401. člena ZTFI-1. Dosedanja tretja in četrta alineja pa postaneta druga in tretja alineja.</w:t>
      </w:r>
    </w:p>
    <w:p w14:paraId="360C925B" w14:textId="77777777" w:rsidR="000317F7" w:rsidRDefault="00F06B25">
      <w:pPr>
        <w:spacing w:after="0" w:line="240" w:lineRule="auto"/>
        <w:jc w:val="left"/>
      </w:pPr>
      <w:r>
        <w:br/>
        <w:t>Sprememba je posledica spremembe 401. člena ZTFI-1, s katero se črtata dosedanji prvi in drugi odstavek navedenega člena, to je zahteva po objavi letnih poročil izdajatelja za zadnja tri poslovna leta in izjema od te zahteve. Navedeni pogoj in pripadajoča izjema izvirata iz 44. člena Direktive 2001/34/ES, ki se razveljavlja, 51a člen Direktive 2014/65/EU pa ju ne prevzema med pogoje za uvrstitev. Ker izjema iz drugega odstavka 401. člena s tem preneha obstajati, postane sklic nanjo v 362. členu brezpredmeten, zato se črta.</w:t>
      </w:r>
      <w:r>
        <w:br/>
      </w:r>
      <w:r>
        <w:br/>
        <w:t xml:space="preserve">Črtanje je le redakcijsko in ne posega v vsebinski obseg pooblastila ATVP glede preostalih pogojev za uvrstitev. ATVP ohranja pooblastilo za predpisovanje podrobnejših pogojev glede predvidene tržne kapitalizacije delnic, ustrezne razpršitve </w:t>
      </w:r>
      <w:proofErr w:type="spellStart"/>
      <w:r>
        <w:t>imetništva</w:t>
      </w:r>
      <w:proofErr w:type="spellEnd"/>
      <w:r>
        <w:t xml:space="preserve"> delnic ter izjeme iz petega odstavka 402. člena ZTFI-1.</w:t>
      </w:r>
    </w:p>
    <w:p w14:paraId="1B578BD8" w14:textId="77777777" w:rsidR="000317F7" w:rsidRDefault="00F06B25">
      <w:pPr>
        <w:spacing w:after="0" w:line="240" w:lineRule="auto"/>
      </w:pPr>
      <w:r>
        <w:t xml:space="preserve"> </w:t>
      </w:r>
    </w:p>
    <w:p w14:paraId="089CAEB2" w14:textId="77777777" w:rsidR="000317F7" w:rsidRDefault="00F06B25">
      <w:pPr>
        <w:spacing w:after="0" w:line="240" w:lineRule="auto"/>
        <w:jc w:val="left"/>
      </w:pPr>
      <w:r>
        <w:t>ATVP bo morala na tej podlagi ustrezno uskladiti tudi Sklep o podrobnejših pravilih o borznem trgu (Uradni list RS, št. 42/19 in 10/20), izdan na podlagi 2. do 4. točke prvega odstavka 362. člena ZTFI-1.</w:t>
      </w:r>
      <w:r>
        <w:br/>
        <w:t xml:space="preserve"> </w:t>
      </w:r>
    </w:p>
    <w:p w14:paraId="7DE6923D" w14:textId="77777777" w:rsidR="000317F7" w:rsidRDefault="000317F7">
      <w:pPr>
        <w:spacing w:after="0" w:line="260" w:lineRule="auto"/>
        <w:rPr>
          <w:rFonts w:cs="Arial"/>
        </w:rPr>
      </w:pPr>
    </w:p>
    <w:p w14:paraId="11853B7A" w14:textId="77777777" w:rsidR="000317F7" w:rsidRDefault="00F06B25">
      <w:pPr>
        <w:pStyle w:val="Odebeljeno"/>
        <w:spacing w:line="260" w:lineRule="auto"/>
      </w:pPr>
      <w:r>
        <w:t>K 17. členu:</w:t>
      </w:r>
    </w:p>
    <w:p w14:paraId="3F4780FA" w14:textId="77777777" w:rsidR="000317F7" w:rsidRDefault="00F06B25">
      <w:pPr>
        <w:spacing w:after="0" w:line="240" w:lineRule="auto"/>
      </w:pPr>
      <w:r>
        <w:t>S tem členom se na novo določa besedilo 401. člena ZTFI-1 o dodatnih pogojih za uvrstitev delnic v uradno borzno kotacijo. Sprememba v slovenski pravni red prenaša 51a člen Direktive 2014/65/EU, dodan z Direktivo 2024/2811/EU, ki nadomešča ustrezne vsebine iz Direktive 2001/34/ES, ki se razveljavlja z učinkom od 5. decembra 2026.</w:t>
      </w:r>
    </w:p>
    <w:p w14:paraId="352BBF80" w14:textId="77777777" w:rsidR="000317F7" w:rsidRDefault="00F06B25">
      <w:pPr>
        <w:spacing w:after="0" w:line="240" w:lineRule="auto"/>
      </w:pPr>
      <w:r>
        <w:t xml:space="preserve"> </w:t>
      </w:r>
    </w:p>
    <w:p w14:paraId="6A5E72AE" w14:textId="77777777" w:rsidR="000317F7" w:rsidRDefault="00F06B25">
      <w:pPr>
        <w:spacing w:after="0" w:line="240" w:lineRule="auto"/>
      </w:pPr>
      <w:r>
        <w:t>V prvem odstavku se določata dva kumulativna pogoja. Prvi je predvidena tržna kapitalizacija izdajatelja najmanj 1.000.000 evrov oziroma, če te ni mogoče oceniti, kapital in rezerve, vključno s poslovnim izidom zadnjega poslovnega leta. Ta poenoteni prag velikosti izdajatelja omogoča lažji dostop manjšim podjetjem, ne da bi ogrožal temeljne standarde trga. Drugi pogoj je prosti obtok najmanj 10 % vpisanega kapitala zadevnega razreda delnic, s čimer se dosedanja splošna zahteva po ustrezni razpršenosti nadomešča z jasnim minimalnim deležem, hkrati pa znižuje breme v primerjavi z dosedanjim 25-odstotnim pragom iz Direktive 2001/34/ES, ki je v skladu z uvodno izjavo 12 Direktive 2024/2811/EU pretiran in ni več ustrezen.</w:t>
      </w:r>
    </w:p>
    <w:p w14:paraId="44626D9A" w14:textId="77777777" w:rsidR="000317F7" w:rsidRDefault="00F06B25">
      <w:pPr>
        <w:spacing w:after="0" w:line="240" w:lineRule="auto"/>
        <w:jc w:val="left"/>
      </w:pPr>
      <w:r>
        <w:br/>
        <w:t>Dosedanji prvi in drugi odstavek 401. člena, ki sta zahtevala objavo letnih poročil izdajatelja za zadnja tri poslovna leta in določala izjemo od te zahteve, se črtata. Ta pogoj izvira iz 44. člena Direktive 2001/34/ES, 51a člen Direktive 2014/65/EU pa ga med pogoje za uvrstitev ne prevzema. Kot pojasnjuje uvodna izjava 12 Direktive 2024/2811/EU, je informacijska funkcija te zahteve zagotovljena že v okviru Uredbe 2017/1129/EU o prospektu.</w:t>
      </w:r>
    </w:p>
    <w:p w14:paraId="0F139879" w14:textId="77777777" w:rsidR="000317F7" w:rsidRDefault="00F06B25">
      <w:pPr>
        <w:spacing w:after="0" w:line="240" w:lineRule="auto"/>
      </w:pPr>
      <w:r>
        <w:t xml:space="preserve"> </w:t>
      </w:r>
    </w:p>
    <w:p w14:paraId="7DCD002B" w14:textId="77777777" w:rsidR="000317F7" w:rsidRDefault="00F06B25">
      <w:pPr>
        <w:spacing w:after="0" w:line="240" w:lineRule="auto"/>
      </w:pPr>
      <w:r>
        <w:t>Drugi odstavek določa, da se zahteva za uvrstitev nanaša na celotno količino že izdanih delnic istega razreda. Ta ureditev ne izhaja iz 51a člena Direktive 2014/65/EU, temveč iz 49. člena Direktive 2001/34/ES, in se kljub razveljavitvi navedene direktive ohranja kot vsebinsko utemeljena, saj preprečuje delno uvrstitev, ki bi zaradi umetne redkosti uvrščenih delnic lahko popačila oblikovanje tečaja, ter zagotavlja enak položaj imetnikov delnic istega razreda.</w:t>
      </w:r>
    </w:p>
    <w:p w14:paraId="3C8C63E3" w14:textId="77777777" w:rsidR="000317F7" w:rsidRDefault="00F06B25">
      <w:pPr>
        <w:spacing w:after="0" w:line="240" w:lineRule="auto"/>
      </w:pPr>
      <w:r>
        <w:t xml:space="preserve"> </w:t>
      </w:r>
    </w:p>
    <w:p w14:paraId="70E0D573" w14:textId="77777777" w:rsidR="000317F7" w:rsidRDefault="00F06B25">
      <w:pPr>
        <w:spacing w:after="0" w:line="240" w:lineRule="auto"/>
      </w:pPr>
      <w:r>
        <w:t>Tretji odstavek določa izjemo od pogoja tržne kapitalizacije za delnice, zamenljive z že uvrščenimi delnicami (prenos drugega odstavka 51a člena Direktive 2014/65/EU), in tako odpravlja nepotrebno ponovno preverjanje velikosti izdajatelja pri nadaljnjih izdajah zamenljivih instrumentov.</w:t>
      </w:r>
    </w:p>
    <w:p w14:paraId="7C69A2BF" w14:textId="77777777" w:rsidR="000317F7" w:rsidRDefault="00F06B25">
      <w:pPr>
        <w:spacing w:after="0" w:line="240" w:lineRule="auto"/>
      </w:pPr>
      <w:r>
        <w:t xml:space="preserve"> </w:t>
      </w:r>
    </w:p>
    <w:p w14:paraId="7B9570E5" w14:textId="77777777" w:rsidR="000317F7" w:rsidRDefault="00F06B25">
      <w:pPr>
        <w:spacing w:after="0" w:line="240" w:lineRule="auto"/>
      </w:pPr>
      <w:r>
        <w:lastRenderedPageBreak/>
        <w:t>Četrti odstavek ureja odstopanje od pogoja desetodstotnega prostega obtoka in določa, da se delnice izjemoma lahko uvrstijo, čeprav prag ni dosežen, če je zagotovljeno pravilno delovanje trga in je izpolnjena vsaj ena od zahtev glede števila delnic v lasti javnosti, števila delničarjev oziroma tržne vrednosti delnic v lasti javnosti. Uvodna izjava 12 Direktive 2024/2811/EU državam članicam dopušča alternativne načine merjenja zadostne distribucije delnic, da se bolje upoštevajo značilnosti in velikost posameznih izdaj. Vsebina teh pojmov je določljiva z razlago glede na cilj likvidnega in pravilno delujočega trga, presojo pa opravi ATVP v posameznem postopku uvrstitve. Njena odločitev mora biti obrazložena in je predmet sodnega nadzora, kar zagotavlja pravno varnost in preprečuje arbitrarnost.</w:t>
      </w:r>
    </w:p>
    <w:p w14:paraId="2F18F69B" w14:textId="77777777" w:rsidR="000317F7" w:rsidRDefault="00F06B25">
      <w:pPr>
        <w:spacing w:after="0" w:line="240" w:lineRule="auto"/>
      </w:pPr>
      <w:r>
        <w:t xml:space="preserve"> </w:t>
      </w:r>
    </w:p>
    <w:p w14:paraId="6BB9640F" w14:textId="77777777" w:rsidR="000317F7" w:rsidRDefault="00F06B25">
      <w:pPr>
        <w:spacing w:after="0" w:line="240" w:lineRule="auto"/>
      </w:pPr>
      <w:r>
        <w:t>Peti odstavek določa, da se pri delnicah, zamenljivih z že uvrščenimi delnicami, izpolnjenost pogoja prostega obtoka presoja glede na vse izdane delnice in ne le glede na zamenljive delnice. S tem se pogoj presoja celovito in dosledno tudi pri zapletenih izdajah ter preprečuje izigravanje zahteve.</w:t>
      </w:r>
    </w:p>
    <w:p w14:paraId="424085CA" w14:textId="77777777" w:rsidR="000317F7" w:rsidRDefault="00F06B25">
      <w:pPr>
        <w:spacing w:after="0" w:line="240" w:lineRule="auto"/>
      </w:pPr>
      <w:r>
        <w:t xml:space="preserve"> </w:t>
      </w:r>
    </w:p>
    <w:p w14:paraId="4059776A" w14:textId="77777777" w:rsidR="000317F7" w:rsidRDefault="00F06B25">
      <w:pPr>
        <w:spacing w:after="0" w:line="240" w:lineRule="auto"/>
      </w:pPr>
      <w:r>
        <w:t>Predlagana ureditev je glede pragov tržne kapitalizacije in prostega obtoka skladna s primerljivima rešitvama v Zvezni republiki Nemčiji in Republiki Avstriji, ki sta 51a člen Direktive 2014/65/EU prenesli na enak način.</w:t>
      </w:r>
    </w:p>
    <w:p w14:paraId="4346FFF7" w14:textId="77777777" w:rsidR="000317F7" w:rsidRDefault="00F06B25">
      <w:pPr>
        <w:spacing w:after="0" w:line="240" w:lineRule="auto"/>
      </w:pPr>
      <w:r>
        <w:t xml:space="preserve"> </w:t>
      </w:r>
    </w:p>
    <w:p w14:paraId="15D67422" w14:textId="77777777" w:rsidR="000317F7" w:rsidRDefault="00F06B25">
      <w:pPr>
        <w:spacing w:after="0" w:line="240" w:lineRule="auto"/>
      </w:pPr>
      <w:r>
        <w:t>Tretji odstavek določa izjemo od pogoja tržne kapitalizacije za delnice, ki so zamenljive z že uvrščenimi delnicami (prenos drugega odstavka 51a člena Direktive 2014/65/EU), in tako odpravlja nepotrebno ponovno preverjanje velikosti izdajatelja pri nadaljnjih izdajah zamenljivih instrumentov.</w:t>
      </w:r>
    </w:p>
    <w:p w14:paraId="5F32082D" w14:textId="77777777" w:rsidR="000317F7" w:rsidRDefault="00F06B25">
      <w:pPr>
        <w:spacing w:after="0" w:line="240" w:lineRule="auto"/>
      </w:pPr>
      <w:r>
        <w:t xml:space="preserve"> </w:t>
      </w:r>
    </w:p>
    <w:p w14:paraId="1D709FA9" w14:textId="77777777" w:rsidR="000317F7" w:rsidRDefault="00F06B25">
      <w:pPr>
        <w:spacing w:after="0" w:line="240" w:lineRule="auto"/>
      </w:pPr>
      <w:r>
        <w:t>Četrti odstavek ureja odstopanje od pogoja 10-odstotnega prostega obtoka in določa, da se delnice izjemoma lahko uvrstijo, čeprav prag ni dosežen, če je zagotovljeno pravilno delovanje trga in je izpolnjena vsaj ena izmed zahtev glede števila delnic v lasti javnosti, števila delničarjev oziroma tržne vrednosti delnic v lasti javnosti. Uvodna izjava 12 Direktive 2024/2811/EU državam članicam dopušča alternativne načine merjenja zadostne distribucije delnic, da se bolje upoštevajo značilnosti in velikost posameznih izdaj. Vsebina teh pojmov je določljiva z razlago glede na cilj likvidnega in pravilno delujočega trga, presojo pa opravi ATVP v posameznem postopku uvrstitve, njena odločitev pa mora biti obrazložena in je predmet sodnega nadzora, kar zagotavlja pravno varnost in preprečuje arbitrarnost.</w:t>
      </w:r>
    </w:p>
    <w:p w14:paraId="04A9CCCC" w14:textId="77777777" w:rsidR="000317F7" w:rsidRDefault="00F06B25">
      <w:pPr>
        <w:spacing w:after="0" w:line="240" w:lineRule="auto"/>
      </w:pPr>
      <w:r>
        <w:t xml:space="preserve"> </w:t>
      </w:r>
    </w:p>
    <w:p w14:paraId="01225CA5" w14:textId="77777777" w:rsidR="000317F7" w:rsidRDefault="00F06B25">
      <w:pPr>
        <w:spacing w:after="0" w:line="240" w:lineRule="auto"/>
      </w:pPr>
      <w:r>
        <w:t>Peti odstavek določa, da se pri delnicah, zamenljivih z že uvrščenimi delnicami, izpolnjenost pogoja prostega obtoka presoja glede na vse izdane delnice in ne le glede na zamenljive delnice. S tem se pogoj presoja celovito in dosledno tudi pri zapletenih izdajah ter preprečuje izigravanje zahteve.</w:t>
      </w:r>
    </w:p>
    <w:p w14:paraId="1E48D1B4" w14:textId="77777777" w:rsidR="000317F7" w:rsidRDefault="00F06B25">
      <w:pPr>
        <w:spacing w:after="0" w:line="240" w:lineRule="auto"/>
      </w:pPr>
      <w:r>
        <w:t xml:space="preserve"> </w:t>
      </w:r>
    </w:p>
    <w:p w14:paraId="6AA19CDD" w14:textId="77777777" w:rsidR="000317F7" w:rsidRDefault="00F06B25">
      <w:pPr>
        <w:spacing w:after="0" w:line="240" w:lineRule="auto"/>
      </w:pPr>
      <w:r>
        <w:t>Predlagana ureditev je glede pragov tržne kapitalizacije in prostega obtoka je skladna s primerljivima rešitvama v Zvezni republiki Nemčiji in Republiki Avstriji, ki sta 51a člen Direktive 2014/65/EU prenesli na enak način.</w:t>
      </w:r>
    </w:p>
    <w:p w14:paraId="550BB1A6" w14:textId="77777777" w:rsidR="000317F7" w:rsidRDefault="000317F7">
      <w:pPr>
        <w:spacing w:after="0" w:line="260" w:lineRule="auto"/>
        <w:rPr>
          <w:rFonts w:cs="Arial"/>
        </w:rPr>
      </w:pPr>
    </w:p>
    <w:p w14:paraId="3CAB09EB" w14:textId="77777777" w:rsidR="000317F7" w:rsidRDefault="00F06B25">
      <w:pPr>
        <w:pStyle w:val="Odebeljeno"/>
        <w:spacing w:line="260" w:lineRule="auto"/>
      </w:pPr>
      <w:r>
        <w:t>K 18. členu:</w:t>
      </w:r>
    </w:p>
    <w:p w14:paraId="08A84355" w14:textId="77777777" w:rsidR="000317F7" w:rsidRDefault="00F06B25">
      <w:pPr>
        <w:spacing w:after="0" w:line="240" w:lineRule="auto"/>
      </w:pPr>
      <w:r>
        <w:t>Predlagana sprememba in dopolnitev tretjega odstavka 426. člena ZTFI-1 je tehnična in pomeni izvajanje 15. odstavka 2. člena Uredbe 2024/2809/EU, s katero se spreminja prvi odstavek 31. člena Uredbe (EU) št. 596/2014 Evropskega parlamenta in Sveta z dne 16. aprila 2014 o zlorabi trga (uredba o zlorabi trga– MAR). S spremembo in dopolnitvijo tretjega odstavka 426. člena ZTFI-1 se v slovenski pravni red prenaša točka (h) prvega odstavka 31. člena Uredbe (EU) št. 596/2014 (MAR).</w:t>
      </w:r>
    </w:p>
    <w:p w14:paraId="3A2BC7E1" w14:textId="77777777" w:rsidR="000317F7" w:rsidRDefault="00F06B25">
      <w:pPr>
        <w:spacing w:after="0" w:line="240" w:lineRule="auto"/>
      </w:pPr>
      <w:r>
        <w:t xml:space="preserve"> </w:t>
      </w:r>
    </w:p>
    <w:p w14:paraId="3C9FDED3" w14:textId="77777777" w:rsidR="000317F7" w:rsidRDefault="00F06B25">
      <w:pPr>
        <w:spacing w:after="0" w:line="240" w:lineRule="auto"/>
      </w:pPr>
      <w:r>
        <w:t>Tretji odstavek 426. člena ZTFI-1 določa okoliščine, ki jih ATVP upošteva pri določanju ukrepov nadzora in višine glob za kršitve MAR. Seznam teh okoliščin je primeroma določen (»upošteva zlasti«), z novo 8. točko pa se mu dodaja nova okoliščina. Nova 8. točka določa, da ATVP upošteva poslabšanje pravnega položaja osebe, odgovorne za kršitev, zaradi podvajanja kazenskih in upravnih postopkov za isto ravnanje. Okoliščina je upoštevna v primerih, ko se isto ravnanje preganja tako v kazenskem postopku kot v upravnem, ki ga vodi ATVP. V takih primerih hkratno vodenje obeh postopkov in morebitno kumulativno izrekanje sankcij povečuje celotno obremenitev kršitelja, zato mora ATVP to upoštevati pri odmeri, da skupna teža izrečenih sankcij za isto ravnanje ostane sorazmerna.</w:t>
      </w:r>
    </w:p>
    <w:p w14:paraId="5C34278E" w14:textId="77777777" w:rsidR="000317F7" w:rsidRDefault="000317F7">
      <w:pPr>
        <w:spacing w:after="0" w:line="260" w:lineRule="auto"/>
        <w:rPr>
          <w:rFonts w:cs="Arial"/>
        </w:rPr>
      </w:pPr>
    </w:p>
    <w:p w14:paraId="57DE69CC" w14:textId="77777777" w:rsidR="000317F7" w:rsidRDefault="00F06B25">
      <w:pPr>
        <w:pStyle w:val="Odebeljeno"/>
        <w:spacing w:line="260" w:lineRule="auto"/>
      </w:pPr>
      <w:r>
        <w:t>K 19. členu:</w:t>
      </w:r>
    </w:p>
    <w:p w14:paraId="0A8D9094" w14:textId="77777777" w:rsidR="000317F7" w:rsidRDefault="00F06B25">
      <w:pPr>
        <w:spacing w:after="0" w:line="240" w:lineRule="auto"/>
      </w:pPr>
      <w:r>
        <w:lastRenderedPageBreak/>
        <w:t>Predlagane spremembe 516. člena ZTFI-1 izhajajo iz potrebe po celoviti uskladitvi postopka odločanja o zahtevi za izdajo dovoljenja za pridobitev kvalificiranega deleža z določbami 12. člena Direktive 2014/65/EU. Ta direktiva nalaga ATVP le obveznost, da vložniku v dveh delovnih dneh od prejema zahteve izda potrdilo o prejemu brez dodatnih uradnih ukrepov v istem roku. Veljavno besedilo 516. člena ZTFI-1 pa od ATVP zahteva, da v istem dvodnevnem roku izda še sklep o odpravi pomanjkljivosti zahteve. Takšna kumulativna obveznost se je v praksi izkazala za pogosto neizvedljivo, ker je obseg predloženih gradiv lahko izjemno obsežen, zmogljivosti ATVP pa omejene, zaradi česar celovita presoja popolnosti zahteve v tako kratkem času praviloma ni mogoča. Namen spremembe prvega odstavka je zato odpraviti to dodatno uradno breme in ATVP omogočiti, da v začetnem obdobju pozornost nameni predvsem temeljitemu pregledu prejetih dokumentov ter šele nato, če je to potrebno, izda zahtevo za dodatne informacije ali dokumente v skladu s petim odstavkom predlagane spremembe. S tem se ohranja možnost poznejšega dopolnjevanja zahteve, ne da bi bilo treba že v prvih dveh delovnih dneh sprejemati dokončnih sklepov o pomanjkljivostih, ki bi lahko bili nato spremenjeni ali dopolnjeni.</w:t>
      </w:r>
    </w:p>
    <w:p w14:paraId="73F02C98" w14:textId="77777777" w:rsidR="000317F7" w:rsidRDefault="00F06B25">
      <w:pPr>
        <w:spacing w:after="0" w:line="240" w:lineRule="auto"/>
      </w:pPr>
      <w:r>
        <w:t xml:space="preserve"> </w:t>
      </w:r>
    </w:p>
    <w:p w14:paraId="5FEBB136" w14:textId="77777777" w:rsidR="000317F7" w:rsidRDefault="00F06B25">
      <w:pPr>
        <w:spacing w:after="0" w:line="240" w:lineRule="auto"/>
      </w:pPr>
      <w:r>
        <w:t>Prilagoditev v šestem in sedmem odstavku, ki urejata zadržanje roka za odločitev, zagotavlja, da mehanizem začasne zaustavitve teka roka ostane učinkovit tudi po novi ureditvi začetnega obdobja. Prvi zahtevi za dodatne informacije ali dokumente se tako še vedno prizna možnost daljšega zadržanja, medtem ko nadaljnje zahteve ne vplivajo več na rok, kar preprečuje zlorabe in zagotavlja hitrost postopka.</w:t>
      </w:r>
    </w:p>
    <w:p w14:paraId="6FFA5754" w14:textId="77777777" w:rsidR="000317F7" w:rsidRDefault="00F06B25">
      <w:pPr>
        <w:spacing w:after="0" w:line="240" w:lineRule="auto"/>
      </w:pPr>
      <w:r>
        <w:t xml:space="preserve"> </w:t>
      </w:r>
    </w:p>
    <w:p w14:paraId="71F5353D" w14:textId="77777777" w:rsidR="000317F7" w:rsidRDefault="00F06B25">
      <w:pPr>
        <w:spacing w:after="0" w:line="240" w:lineRule="auto"/>
      </w:pPr>
      <w:r>
        <w:t>Celotna sprememba 516. člena ZTFI-1 tako odpravlja nepotrebno uradno oviro, ki je v praksi oteževala pravočasno in strokovno obravnavo zahtev, hkrati pa ohranja visoko raven varstva javnega interesa pri ocenjevanju primernosti bodočih kvalificiranih imetnikov. S tem se postopek poenostavlja, ne da bi se zmanjšala njegova vsebina.</w:t>
      </w:r>
    </w:p>
    <w:p w14:paraId="67084B96" w14:textId="77777777" w:rsidR="000317F7" w:rsidRDefault="000317F7">
      <w:pPr>
        <w:spacing w:after="0" w:line="260" w:lineRule="auto"/>
        <w:rPr>
          <w:rFonts w:cs="Arial"/>
        </w:rPr>
      </w:pPr>
    </w:p>
    <w:p w14:paraId="44489F05" w14:textId="77777777" w:rsidR="000317F7" w:rsidRDefault="00F06B25">
      <w:pPr>
        <w:pStyle w:val="Odebeljeno"/>
        <w:spacing w:line="260" w:lineRule="auto"/>
      </w:pPr>
      <w:r>
        <w:t>K 20. členu:</w:t>
      </w:r>
    </w:p>
    <w:p w14:paraId="31096161" w14:textId="77777777" w:rsidR="000317F7" w:rsidRDefault="00F06B25">
      <w:pPr>
        <w:spacing w:after="0" w:line="240" w:lineRule="auto"/>
      </w:pPr>
      <w:r>
        <w:t xml:space="preserve">Z dopolnitvijo prvega odstavka 531. člena ZTFI-1, ki ureja prekrške v zvezi s kršitvami pravil poslovanja borznoposredniške družbe, se za 11. točko dodajajo nove 12., 13., 14. in 15. točka, ki opredeljujejo nove prekrške v zvezi z raziskavami, ki jih pripravljajo ali razširjajo borznoposredniške družbe, dosedanje 12. do 36. točka pa postanejo 16. do 40. točka. Te nove </w:t>
      </w:r>
      <w:proofErr w:type="spellStart"/>
      <w:r>
        <w:t>prekrškovne</w:t>
      </w:r>
      <w:proofErr w:type="spellEnd"/>
      <w:r>
        <w:t xml:space="preserve"> določbe zagotavljajo izvršljivost novih materialnih pravil iz 251.a in 251.b člena ZTFI-1 ter omogočajo učinkovito sankcioniranje neskladnega ravnanja v skladu z zahtevami 70. člena Direktive 2014/65/EU.</w:t>
      </w:r>
    </w:p>
    <w:p w14:paraId="4FE9828E" w14:textId="77777777" w:rsidR="000317F7" w:rsidRDefault="00F06B25">
      <w:pPr>
        <w:spacing w:after="0" w:line="240" w:lineRule="auto"/>
        <w:jc w:val="left"/>
      </w:pPr>
      <w:r>
        <w:br/>
        <w:t xml:space="preserve">Nova 12. točka 531. člena ZTFI-1 določa prekršek, če borznoposredniška družba ne zagotovi, da so raziskave, ki jih pripravlja ali razširja, poštene, jasne in </w:t>
      </w:r>
      <w:proofErr w:type="spellStart"/>
      <w:r>
        <w:t>nezavajajoče</w:t>
      </w:r>
      <w:proofErr w:type="spellEnd"/>
      <w:r>
        <w:t xml:space="preserve">, kakor to določa prvi odstavek 251.a člena ZTFI-1. Gre za temeljno </w:t>
      </w:r>
      <w:proofErr w:type="spellStart"/>
      <w:r>
        <w:t>prekrškovno</w:t>
      </w:r>
      <w:proofErr w:type="spellEnd"/>
      <w:r>
        <w:t xml:space="preserve"> določbo, ki izvršuje osnovno zahtevo glede kakovosti vseh raziskav, ne glede na to, ali jih plača izdajatelj ali ne. Pomanjkljivosti pri zagotavljanju poštenosti, jasnosti in </w:t>
      </w:r>
      <w:proofErr w:type="spellStart"/>
      <w:r>
        <w:t>nezavajajočnosti</w:t>
      </w:r>
      <w:proofErr w:type="spellEnd"/>
      <w:r>
        <w:t xml:space="preserve"> raziskav lahko bistveno škodujejo interesom vlagateljev, zato je njihovo sankcioniranje nujno za zagotavljanje integritete trga kapitala.</w:t>
      </w:r>
    </w:p>
    <w:p w14:paraId="4C4263E4" w14:textId="77777777" w:rsidR="000317F7" w:rsidRDefault="00F06B25">
      <w:pPr>
        <w:spacing w:after="0" w:line="240" w:lineRule="auto"/>
      </w:pPr>
      <w:r>
        <w:t xml:space="preserve"> </w:t>
      </w:r>
    </w:p>
    <w:p w14:paraId="29FF07A8" w14:textId="77777777" w:rsidR="000317F7" w:rsidRDefault="00F06B25">
      <w:pPr>
        <w:spacing w:after="0" w:line="240" w:lineRule="auto"/>
      </w:pPr>
      <w:r>
        <w:t xml:space="preserve">Nova 13. točka 531. člena ZTFI-1 določa prekršek borznoposredniške družbe, ki razširja raziskave, označene kot »raziskave, ki jih plača izdajatelj«, čeprav te niso bile pripravljene v skladu s kodeksom ravnanja Evropske unije za raziskave, ki jih plača izdajatelj. Materialna podlaga za to </w:t>
      </w:r>
      <w:proofErr w:type="spellStart"/>
      <w:r>
        <w:t>prekrškovno</w:t>
      </w:r>
      <w:proofErr w:type="spellEnd"/>
      <w:r>
        <w:t xml:space="preserve"> določbo je tretji odstavek 251.a člena ZTFI-1, ki dopušča uporabo te oznake samo za raziskave, pripravljene v skladu z navedenim kodeksom ravnanja. S to določbo se sankcionira distribucija raziskav v neskladju s kodeksom ravnanja Evropske unije, s čimer se preprečuje zavajanje vlagateljev glede vrste in kakovosti raziskav.</w:t>
      </w:r>
    </w:p>
    <w:p w14:paraId="37D58C1A" w14:textId="77777777" w:rsidR="000317F7" w:rsidRDefault="00F06B25">
      <w:pPr>
        <w:spacing w:after="0" w:line="240" w:lineRule="auto"/>
        <w:jc w:val="left"/>
      </w:pPr>
      <w:r>
        <w:br/>
        <w:t>Nova 14. točka 531. člena ZTFI-1 določa prekršek, če borznoposredniška družba ne izpolnjuje zahtev iz prvega odstavka 251.b člena ZTFI-1, ki ureja pogoje glede plačevanja raziskav, ki jih za borznoposredniško družbo pripravljajo tretje osebe. Te zahteve vključujejo zlasti sklenitev sporazuma o metodologiji plačil med borznoposredniško družbo in tretjo osebo, obveščanje strank o izbranem načinu plačevanja, letno ocenjevanje kakovosti raziskav ter pravila glede ločenih plačil iz lastnih sredstev borznoposredniške družbe ali z ločenega računa za plačilo raziskav. Sankcioniranje neizpolnjevanja teh zahtev je nujno za zagotavljanje preglednosti stroškov raziskav in učinkovitega upravljanja nasprotij interesov.</w:t>
      </w:r>
    </w:p>
    <w:p w14:paraId="166C93A5" w14:textId="77777777" w:rsidR="000317F7" w:rsidRDefault="00F06B25">
      <w:pPr>
        <w:spacing w:after="0" w:line="240" w:lineRule="auto"/>
        <w:jc w:val="left"/>
      </w:pPr>
      <w:r>
        <w:br/>
        <w:t xml:space="preserve">Nova 15. točka 531. člena ZTFI-1 določa prekršek, če borznoposredniška družba ne vodi evidence </w:t>
      </w:r>
      <w:r>
        <w:lastRenderedPageBreak/>
        <w:t>skupnih stroškov, povezanih z raziskavami, ali ne zagotovi informacij o teh stroških strankam, kakor to določa šesti odstavek 251.b člena ZTFI-1. Ta evidenca in pravica strank do informacij sta ključna mehanizma za zagotavljanje preglednosti, saj omogočata strankam vpogled v dejanske stroške raziskav, ki jih posredno krijejo s storitvami borznoposredniške družbe.</w:t>
      </w:r>
    </w:p>
    <w:p w14:paraId="5E68DE62" w14:textId="77777777" w:rsidR="000317F7" w:rsidRDefault="000317F7">
      <w:pPr>
        <w:spacing w:after="0" w:line="260" w:lineRule="auto"/>
        <w:rPr>
          <w:rFonts w:cs="Arial"/>
        </w:rPr>
      </w:pPr>
    </w:p>
    <w:p w14:paraId="78282D57" w14:textId="77777777" w:rsidR="000317F7" w:rsidRDefault="00F06B25">
      <w:pPr>
        <w:pStyle w:val="Odebeljeno"/>
        <w:spacing w:line="260" w:lineRule="auto"/>
      </w:pPr>
      <w:r>
        <w:t>K 21. členu:</w:t>
      </w:r>
    </w:p>
    <w:p w14:paraId="38605758" w14:textId="77777777" w:rsidR="000317F7" w:rsidRDefault="00F06B25">
      <w:pPr>
        <w:spacing w:after="0" w:line="240" w:lineRule="auto"/>
      </w:pPr>
      <w:r>
        <w:t>V 540. členu ZTFI-1 se dopolnjuje ureditev glob za pravne osebe v primeru zelo hudih prekrškov. Dopolnitev 3. točke drugega odstavka 540. člena ZTFI-1 se izvaja z namenom ureditve izvajanja 14. odstavka 2. člena Uredbe 2024/2809/EU, s katero se spreminja drugi odstavek 30. člena Uredbe 596/2014/EU o zlorabi trga (MAR). Z dodajanjem alternativnega praga v višini 0,8 % skupnega letnega prometa pravne osebe, pri čemer se upošteva višji znesek med fiksnim zneskom in odstotkom prometa, se zagotavlja, da so globe učinkovite, sorazmerne in odvračilne ter da ustrezajo velikosti in ekonomski moči pravne osebe, kakor to zahteva evropska ureditev za kršitve v zvezi z vodenjem seznamov oseb z dostopom do notranjih informacij (18. člen MAR), obveščanjem o poslih oseb, ki opravljajo poslovodne naloge (19. člen MAR), in priporočili glede naložb (20. člen MAR). Upoštevanje višjega zneska omogoča izpolnitev minimalne zahtevane ravni najvišje globe, določene v pravu Unije, hkrati pa ohranja sorazmernost sankcije glede na dejansko gospodarsko dejavnost subjekta, zlasti pri manjših in srednje velikih podjetjih, ter preprečuje, da bi fiksni znesek v primeru velikih družb ostal neučinkovit ali nesorazmeren.</w:t>
      </w:r>
    </w:p>
    <w:p w14:paraId="6303A4CE" w14:textId="77777777" w:rsidR="000317F7" w:rsidRDefault="000317F7">
      <w:pPr>
        <w:spacing w:after="0" w:line="260" w:lineRule="auto"/>
        <w:rPr>
          <w:rFonts w:cs="Arial"/>
        </w:rPr>
      </w:pPr>
    </w:p>
    <w:p w14:paraId="1DD66AE0" w14:textId="77777777" w:rsidR="000317F7" w:rsidRDefault="00F06B25">
      <w:pPr>
        <w:pStyle w:val="Odebeljeno"/>
        <w:spacing w:line="260" w:lineRule="auto"/>
      </w:pPr>
      <w:r>
        <w:t>K 22. členu:</w:t>
      </w:r>
    </w:p>
    <w:p w14:paraId="45CEC667" w14:textId="77777777" w:rsidR="000317F7" w:rsidRDefault="00F06B25">
      <w:pPr>
        <w:spacing w:after="0" w:line="240" w:lineRule="auto"/>
      </w:pPr>
      <w:r>
        <w:t>Z Uredbo (EU) 2025/914 Evropskega parlamenta in Sveta z dne 7. maja 2025 (UL L št. 2025/914 z dne 19. 5. 2025), ki se je začela uporabljati 1. januarja 2026, je bila bistveno spremenjena Uredba (EU) 2016/1011 o indeksih, ki se uporabljajo kot referenčne vrednosti v finančnih instrumentih in finančnih pogodbah ali za merjenje uspešnosti investicijskih skladov. Reforma zoži področje uporabe Uredbe o indeksih, ki od 1. januarja 2026 zajema le še kritične, pomembne ter podnebne in nekatere blagovne referenčne vrednosti.</w:t>
      </w:r>
    </w:p>
    <w:p w14:paraId="289E2BA5" w14:textId="77777777" w:rsidR="000317F7" w:rsidRDefault="00F06B25">
      <w:pPr>
        <w:spacing w:after="0" w:line="240" w:lineRule="auto"/>
      </w:pPr>
      <w:r>
        <w:br/>
        <w:t>V tem okviru je v Uredbo o indeksih uveden nov, 24a člen, ki določa zahteve za upravljavce pomembnih referenčnih vrednosti, vključno z dolžnostjo upravljavca, da v določenem roku po nastopu okoliščin, zaradi katerih referenčna vrednost postane pomembna, pravočasno vloži vlogo za dovoljenje ali registracijo pri pristojnem organu.</w:t>
      </w:r>
    </w:p>
    <w:p w14:paraId="56FD24B1" w14:textId="77777777" w:rsidR="000317F7" w:rsidRDefault="00F06B25">
      <w:pPr>
        <w:spacing w:after="0" w:line="240" w:lineRule="auto"/>
      </w:pPr>
      <w:r>
        <w:t xml:space="preserve"> </w:t>
      </w:r>
    </w:p>
    <w:p w14:paraId="48758CA4" w14:textId="77777777" w:rsidR="000317F7" w:rsidRDefault="00F06B25">
      <w:pPr>
        <w:spacing w:after="0" w:line="240" w:lineRule="auto"/>
      </w:pPr>
      <w:r>
        <w:t xml:space="preserve">Učinkovito izvajanje te obveznosti zahteva ustrezno sankcijo v nacionalnem pravu. Z dopolnitvijo 542. člena ZTFI-1 se zato uvaja nov prekršek, ki se izvrši, kadar upravljavec pomembne referenčne vrednosti ne zaprosi za dovoljenje ali registracijo v rokih iz 24a člena Uredbe 2016/1011/EU. Dosedanje 18. do 25. točke se ustrezno preštevilčijo v 19. do 26. točko. </w:t>
      </w:r>
    </w:p>
    <w:p w14:paraId="60A15075" w14:textId="77777777" w:rsidR="000317F7" w:rsidRDefault="000317F7">
      <w:pPr>
        <w:spacing w:after="0" w:line="260" w:lineRule="auto"/>
        <w:rPr>
          <w:rFonts w:cs="Arial"/>
        </w:rPr>
      </w:pPr>
    </w:p>
    <w:p w14:paraId="27989363" w14:textId="77777777" w:rsidR="000317F7" w:rsidRDefault="00F06B25">
      <w:pPr>
        <w:pStyle w:val="Odebeljeno"/>
        <w:spacing w:line="260" w:lineRule="auto"/>
      </w:pPr>
      <w:r>
        <w:t>K 23. členu:</w:t>
      </w:r>
    </w:p>
    <w:p w14:paraId="235B129C" w14:textId="77777777" w:rsidR="000317F7" w:rsidRDefault="00F06B25">
      <w:pPr>
        <w:spacing w:after="0" w:line="240" w:lineRule="auto"/>
      </w:pPr>
      <w:r>
        <w:t>Prvi odstavek prehodne določbe ureja uskladitev oziroma izdajo podzakonskega predpisa ATVP, izdanega na podlagi 261. člena zakona, z dopolnjeno ureditvijo tega zakona. Uskladitev je potrebna zaradi dopolnitve 4. točke prvega odstavka 261. člena, s katero se ATVP pooblašča za predpis podrobnejših pravil o raziskavah, ki jih za borznoposredniško družbo pripravijo tretje osebe, iz novega 251.b člena zakona.</w:t>
      </w:r>
    </w:p>
    <w:p w14:paraId="77E5B5BF" w14:textId="77777777" w:rsidR="000317F7" w:rsidRDefault="00F06B25">
      <w:pPr>
        <w:spacing w:after="0" w:line="240" w:lineRule="auto"/>
      </w:pPr>
      <w:r>
        <w:t xml:space="preserve"> </w:t>
      </w:r>
    </w:p>
    <w:p w14:paraId="427A60BD" w14:textId="77777777" w:rsidR="000317F7" w:rsidRDefault="00F06B25">
      <w:pPr>
        <w:spacing w:after="0" w:line="240" w:lineRule="auto"/>
      </w:pPr>
      <w:r>
        <w:t>Z drugim odstavkom tega člena se določa, da ATVP uskladi Sklep o podrobnejših pravilih o borznem trgu (Uradni list RS, št. 42/19 in 10/20) s tem zakonom. Navedeni sklep je bil izdan na podlagi 2. do 4. točke prvega odstavka 362. člena ZTFI-1. Ker se s tem zakonom v 2. točki 362. člena ZTFI-1 črta druga alineja, ki ATVP pooblašča za podrobnejše predpisovanje pogojev glede izjeme iz dosedanjega drugega odstavka 401. člena ZTFI-1, hkrati pa se ta izjema s spremembo 401. člena črta, ostanejo posamezne določbe sklepa, zlasti 2. točka prvega odstavka 2. člena in 4. člen, brez zakonske podlage. Določba hkrati zagotavlja pravno varnost v vmesnem obdobju, saj se sklep do uskladitve uporablja le v delu, v katerem ni v nasprotju z zakonom.</w:t>
      </w:r>
    </w:p>
    <w:p w14:paraId="6BDE1257" w14:textId="77777777" w:rsidR="000317F7" w:rsidRDefault="00F06B25">
      <w:pPr>
        <w:spacing w:after="0" w:line="240" w:lineRule="auto"/>
      </w:pPr>
      <w:r>
        <w:br/>
        <w:t xml:space="preserve">Poleg navedenega bo morala ATVP sklep uskladiti še zaradi preostalih sprememb 401. člena ZTFI-1. Pri pogojih glede tržne kapitalizacije (3. člen sklepa) je prag 1.000.000 evrov odslej določen neposredno v 1. točki prvega odstavka 401. člena ZTFI-1, izjema za delnice, zamenljive z že uvrščenimi delnicami, pa v tretjem odstavku navedenega člena, zaradi česar je treba odpraviti podvajanje zakonskih določb. Drugi odstavek 3. člena sklepa, ki dopušča sprejem v uradno borzno kotacijo kljub nedoseženi tržni kapitalizaciji, </w:t>
      </w:r>
      <w:r>
        <w:lastRenderedPageBreak/>
        <w:t>če se borza predhodno prepriča o zadostni likvidnosti trga, izgubi podlago, saj spremenjeni 401. člen ZTFI-1 takšne izjeme ne predvideva. Edina izjema od pogoja tržne kapitalizacije je izjema za zamenljive delnice.</w:t>
      </w:r>
    </w:p>
    <w:p w14:paraId="41729216" w14:textId="77777777" w:rsidR="000317F7" w:rsidRDefault="00F06B25">
      <w:pPr>
        <w:spacing w:after="0" w:line="240" w:lineRule="auto"/>
      </w:pPr>
      <w:r>
        <w:br/>
        <w:t>Pri pogojih glede razpršitve delnic (5. člen sklepa) je treba dosedanji 25-odstotni prag prodaje delnic javnosti nadomestiti z desetodstotnim pragom prostega obtoka iz 2. točke prvega odstavka 401. člena ZTFI-1, kvalitativna merila uskladiti z alternativnimi zahtevami iz četrtega odstavka navedenega člena, presojo razpršenosti pri zamenljivih delnicah pa s petim odstavkom istega člena. Hkrati je treba črtati geografsko sestavino dosedanje ureditve razpršitve (razpršitev v eni ali več državah članicah oziroma prodaja delnic javnosti v državah nečlanicah), saj se ta zahteva v skladu z uvodno izjavo 12 Direktive 2024/2811/EU ne ohrani. ATVP ob tem ustrezno uskladi tudi 2. člen sklepa, vključno s sklicevanji in preštevilčenjem točk po črtanju 2. točke njegovega prvega odstavka.</w:t>
      </w:r>
    </w:p>
    <w:p w14:paraId="635B20D8" w14:textId="77777777" w:rsidR="000317F7" w:rsidRDefault="000317F7">
      <w:pPr>
        <w:spacing w:after="0" w:line="260" w:lineRule="auto"/>
        <w:rPr>
          <w:rFonts w:cs="Arial"/>
        </w:rPr>
      </w:pPr>
    </w:p>
    <w:p w14:paraId="3A07E9EB" w14:textId="77777777" w:rsidR="000317F7" w:rsidRDefault="00F06B25">
      <w:pPr>
        <w:pStyle w:val="Odebeljeno"/>
        <w:spacing w:line="260" w:lineRule="auto"/>
      </w:pPr>
      <w:r>
        <w:t>K 24. členu:</w:t>
      </w:r>
    </w:p>
    <w:p w14:paraId="5CA5A1FA" w14:textId="77777777" w:rsidR="000317F7" w:rsidRDefault="00F06B25">
      <w:pPr>
        <w:spacing w:after="0" w:line="240" w:lineRule="auto"/>
      </w:pPr>
      <w:r>
        <w:t>S spremembo zakona se spreminjajo pravila postopka za izdajo dovoljenja za pridobitev kvalificiranega deleža (glej obrazložitev k 19. členu). Ob uveljavitvi tega zakona bodo nekateri postopki že v teku, saj so vložniki zahtev svoja ravnanja prilagodili pravilom, ki so veljala ob vložitvi zahteve. Prehodna določba zato jasno določa, po katerih pravilih se ti postopki dokončajo.</w:t>
      </w:r>
    </w:p>
    <w:p w14:paraId="5943EA35" w14:textId="77777777" w:rsidR="000317F7" w:rsidRDefault="00F06B25">
      <w:pPr>
        <w:spacing w:after="0" w:line="240" w:lineRule="auto"/>
      </w:pPr>
      <w:r>
        <w:t xml:space="preserve"> </w:t>
      </w:r>
    </w:p>
    <w:p w14:paraId="1D7CCCCC" w14:textId="77777777" w:rsidR="000317F7" w:rsidRDefault="00F06B25">
      <w:pPr>
        <w:spacing w:after="0" w:line="240" w:lineRule="auto"/>
      </w:pPr>
      <w:r>
        <w:t>Vložnik, ki je zahtevo vložil po veljavnih pravilih ZTFI-1, upravičeno pričakuje, da bo postopek potekal po pravilih, ki jih je poznal ob vložitvi. Poleg tega je z vidika praktičnega vodenja postopka smiselno, da se celotni postopek od vložitve zahteve do pravnomočne odločitve vodi po enotnih pravilih. Mešanje starih in novih določb bi namreč povzročilo nepotrebne zaplete.</w:t>
      </w:r>
    </w:p>
    <w:p w14:paraId="57C963E8" w14:textId="77777777" w:rsidR="000317F7" w:rsidRDefault="000317F7">
      <w:pPr>
        <w:spacing w:after="0" w:line="260" w:lineRule="auto"/>
        <w:rPr>
          <w:rFonts w:cs="Arial"/>
        </w:rPr>
      </w:pPr>
    </w:p>
    <w:p w14:paraId="640AA527" w14:textId="77777777" w:rsidR="000317F7" w:rsidRDefault="00F06B25">
      <w:pPr>
        <w:pStyle w:val="Odebeljeno"/>
        <w:spacing w:line="260" w:lineRule="auto"/>
      </w:pPr>
      <w:r>
        <w:t>K 25. členu:</w:t>
      </w:r>
    </w:p>
    <w:p w14:paraId="076EBC43" w14:textId="77777777" w:rsidR="000317F7" w:rsidRDefault="00F06B25">
      <w:pPr>
        <w:spacing w:after="0" w:line="240" w:lineRule="auto"/>
      </w:pPr>
      <w:r>
        <w:t>S tem členom se določa začetek uporabe posameznih določb.</w:t>
      </w:r>
    </w:p>
    <w:p w14:paraId="3E3909D1" w14:textId="77777777" w:rsidR="000317F7" w:rsidRDefault="00F06B25">
      <w:pPr>
        <w:spacing w:after="0" w:line="240" w:lineRule="auto"/>
      </w:pPr>
      <w:r>
        <w:t xml:space="preserve"> </w:t>
      </w:r>
    </w:p>
    <w:p w14:paraId="2D3A6899" w14:textId="77777777" w:rsidR="000317F7" w:rsidRDefault="00F06B25">
      <w:pPr>
        <w:spacing w:after="0" w:line="240" w:lineRule="auto"/>
      </w:pPr>
      <w:r>
        <w:t>Določbe, ki prenašajo Direktivo 2024/2810/EU (5., 11. in 12. člen tega zakona), se začnejo uporabljati 5. decembra 2026, kar ustreza roku za prenos iz prvega odstavka 7. člena navedene direktive.</w:t>
      </w:r>
    </w:p>
    <w:p w14:paraId="34CB8EF9" w14:textId="77777777" w:rsidR="000317F7" w:rsidRDefault="000317F7">
      <w:pPr>
        <w:spacing w:after="0" w:line="260" w:lineRule="auto"/>
        <w:rPr>
          <w:rFonts w:cs="Arial"/>
        </w:rPr>
      </w:pPr>
    </w:p>
    <w:p w14:paraId="0038B4B0" w14:textId="77777777" w:rsidR="000317F7" w:rsidRDefault="00F06B25">
      <w:pPr>
        <w:pStyle w:val="Odebeljeno"/>
        <w:spacing w:line="260" w:lineRule="auto"/>
      </w:pPr>
      <w:r>
        <w:t>K 26. členu:</w:t>
      </w:r>
    </w:p>
    <w:p w14:paraId="1A786954" w14:textId="77777777" w:rsidR="000317F7" w:rsidRDefault="00F06B25">
      <w:pPr>
        <w:spacing w:after="0" w:line="240" w:lineRule="auto"/>
      </w:pPr>
      <w:r>
        <w:t>Določa se začetek veljavnosti zakona, ki je petnajsti dan po objavi v Uradnem listu Republike Slovenije.</w:t>
      </w:r>
    </w:p>
    <w:p w14:paraId="186D877F" w14:textId="77777777" w:rsidR="000317F7" w:rsidRDefault="000317F7">
      <w:pPr>
        <w:spacing w:after="0" w:line="260" w:lineRule="auto"/>
        <w:rPr>
          <w:rFonts w:cs="Arial"/>
        </w:rPr>
      </w:pPr>
    </w:p>
    <w:p w14:paraId="3CF3DC06" w14:textId="77777777" w:rsidR="000317F7" w:rsidRDefault="00F06B25">
      <w:r>
        <w:br w:type="page"/>
      </w:r>
    </w:p>
    <w:p w14:paraId="724CA9C0" w14:textId="77777777" w:rsidR="000317F7" w:rsidRDefault="00F06B25">
      <w:pPr>
        <w:pStyle w:val="Odebeljeno"/>
        <w:spacing w:line="260" w:lineRule="auto"/>
      </w:pPr>
      <w:r>
        <w:lastRenderedPageBreak/>
        <w:t>IV.</w:t>
      </w:r>
      <w:r>
        <w:tab/>
        <w:t>BESEDILO ČLENOV, KI SE SPREMINJAJO</w:t>
      </w:r>
    </w:p>
    <w:p w14:paraId="0219196C" w14:textId="77777777" w:rsidR="000317F7" w:rsidRDefault="000317F7">
      <w:pPr>
        <w:spacing w:after="0" w:line="260" w:lineRule="auto"/>
        <w:rPr>
          <w:rFonts w:cs="Arial"/>
        </w:rPr>
      </w:pPr>
    </w:p>
    <w:p w14:paraId="17F102A7" w14:textId="77777777" w:rsidR="000317F7" w:rsidRDefault="00F06B25">
      <w:pPr>
        <w:pStyle w:val="Odebeljeno"/>
        <w:spacing w:line="260" w:lineRule="auto"/>
      </w:pPr>
      <w:r>
        <w:t>Zakon o trgu finančnih instrumentov</w:t>
      </w:r>
    </w:p>
    <w:p w14:paraId="13FF7FEA" w14:textId="77777777" w:rsidR="000317F7" w:rsidRDefault="00F06B25">
      <w:pPr>
        <w:spacing w:after="0" w:line="260" w:lineRule="auto"/>
      </w:pPr>
      <w:r>
        <w:t xml:space="preserve">(Uradni list RS, št. 77/18, 17/19 – </w:t>
      </w:r>
      <w:proofErr w:type="spellStart"/>
      <w:r>
        <w:t>popr</w:t>
      </w:r>
      <w:proofErr w:type="spellEnd"/>
      <w:r>
        <w:t>., 66/19, 123/21, 45/24 in 77/25)</w:t>
      </w:r>
    </w:p>
    <w:p w14:paraId="4BDAE3D0" w14:textId="77777777" w:rsidR="000317F7" w:rsidRDefault="000317F7">
      <w:pPr>
        <w:spacing w:after="0" w:line="260" w:lineRule="auto"/>
        <w:rPr>
          <w:rFonts w:cs="Arial"/>
        </w:rPr>
      </w:pPr>
    </w:p>
    <w:p w14:paraId="2762780F" w14:textId="77777777" w:rsidR="000317F7" w:rsidRDefault="00F06B25">
      <w:pPr>
        <w:pStyle w:val="center"/>
        <w:spacing w:after="210"/>
        <w:rPr>
          <w:rFonts w:cs="Arial"/>
          <w:b/>
          <w:sz w:val="21"/>
        </w:rPr>
      </w:pPr>
      <w:r>
        <w:rPr>
          <w:rFonts w:cs="Arial"/>
          <w:b/>
          <w:sz w:val="21"/>
        </w:rPr>
        <w:t>2. člen</w:t>
      </w:r>
    </w:p>
    <w:p w14:paraId="07A49498" w14:textId="77777777" w:rsidR="000317F7" w:rsidRDefault="00F06B25">
      <w:pPr>
        <w:pStyle w:val="center"/>
        <w:spacing w:before="210" w:after="210"/>
        <w:rPr>
          <w:rFonts w:cs="Arial"/>
          <w:b/>
          <w:sz w:val="21"/>
        </w:rPr>
      </w:pPr>
      <w:r>
        <w:rPr>
          <w:rFonts w:cs="Arial"/>
          <w:b/>
          <w:sz w:val="21"/>
        </w:rPr>
        <w:t>(prenos in izvajanje predpisov Evropske unije)</w:t>
      </w:r>
    </w:p>
    <w:p w14:paraId="4FE54716" w14:textId="77777777" w:rsidR="000317F7" w:rsidRDefault="00F06B25">
      <w:pPr>
        <w:spacing w:before="210" w:after="210"/>
        <w:rPr>
          <w:rFonts w:cs="Arial"/>
          <w:sz w:val="21"/>
        </w:rPr>
      </w:pPr>
      <w:r>
        <w:rPr>
          <w:rFonts w:cs="Arial"/>
        </w:rPr>
        <w:t>(1) S tem zakonom se v pravni red Republike Slovenije prenašajo naslednje direktive Evropske unije (v nadaljnjem besedilu: EU):</w:t>
      </w:r>
    </w:p>
    <w:p w14:paraId="29E4F5DA" w14:textId="514F2927" w:rsidR="000317F7" w:rsidRPr="005960F5" w:rsidRDefault="00F06B25">
      <w:pPr>
        <w:spacing w:before="210" w:after="210"/>
        <w:rPr>
          <w:rFonts w:cs="Arial"/>
          <w:sz w:val="21"/>
        </w:rPr>
      </w:pPr>
      <w:r w:rsidRPr="005960F5">
        <w:rPr>
          <w:rFonts w:cs="Arial"/>
        </w:rPr>
        <w:t>1.     Direktiva Sveta 89/117/EGS</w:t>
      </w:r>
      <w:r w:rsidR="006F0B28" w:rsidRPr="005960F5">
        <w:t xml:space="preserve"> </w:t>
      </w:r>
      <w:r w:rsidRPr="005960F5">
        <w:rPr>
          <w:rFonts w:cs="Arial"/>
        </w:rPr>
        <w:t>z dne 13. februarja 1989 o obveznostih podružnic, ustanovljenih v državi članici, ki pripadajo kreditnim in finančnim institucijam s sedežem zunaj te države članice, glede objave letnih računovodskih izkazov (UL L št. 44 z dne 16. 2. 1989, str. 40; v nadaljnjem besedilu:</w:t>
      </w:r>
      <w:r w:rsidR="006F0B28" w:rsidRPr="005960F5">
        <w:rPr>
          <w:rFonts w:cs="Arial"/>
        </w:rPr>
        <w:t xml:space="preserve"> </w:t>
      </w:r>
      <w:r w:rsidRPr="005960F5">
        <w:rPr>
          <w:rFonts w:cs="Arial"/>
        </w:rPr>
        <w:t>Direktiva 89/117/EGS),</w:t>
      </w:r>
    </w:p>
    <w:p w14:paraId="4FB88463" w14:textId="75F1F413" w:rsidR="000317F7" w:rsidRPr="005960F5" w:rsidRDefault="00F06B25">
      <w:pPr>
        <w:spacing w:before="210" w:after="210"/>
        <w:rPr>
          <w:rFonts w:cs="Arial"/>
          <w:sz w:val="21"/>
        </w:rPr>
      </w:pPr>
      <w:r w:rsidRPr="005960F5">
        <w:rPr>
          <w:rFonts w:cs="Arial"/>
        </w:rPr>
        <w:t>2.     Direktiva 97/9/ES</w:t>
      </w:r>
      <w:r w:rsidR="006F0B28" w:rsidRPr="005960F5">
        <w:t xml:space="preserve"> </w:t>
      </w:r>
      <w:r w:rsidRPr="005960F5">
        <w:rPr>
          <w:rFonts w:cs="Arial"/>
        </w:rPr>
        <w:t>Evropskega parlamenta in Sveta z dne 3. marca 1997 o odškodninskih shemah za vlagatelje (UL L št. 84 z dne 26. 3. 1997, str. 22; v nadaljnjem besedilu:</w:t>
      </w:r>
      <w:r w:rsidR="006F0B28" w:rsidRPr="005960F5">
        <w:rPr>
          <w:rFonts w:cs="Arial"/>
        </w:rPr>
        <w:t xml:space="preserve"> </w:t>
      </w:r>
      <w:r w:rsidRPr="005960F5">
        <w:rPr>
          <w:rFonts w:cs="Arial"/>
        </w:rPr>
        <w:t>Direktiva 97/9/ES),</w:t>
      </w:r>
    </w:p>
    <w:p w14:paraId="74BB9BC9" w14:textId="6250D9EE" w:rsidR="000317F7" w:rsidRPr="005960F5" w:rsidRDefault="00F06B25">
      <w:pPr>
        <w:spacing w:before="210" w:after="210"/>
        <w:rPr>
          <w:rFonts w:cs="Arial"/>
          <w:sz w:val="21"/>
        </w:rPr>
      </w:pPr>
      <w:r w:rsidRPr="005960F5">
        <w:rPr>
          <w:rFonts w:cs="Arial"/>
        </w:rPr>
        <w:t>3.     Direktiva 98/26/ES</w:t>
      </w:r>
      <w:r w:rsidR="006F0B28" w:rsidRPr="005960F5">
        <w:t xml:space="preserve"> </w:t>
      </w:r>
      <w:r w:rsidRPr="005960F5">
        <w:rPr>
          <w:rFonts w:cs="Arial"/>
        </w:rPr>
        <w:t>Evropskega parlamenta in Sveta z dne 19. maja 1998 o dokončnosti poravnave pri plačilih in sistemih poravnave vrednostnih papirjev (UL L št. 166 z dne 11. 6. 1998, str. 45), zadnjič spremenjena z</w:t>
      </w:r>
      <w:r w:rsidR="006F0B28" w:rsidRPr="005960F5">
        <w:rPr>
          <w:rFonts w:cs="Arial"/>
        </w:rPr>
        <w:t xml:space="preserve"> </w:t>
      </w:r>
      <w:r w:rsidRPr="005960F5">
        <w:rPr>
          <w:rFonts w:cs="Arial"/>
        </w:rPr>
        <w:t>Uredbo (EU) 2024/886</w:t>
      </w:r>
      <w:r w:rsidR="006F0B28" w:rsidRPr="005960F5">
        <w:t xml:space="preserve"> </w:t>
      </w:r>
      <w:r w:rsidRPr="005960F5">
        <w:rPr>
          <w:rFonts w:cs="Arial"/>
        </w:rPr>
        <w:t>Evropskega parlamenta in Sveta z dne 13. marca 2024 o spremembi</w:t>
      </w:r>
      <w:r w:rsidR="006F0B28" w:rsidRPr="005960F5">
        <w:rPr>
          <w:rFonts w:cs="Arial"/>
        </w:rPr>
        <w:t xml:space="preserve"> </w:t>
      </w:r>
      <w:r w:rsidRPr="005960F5">
        <w:rPr>
          <w:rFonts w:cs="Arial"/>
        </w:rPr>
        <w:t>uredb (EU) št. 260/2012</w:t>
      </w:r>
      <w:r w:rsidR="006F0B28" w:rsidRPr="005960F5">
        <w:t xml:space="preserve"> </w:t>
      </w:r>
      <w:r w:rsidRPr="005960F5">
        <w:rPr>
          <w:rFonts w:cs="Arial"/>
        </w:rPr>
        <w:t>in</w:t>
      </w:r>
      <w:r w:rsidR="006F0B28" w:rsidRPr="005960F5">
        <w:rPr>
          <w:rFonts w:cs="Arial"/>
        </w:rPr>
        <w:t xml:space="preserve"> </w:t>
      </w:r>
      <w:r w:rsidRPr="005960F5">
        <w:rPr>
          <w:rFonts w:cs="Arial"/>
        </w:rPr>
        <w:t>(EU) 2021/1230</w:t>
      </w:r>
      <w:r w:rsidR="006F0B28" w:rsidRPr="005960F5">
        <w:t xml:space="preserve"> </w:t>
      </w:r>
      <w:r w:rsidRPr="005960F5">
        <w:rPr>
          <w:rFonts w:cs="Arial"/>
        </w:rPr>
        <w:t>ter</w:t>
      </w:r>
      <w:r w:rsidR="006F0B28" w:rsidRPr="005960F5">
        <w:rPr>
          <w:rFonts w:cs="Arial"/>
        </w:rPr>
        <w:t xml:space="preserve"> </w:t>
      </w:r>
      <w:r w:rsidRPr="005960F5">
        <w:rPr>
          <w:rFonts w:cs="Arial"/>
        </w:rPr>
        <w:t>direktiv 98/26/ES</w:t>
      </w:r>
      <w:r w:rsidR="006F0B28" w:rsidRPr="005960F5">
        <w:t xml:space="preserve"> </w:t>
      </w:r>
      <w:r w:rsidRPr="005960F5">
        <w:rPr>
          <w:rFonts w:cs="Arial"/>
        </w:rPr>
        <w:t>in</w:t>
      </w:r>
      <w:r w:rsidR="006F0B28" w:rsidRPr="005960F5">
        <w:rPr>
          <w:rFonts w:cs="Arial"/>
        </w:rPr>
        <w:t xml:space="preserve"> </w:t>
      </w:r>
      <w:r w:rsidRPr="005960F5">
        <w:rPr>
          <w:rFonts w:cs="Arial"/>
        </w:rPr>
        <w:t>(EU) 2015/2366</w:t>
      </w:r>
      <w:r w:rsidR="006F0B28" w:rsidRPr="005960F5">
        <w:t xml:space="preserve"> </w:t>
      </w:r>
      <w:r w:rsidRPr="005960F5">
        <w:rPr>
          <w:rFonts w:cs="Arial"/>
        </w:rPr>
        <w:t>glede takojšnjih kreditnih prenosov v evrih (UL L št. 2024/886 z dne 19. 3. 2024), (v nadaljnjem besedilu:</w:t>
      </w:r>
      <w:r w:rsidR="006F0B28" w:rsidRPr="005960F5">
        <w:rPr>
          <w:rFonts w:cs="Arial"/>
        </w:rPr>
        <w:t xml:space="preserve"> </w:t>
      </w:r>
      <w:r w:rsidRPr="005960F5">
        <w:rPr>
          <w:rFonts w:cs="Arial"/>
        </w:rPr>
        <w:t>Direktiva 98/26/ES),</w:t>
      </w:r>
    </w:p>
    <w:p w14:paraId="5C545558" w14:textId="1CFD02D1" w:rsidR="000317F7" w:rsidRPr="005960F5" w:rsidRDefault="00F06B25">
      <w:pPr>
        <w:spacing w:before="210" w:after="210"/>
        <w:rPr>
          <w:rFonts w:cs="Arial"/>
          <w:sz w:val="21"/>
        </w:rPr>
      </w:pPr>
      <w:r w:rsidRPr="005960F5">
        <w:rPr>
          <w:rFonts w:cs="Arial"/>
        </w:rPr>
        <w:t>4.     Direktiva 2001/34/ES</w:t>
      </w:r>
      <w:r w:rsidR="006F0B28" w:rsidRPr="005960F5">
        <w:t xml:space="preserve"> </w:t>
      </w:r>
      <w:r w:rsidRPr="005960F5">
        <w:rPr>
          <w:rFonts w:cs="Arial"/>
        </w:rPr>
        <w:t>Evropskega parlamenta in Sveta z dne 28. maja 2001 o sprejemu vrednostnih papirjev v uradno kotacijo na borzi in o informacijah, ki jih je treba objaviti v zvezi s temi vrednostnimi papirji (UL L št. 184 z dne 6. 7. 2001, str. 1), zadnjič spremenjena z</w:t>
      </w:r>
      <w:r w:rsidR="006F0B28" w:rsidRPr="005960F5">
        <w:rPr>
          <w:rFonts w:cs="Arial"/>
        </w:rPr>
        <w:t xml:space="preserve"> </w:t>
      </w:r>
      <w:r w:rsidRPr="005960F5">
        <w:rPr>
          <w:rFonts w:cs="Arial"/>
        </w:rPr>
        <w:t>Direktivo Evropskega parlamenta in Sveta 2005/1/ES</w:t>
      </w:r>
      <w:r w:rsidR="006F0B28" w:rsidRPr="005960F5">
        <w:t xml:space="preserve"> </w:t>
      </w:r>
      <w:r w:rsidRPr="005960F5">
        <w:rPr>
          <w:rFonts w:cs="Arial"/>
        </w:rPr>
        <w:t>z dne 9. marca 2005 o spremembi</w:t>
      </w:r>
      <w:r w:rsidR="006F0B28" w:rsidRPr="005960F5">
        <w:rPr>
          <w:rFonts w:cs="Arial"/>
        </w:rPr>
        <w:t xml:space="preserve"> </w:t>
      </w:r>
      <w:r w:rsidRPr="005960F5">
        <w:rPr>
          <w:rFonts w:cs="Arial"/>
        </w:rPr>
        <w:t>direktiv Sveta 73/239/EGS,85/611/EGS,91/675/EGS,92/49/EGS</w:t>
      </w:r>
      <w:r w:rsidR="006F0B28" w:rsidRPr="005960F5">
        <w:t xml:space="preserve"> </w:t>
      </w:r>
      <w:r w:rsidRPr="005960F5">
        <w:rPr>
          <w:rFonts w:cs="Arial"/>
        </w:rPr>
        <w:t>in</w:t>
      </w:r>
      <w:r w:rsidR="006F0B28" w:rsidRPr="005960F5">
        <w:rPr>
          <w:rFonts w:cs="Arial"/>
        </w:rPr>
        <w:t xml:space="preserve"> </w:t>
      </w:r>
      <w:r w:rsidRPr="005960F5">
        <w:rPr>
          <w:rFonts w:cs="Arial"/>
        </w:rPr>
        <w:t>93/6/EGS</w:t>
      </w:r>
      <w:r w:rsidR="006F0B28" w:rsidRPr="005960F5">
        <w:t xml:space="preserve"> </w:t>
      </w:r>
      <w:r w:rsidRPr="005960F5">
        <w:rPr>
          <w:rFonts w:cs="Arial"/>
        </w:rPr>
        <w:t>ter</w:t>
      </w:r>
      <w:r w:rsidR="006F0B28" w:rsidRPr="005960F5">
        <w:rPr>
          <w:rFonts w:cs="Arial"/>
        </w:rPr>
        <w:t xml:space="preserve"> </w:t>
      </w:r>
      <w:r w:rsidRPr="005960F5">
        <w:rPr>
          <w:rFonts w:cs="Arial"/>
        </w:rPr>
        <w:t>direktiv 94/19/ES,</w:t>
      </w:r>
      <w:r w:rsidR="006F0B28" w:rsidRPr="005960F5">
        <w:rPr>
          <w:rFonts w:cs="Arial"/>
        </w:rPr>
        <w:t xml:space="preserve"> </w:t>
      </w:r>
      <w:r w:rsidRPr="005960F5">
        <w:rPr>
          <w:rFonts w:cs="Arial"/>
        </w:rPr>
        <w:t>98/78/ES,</w:t>
      </w:r>
      <w:r w:rsidR="006F0B28" w:rsidRPr="005960F5">
        <w:rPr>
          <w:rFonts w:cs="Arial"/>
        </w:rPr>
        <w:t xml:space="preserve"> </w:t>
      </w:r>
      <w:r w:rsidRPr="005960F5">
        <w:rPr>
          <w:rFonts w:cs="Arial"/>
        </w:rPr>
        <w:t>2000/12/ES,</w:t>
      </w:r>
      <w:r w:rsidR="006F0B28" w:rsidRPr="005960F5">
        <w:rPr>
          <w:rFonts w:cs="Arial"/>
        </w:rPr>
        <w:t xml:space="preserve"> </w:t>
      </w:r>
      <w:r w:rsidRPr="005960F5">
        <w:rPr>
          <w:rFonts w:cs="Arial"/>
        </w:rPr>
        <w:t>2001/34/ES,</w:t>
      </w:r>
      <w:r w:rsidR="006F0B28" w:rsidRPr="005960F5">
        <w:rPr>
          <w:rFonts w:cs="Arial"/>
        </w:rPr>
        <w:t xml:space="preserve"> </w:t>
      </w:r>
      <w:r w:rsidRPr="005960F5">
        <w:rPr>
          <w:rFonts w:cs="Arial"/>
        </w:rPr>
        <w:t>2002/83/ES</w:t>
      </w:r>
      <w:r w:rsidR="006F0B28" w:rsidRPr="005960F5">
        <w:t xml:space="preserve"> </w:t>
      </w:r>
      <w:r w:rsidRPr="005960F5">
        <w:rPr>
          <w:rFonts w:cs="Arial"/>
        </w:rPr>
        <w:t>in</w:t>
      </w:r>
      <w:r w:rsidR="006F0B28" w:rsidRPr="005960F5">
        <w:rPr>
          <w:rFonts w:cs="Arial"/>
        </w:rPr>
        <w:t xml:space="preserve"> </w:t>
      </w:r>
      <w:r w:rsidRPr="005960F5">
        <w:rPr>
          <w:rFonts w:cs="Arial"/>
        </w:rPr>
        <w:t>2002/87/ES</w:t>
      </w:r>
      <w:r w:rsidR="00E11D2B">
        <w:rPr>
          <w:rFonts w:cs="Arial"/>
        </w:rPr>
        <w:t xml:space="preserve"> </w:t>
      </w:r>
      <w:r w:rsidRPr="005960F5">
        <w:rPr>
          <w:rFonts w:cs="Arial"/>
        </w:rPr>
        <w:t>za vzpostavitev nove organizacijske strukture odborov za finančne storitve (UL L št. 79 z dne 24. 3. 2005, str. 9), (v nadaljnjem besedilu:</w:t>
      </w:r>
      <w:r w:rsidR="006F0B28" w:rsidRPr="005960F5">
        <w:rPr>
          <w:rFonts w:cs="Arial"/>
        </w:rPr>
        <w:t xml:space="preserve"> </w:t>
      </w:r>
      <w:r w:rsidRPr="005960F5">
        <w:rPr>
          <w:rFonts w:cs="Arial"/>
        </w:rPr>
        <w:t>Direktiva 2001/34/ES),</w:t>
      </w:r>
    </w:p>
    <w:p w14:paraId="2A5AFD64" w14:textId="77777777" w:rsidR="000317F7" w:rsidRPr="005960F5" w:rsidRDefault="00F06B25">
      <w:pPr>
        <w:spacing w:before="210" w:after="210"/>
        <w:rPr>
          <w:rFonts w:cs="Arial"/>
          <w:sz w:val="21"/>
        </w:rPr>
      </w:pPr>
      <w:r w:rsidRPr="005960F5">
        <w:rPr>
          <w:rFonts w:cs="Arial"/>
        </w:rPr>
        <w:t>5.     </w:t>
      </w:r>
      <w:r w:rsidRPr="005960F5">
        <w:rPr>
          <w:rFonts w:cs="Arial"/>
          <w:b/>
        </w:rPr>
        <w:t>(črtana)</w:t>
      </w:r>
      <w:r w:rsidRPr="005960F5">
        <w:rPr>
          <w:rFonts w:cs="Arial"/>
        </w:rPr>
        <w:t>,</w:t>
      </w:r>
    </w:p>
    <w:p w14:paraId="7FB7B8CB" w14:textId="1769F151" w:rsidR="000317F7" w:rsidRPr="005960F5" w:rsidRDefault="00F06B25">
      <w:pPr>
        <w:spacing w:before="210" w:after="210"/>
        <w:rPr>
          <w:rFonts w:cs="Arial"/>
          <w:sz w:val="21"/>
        </w:rPr>
      </w:pPr>
      <w:r w:rsidRPr="005960F5">
        <w:rPr>
          <w:rFonts w:cs="Arial"/>
        </w:rPr>
        <w:t>6.     Direktiva 2004/109/ES</w:t>
      </w:r>
      <w:r w:rsidR="006F0B28" w:rsidRPr="005960F5">
        <w:t xml:space="preserve"> </w:t>
      </w:r>
      <w:r w:rsidRPr="005960F5">
        <w:rPr>
          <w:rFonts w:cs="Arial"/>
        </w:rPr>
        <w:t>Evropskega parlamenta in Sveta z dne 15. decembra 2004 o uskladitvi zahtev v zvezi s preglednostjo informacij o izdajateljih, katerih vrednostni papirji so sprejeti v trgovanje na reguliranem trgu, in o spremembi</w:t>
      </w:r>
      <w:r w:rsidR="006F0B28" w:rsidRPr="005960F5">
        <w:rPr>
          <w:rFonts w:cs="Arial"/>
        </w:rPr>
        <w:t xml:space="preserve"> </w:t>
      </w:r>
      <w:r w:rsidRPr="005960F5">
        <w:rPr>
          <w:rFonts w:cs="Arial"/>
        </w:rPr>
        <w:t>Direktive 2001/34/ES</w:t>
      </w:r>
      <w:r w:rsidR="006F0B28" w:rsidRPr="005960F5">
        <w:t xml:space="preserve"> </w:t>
      </w:r>
      <w:r w:rsidRPr="005960F5">
        <w:rPr>
          <w:rFonts w:cs="Arial"/>
        </w:rPr>
        <w:t>(UL L št. 390 z dne 31. 12. 2004, str. 38), zadnjič spremenjena z</w:t>
      </w:r>
      <w:r w:rsidR="006F0B28" w:rsidRPr="005960F5">
        <w:rPr>
          <w:rFonts w:cs="Arial"/>
        </w:rPr>
        <w:t xml:space="preserve"> </w:t>
      </w:r>
      <w:r w:rsidRPr="005960F5">
        <w:rPr>
          <w:rFonts w:cs="Arial"/>
        </w:rPr>
        <w:t>Direktivo (EU) 2023/2864</w:t>
      </w:r>
      <w:r w:rsidR="006F0B28" w:rsidRPr="005960F5">
        <w:t xml:space="preserve"> </w:t>
      </w:r>
      <w:r w:rsidRPr="005960F5">
        <w:rPr>
          <w:rFonts w:cs="Arial"/>
        </w:rPr>
        <w:t>Evropskega parlamenta in Sveta z dne 13. decembra 2023 o spremembi nekaterih direktiv glede vzpostavitve in delovanja evropske enotne točke dostopa (UL L št. 2023/2864 z dne 20. 12. 2023), (v nadaljnjem besedilu:</w:t>
      </w:r>
      <w:r w:rsidR="006F0B28" w:rsidRPr="005960F5">
        <w:rPr>
          <w:rFonts w:cs="Arial"/>
        </w:rPr>
        <w:t xml:space="preserve"> </w:t>
      </w:r>
      <w:r w:rsidRPr="005960F5">
        <w:rPr>
          <w:rFonts w:cs="Arial"/>
        </w:rPr>
        <w:t>Direktiva 2004/109/ES),</w:t>
      </w:r>
    </w:p>
    <w:p w14:paraId="46395149" w14:textId="77777777" w:rsidR="000317F7" w:rsidRPr="005960F5" w:rsidRDefault="00F06B25">
      <w:pPr>
        <w:spacing w:before="210" w:after="210"/>
        <w:rPr>
          <w:rFonts w:cs="Arial"/>
          <w:sz w:val="21"/>
        </w:rPr>
      </w:pPr>
      <w:r w:rsidRPr="005960F5">
        <w:rPr>
          <w:rFonts w:cs="Arial"/>
        </w:rPr>
        <w:t>7.     </w:t>
      </w:r>
      <w:r w:rsidRPr="005960F5">
        <w:rPr>
          <w:rFonts w:cs="Arial"/>
          <w:b/>
        </w:rPr>
        <w:t>(črtana)</w:t>
      </w:r>
      <w:r w:rsidRPr="005960F5">
        <w:rPr>
          <w:rFonts w:cs="Arial"/>
        </w:rPr>
        <w:t>,</w:t>
      </w:r>
    </w:p>
    <w:p w14:paraId="1FF03C02" w14:textId="6ED258CA" w:rsidR="000317F7" w:rsidRPr="005960F5" w:rsidRDefault="00F06B25">
      <w:pPr>
        <w:spacing w:before="210" w:after="210"/>
        <w:rPr>
          <w:rFonts w:cs="Arial"/>
          <w:sz w:val="21"/>
        </w:rPr>
      </w:pPr>
      <w:r w:rsidRPr="005960F5">
        <w:rPr>
          <w:rFonts w:cs="Arial"/>
        </w:rPr>
        <w:t>8.     Direktiva 2014/65/EU</w:t>
      </w:r>
      <w:r w:rsidR="006F0B28" w:rsidRPr="005960F5">
        <w:t xml:space="preserve"> </w:t>
      </w:r>
      <w:r w:rsidRPr="005960F5">
        <w:rPr>
          <w:rFonts w:cs="Arial"/>
        </w:rPr>
        <w:t>Evropskega parlamenta in Sveta z dne 15. maja 2014 o trgih finančnih instrumentov ter spremembi</w:t>
      </w:r>
      <w:r w:rsidR="006F0B28" w:rsidRPr="005960F5">
        <w:rPr>
          <w:rFonts w:cs="Arial"/>
        </w:rPr>
        <w:t xml:space="preserve"> </w:t>
      </w:r>
      <w:r w:rsidRPr="005960F5">
        <w:rPr>
          <w:rFonts w:cs="Arial"/>
        </w:rPr>
        <w:t>Direktive 2002/92/ES</w:t>
      </w:r>
      <w:r w:rsidR="006F0B28" w:rsidRPr="005960F5">
        <w:t xml:space="preserve"> </w:t>
      </w:r>
      <w:r w:rsidRPr="005960F5">
        <w:rPr>
          <w:rFonts w:cs="Arial"/>
        </w:rPr>
        <w:t>in</w:t>
      </w:r>
      <w:r w:rsidR="006F0B28" w:rsidRPr="005960F5">
        <w:rPr>
          <w:rFonts w:cs="Arial"/>
        </w:rPr>
        <w:t xml:space="preserve"> </w:t>
      </w:r>
      <w:r w:rsidRPr="005960F5">
        <w:rPr>
          <w:rFonts w:cs="Arial"/>
        </w:rPr>
        <w:t>Direktive 2011/61/EU</w:t>
      </w:r>
      <w:r w:rsidR="006F0B28" w:rsidRPr="005960F5">
        <w:t xml:space="preserve"> </w:t>
      </w:r>
      <w:r w:rsidRPr="005960F5">
        <w:rPr>
          <w:rFonts w:cs="Arial"/>
        </w:rPr>
        <w:t>(UL L št. 173 z dne 12. 6. 2014, str. 349), zadnjič spremenjena z</w:t>
      </w:r>
      <w:r w:rsidR="006F0B28" w:rsidRPr="005960F5">
        <w:rPr>
          <w:rFonts w:cs="Arial"/>
        </w:rPr>
        <w:t xml:space="preserve"> </w:t>
      </w:r>
      <w:r w:rsidRPr="005960F5">
        <w:rPr>
          <w:rFonts w:cs="Arial"/>
        </w:rPr>
        <w:t>Direktivo (EU) 2024/790</w:t>
      </w:r>
      <w:r w:rsidR="006F0B28" w:rsidRPr="005960F5">
        <w:t xml:space="preserve"> </w:t>
      </w:r>
      <w:r w:rsidRPr="005960F5">
        <w:rPr>
          <w:rFonts w:cs="Arial"/>
        </w:rPr>
        <w:t>Evropskega parlamenta in Sveta z dne 28. februarja 2024 o spremembi</w:t>
      </w:r>
      <w:r w:rsidR="006F0B28" w:rsidRPr="005960F5">
        <w:rPr>
          <w:rFonts w:cs="Arial"/>
        </w:rPr>
        <w:t xml:space="preserve"> </w:t>
      </w:r>
      <w:r w:rsidRPr="005960F5">
        <w:rPr>
          <w:rFonts w:cs="Arial"/>
        </w:rPr>
        <w:t>Direktive 2014/65/EU</w:t>
      </w:r>
      <w:r w:rsidR="006F0B28" w:rsidRPr="005960F5">
        <w:t xml:space="preserve"> </w:t>
      </w:r>
      <w:r w:rsidRPr="005960F5">
        <w:rPr>
          <w:rFonts w:cs="Arial"/>
        </w:rPr>
        <w:t>o trgih finančnih instrumentov (UL L št. 790 z dne 8. 3. 2024, str. 1), (v nadaljnjem besedilu:</w:t>
      </w:r>
      <w:r w:rsidR="006F0B28" w:rsidRPr="005960F5">
        <w:rPr>
          <w:rFonts w:cs="Arial"/>
        </w:rPr>
        <w:t xml:space="preserve"> </w:t>
      </w:r>
      <w:r w:rsidRPr="005960F5">
        <w:rPr>
          <w:rFonts w:cs="Arial"/>
        </w:rPr>
        <w:t>Direktiva 2014/65/EU),</w:t>
      </w:r>
    </w:p>
    <w:p w14:paraId="5E3ACE13" w14:textId="71030BA7" w:rsidR="000317F7" w:rsidRPr="005960F5" w:rsidRDefault="00F06B25">
      <w:pPr>
        <w:spacing w:before="210" w:after="210"/>
        <w:rPr>
          <w:rFonts w:cs="Arial"/>
          <w:sz w:val="21"/>
        </w:rPr>
      </w:pPr>
      <w:r w:rsidRPr="005960F5">
        <w:rPr>
          <w:rFonts w:cs="Arial"/>
        </w:rPr>
        <w:lastRenderedPageBreak/>
        <w:t>9.     Izvedbena direktiva Komisije (EU) 2015/2392</w:t>
      </w:r>
      <w:r w:rsidR="006F0B28" w:rsidRPr="005960F5">
        <w:t xml:space="preserve"> </w:t>
      </w:r>
      <w:r w:rsidRPr="005960F5">
        <w:rPr>
          <w:rFonts w:cs="Arial"/>
        </w:rPr>
        <w:t>z dne 17. decembra 2015 o</w:t>
      </w:r>
      <w:r w:rsidR="006F0B28" w:rsidRPr="005960F5">
        <w:rPr>
          <w:rFonts w:cs="Arial"/>
        </w:rPr>
        <w:t xml:space="preserve"> </w:t>
      </w:r>
      <w:r w:rsidRPr="005960F5">
        <w:rPr>
          <w:rFonts w:cs="Arial"/>
        </w:rPr>
        <w:t>Uredbi (EU) št. 596/2014</w:t>
      </w:r>
      <w:r w:rsidR="006F0B28" w:rsidRPr="005960F5">
        <w:t xml:space="preserve"> </w:t>
      </w:r>
      <w:r w:rsidRPr="005960F5">
        <w:rPr>
          <w:rFonts w:cs="Arial"/>
        </w:rPr>
        <w:t>Evropskega parlamenta in Sveta glede poročanja pristojnim organom o dejanskih ali morebitnih kršitvah navedene uredbe (UL L št. 332 z dne 18. 12. 2015, str. 126), (v nadaljnjem besedilu:</w:t>
      </w:r>
      <w:r w:rsidR="006F0B28" w:rsidRPr="005960F5">
        <w:rPr>
          <w:rFonts w:cs="Arial"/>
        </w:rPr>
        <w:t xml:space="preserve"> </w:t>
      </w:r>
      <w:r w:rsidRPr="005960F5">
        <w:rPr>
          <w:rFonts w:cs="Arial"/>
        </w:rPr>
        <w:t>Direktiva 2015/2392/EU),</w:t>
      </w:r>
    </w:p>
    <w:p w14:paraId="11009555" w14:textId="79C4536C" w:rsidR="000317F7" w:rsidRPr="005960F5" w:rsidRDefault="00F06B25">
      <w:pPr>
        <w:spacing w:before="210" w:after="210"/>
        <w:rPr>
          <w:rFonts w:cs="Arial"/>
          <w:sz w:val="21"/>
        </w:rPr>
      </w:pPr>
      <w:r w:rsidRPr="005960F5">
        <w:rPr>
          <w:rFonts w:cs="Arial"/>
        </w:rPr>
        <w:t>10.  Direktiva (EU) 2016/1034</w:t>
      </w:r>
      <w:r w:rsidR="006F0B28" w:rsidRPr="005960F5">
        <w:t xml:space="preserve"> </w:t>
      </w:r>
      <w:r w:rsidRPr="005960F5">
        <w:rPr>
          <w:rFonts w:cs="Arial"/>
        </w:rPr>
        <w:t>Evropskega parlamenta in Sveta z dne 23. junija 2016 o spremembi</w:t>
      </w:r>
      <w:r w:rsidR="006F0B28" w:rsidRPr="005960F5">
        <w:rPr>
          <w:rFonts w:cs="Arial"/>
        </w:rPr>
        <w:t xml:space="preserve"> </w:t>
      </w:r>
      <w:r w:rsidRPr="005960F5">
        <w:rPr>
          <w:rFonts w:cs="Arial"/>
        </w:rPr>
        <w:t>Direktive 2014/65/EU</w:t>
      </w:r>
      <w:r w:rsidR="006F0B28" w:rsidRPr="005960F5">
        <w:t xml:space="preserve"> </w:t>
      </w:r>
      <w:r w:rsidRPr="005960F5">
        <w:rPr>
          <w:rFonts w:cs="Arial"/>
        </w:rPr>
        <w:t>o trgih finančnih instrumentov (UL L št. 175 z dne 30. 6. 2016, str. 8),</w:t>
      </w:r>
    </w:p>
    <w:p w14:paraId="5E6D9CF8" w14:textId="4B7CD5CB" w:rsidR="000317F7" w:rsidRPr="005960F5" w:rsidRDefault="00F06B25">
      <w:pPr>
        <w:spacing w:before="210" w:after="210"/>
        <w:rPr>
          <w:rFonts w:cs="Arial"/>
          <w:sz w:val="21"/>
        </w:rPr>
      </w:pPr>
      <w:r w:rsidRPr="005960F5">
        <w:rPr>
          <w:rFonts w:cs="Arial"/>
        </w:rPr>
        <w:t>11.  Delegirana direktiva Komisije (EU) 2017/593</w:t>
      </w:r>
      <w:r w:rsidR="006F0B28" w:rsidRPr="005960F5">
        <w:t xml:space="preserve"> </w:t>
      </w:r>
      <w:r w:rsidRPr="005960F5">
        <w:rPr>
          <w:rFonts w:cs="Arial"/>
        </w:rPr>
        <w:t>z dne 7. aprila 2016 o dopolnitvi</w:t>
      </w:r>
      <w:r w:rsidR="006F0B28" w:rsidRPr="005960F5">
        <w:rPr>
          <w:rFonts w:cs="Arial"/>
        </w:rPr>
        <w:t xml:space="preserve"> </w:t>
      </w:r>
      <w:r w:rsidRPr="005960F5">
        <w:rPr>
          <w:rFonts w:cs="Arial"/>
        </w:rPr>
        <w:t>Direktive 2014/65/EU</w:t>
      </w:r>
      <w:r w:rsidR="006F0B28" w:rsidRPr="005960F5">
        <w:t xml:space="preserve"> </w:t>
      </w:r>
      <w:r w:rsidRPr="005960F5">
        <w:rPr>
          <w:rFonts w:cs="Arial"/>
        </w:rPr>
        <w:t>Evropskega parlamenta in Sveta v zvezi z zaščito finančnih instrumentov in sredstev, ki pripadajo strankam, obveznostmi glede upravljanja produktov in pravili, ki se uporabljajo za zagotavljanje ali prejemanje pristojbin, provizij ali kakršnih koli denarnih ali nedenarnih koristi (UL L št. 87 z dne 31. 3. 2017, str. 500; v nadaljnjem besedilu:</w:t>
      </w:r>
      <w:r w:rsidR="006F0B28" w:rsidRPr="005960F5">
        <w:rPr>
          <w:rFonts w:cs="Arial"/>
        </w:rPr>
        <w:t xml:space="preserve"> </w:t>
      </w:r>
      <w:r w:rsidRPr="005960F5">
        <w:rPr>
          <w:rFonts w:cs="Arial"/>
        </w:rPr>
        <w:t>Direktiva 2017/593/EU),</w:t>
      </w:r>
    </w:p>
    <w:p w14:paraId="2E2BADB0" w14:textId="089A9A2B" w:rsidR="000317F7" w:rsidRPr="005960F5" w:rsidRDefault="00F06B25">
      <w:pPr>
        <w:spacing w:before="210" w:after="210"/>
        <w:rPr>
          <w:rFonts w:cs="Arial"/>
          <w:sz w:val="21"/>
        </w:rPr>
      </w:pPr>
      <w:r w:rsidRPr="005960F5">
        <w:rPr>
          <w:rFonts w:cs="Arial"/>
        </w:rPr>
        <w:t>12.  Direktiva (EU) 2019/2034</w:t>
      </w:r>
      <w:r w:rsidR="006F0B28" w:rsidRPr="005960F5">
        <w:t xml:space="preserve"> </w:t>
      </w:r>
      <w:r w:rsidRPr="005960F5">
        <w:rPr>
          <w:rFonts w:cs="Arial"/>
        </w:rPr>
        <w:t>Evropskega parlamenta in Sveta z dne 27. novembra 2019 o bonitetnem nadzoru investicijskih podjetij ter o spremembi</w:t>
      </w:r>
      <w:r w:rsidR="006F0B28" w:rsidRPr="005960F5">
        <w:rPr>
          <w:rFonts w:cs="Arial"/>
        </w:rPr>
        <w:t xml:space="preserve"> </w:t>
      </w:r>
      <w:r w:rsidRPr="005960F5">
        <w:rPr>
          <w:rFonts w:cs="Arial"/>
        </w:rPr>
        <w:t>direktiv 2002/87/ES,</w:t>
      </w:r>
      <w:r w:rsidR="006F0B28" w:rsidRPr="005960F5">
        <w:rPr>
          <w:rFonts w:cs="Arial"/>
        </w:rPr>
        <w:t xml:space="preserve"> </w:t>
      </w:r>
      <w:r w:rsidRPr="005960F5">
        <w:rPr>
          <w:rFonts w:cs="Arial"/>
        </w:rPr>
        <w:t>2009/65/ES,</w:t>
      </w:r>
      <w:r w:rsidR="006F0B28" w:rsidRPr="005960F5">
        <w:rPr>
          <w:rFonts w:cs="Arial"/>
        </w:rPr>
        <w:t xml:space="preserve"> </w:t>
      </w:r>
      <w:r w:rsidRPr="005960F5">
        <w:rPr>
          <w:rFonts w:cs="Arial"/>
        </w:rPr>
        <w:t>2011/61/EU,</w:t>
      </w:r>
      <w:r w:rsidR="006F0B28" w:rsidRPr="005960F5">
        <w:rPr>
          <w:rFonts w:cs="Arial"/>
        </w:rPr>
        <w:t xml:space="preserve"> </w:t>
      </w:r>
      <w:r w:rsidRPr="005960F5">
        <w:rPr>
          <w:rFonts w:cs="Arial"/>
        </w:rPr>
        <w:t>2013/36/EU,2014/59/EU</w:t>
      </w:r>
      <w:r w:rsidR="006F0B28" w:rsidRPr="005960F5">
        <w:t xml:space="preserve"> </w:t>
      </w:r>
      <w:r w:rsidRPr="005960F5">
        <w:rPr>
          <w:rFonts w:cs="Arial"/>
        </w:rPr>
        <w:t>in</w:t>
      </w:r>
      <w:r w:rsidR="006F0B28" w:rsidRPr="005960F5">
        <w:rPr>
          <w:rFonts w:cs="Arial"/>
        </w:rPr>
        <w:t xml:space="preserve"> </w:t>
      </w:r>
      <w:r w:rsidRPr="005960F5">
        <w:rPr>
          <w:rFonts w:cs="Arial"/>
        </w:rPr>
        <w:t>2014/65/EU</w:t>
      </w:r>
      <w:r w:rsidR="006F0B28" w:rsidRPr="005960F5">
        <w:t xml:space="preserve"> </w:t>
      </w:r>
      <w:r w:rsidRPr="005960F5">
        <w:rPr>
          <w:rFonts w:cs="Arial"/>
        </w:rPr>
        <w:t>(UL L št. 314 z dne 5. decembra 2019, str. 64), zadnjič popravljena s Popravkom (UL L št. 405 z dne 2. 12. 2020, str. 84), v delu, ki se nanaša na spremembo</w:t>
      </w:r>
      <w:r w:rsidR="006F0B28" w:rsidRPr="005960F5">
        <w:rPr>
          <w:rFonts w:cs="Arial"/>
        </w:rPr>
        <w:t xml:space="preserve"> </w:t>
      </w:r>
      <w:r w:rsidRPr="005960F5">
        <w:rPr>
          <w:rFonts w:cs="Arial"/>
        </w:rPr>
        <w:t>Direktive 2014/65/EU;</w:t>
      </w:r>
    </w:p>
    <w:p w14:paraId="5CB2F960" w14:textId="113BD4DA" w:rsidR="000317F7" w:rsidRPr="005960F5" w:rsidRDefault="00F06B25">
      <w:pPr>
        <w:spacing w:before="210" w:after="210"/>
        <w:rPr>
          <w:rFonts w:cs="Arial"/>
          <w:sz w:val="21"/>
        </w:rPr>
      </w:pPr>
      <w:r w:rsidRPr="005960F5">
        <w:rPr>
          <w:rFonts w:cs="Arial"/>
        </w:rPr>
        <w:t>13.  Direktiva 2019/2177</w:t>
      </w:r>
      <w:r w:rsidR="006F0B28" w:rsidRPr="005960F5">
        <w:t xml:space="preserve"> </w:t>
      </w:r>
      <w:r w:rsidRPr="005960F5">
        <w:rPr>
          <w:rFonts w:cs="Arial"/>
        </w:rPr>
        <w:t>Evropskega parlamenta in Sveta z dne 18. decembra 2019 o spremembi</w:t>
      </w:r>
      <w:r w:rsidR="006F0B28" w:rsidRPr="005960F5">
        <w:rPr>
          <w:rFonts w:cs="Arial"/>
        </w:rPr>
        <w:t xml:space="preserve"> </w:t>
      </w:r>
      <w:r w:rsidRPr="005960F5">
        <w:rPr>
          <w:rFonts w:cs="Arial"/>
        </w:rPr>
        <w:t>Direktive 2009/138/ES</w:t>
      </w:r>
      <w:r w:rsidR="006F0B28" w:rsidRPr="005960F5">
        <w:t xml:space="preserve"> </w:t>
      </w:r>
      <w:r w:rsidRPr="005960F5">
        <w:rPr>
          <w:rFonts w:cs="Arial"/>
        </w:rPr>
        <w:t>o začetku opravljanja in opravljanju dejavnosti zavarovanja in pozavarovanja (Solventnost II),</w:t>
      </w:r>
      <w:r w:rsidR="006F0B28" w:rsidRPr="005960F5">
        <w:rPr>
          <w:rFonts w:cs="Arial"/>
        </w:rPr>
        <w:t xml:space="preserve"> </w:t>
      </w:r>
      <w:r w:rsidRPr="005960F5">
        <w:rPr>
          <w:rFonts w:cs="Arial"/>
        </w:rPr>
        <w:t>Direktive 2014/65/EU</w:t>
      </w:r>
      <w:r w:rsidR="006F0B28" w:rsidRPr="005960F5">
        <w:t xml:space="preserve"> </w:t>
      </w:r>
      <w:r w:rsidRPr="005960F5">
        <w:rPr>
          <w:rFonts w:cs="Arial"/>
        </w:rPr>
        <w:t>o trgih finančnih instrumentov in</w:t>
      </w:r>
      <w:r w:rsidR="006F0B28" w:rsidRPr="005960F5">
        <w:rPr>
          <w:rFonts w:cs="Arial"/>
        </w:rPr>
        <w:t xml:space="preserve"> </w:t>
      </w:r>
      <w:r w:rsidRPr="005960F5">
        <w:rPr>
          <w:rFonts w:cs="Arial"/>
        </w:rPr>
        <w:t>Direktive (EU) 2015/849 o preprečevanju uporabe finančnega sistema za pranje denarja ali financiranje terorizma (UL L št. 334 z dne 27. 12. 2019, str. 155; v nadaljnjem besedilu:</w:t>
      </w:r>
      <w:r w:rsidR="006F0B28" w:rsidRPr="005960F5">
        <w:rPr>
          <w:rFonts w:cs="Arial"/>
        </w:rPr>
        <w:t xml:space="preserve"> </w:t>
      </w:r>
      <w:r w:rsidRPr="005960F5">
        <w:rPr>
          <w:rFonts w:cs="Arial"/>
        </w:rPr>
        <w:t>Direktiva 2019/2177/EU), v delu, ki se nanaša na spremembo</w:t>
      </w:r>
      <w:r w:rsidR="006F0B28" w:rsidRPr="005960F5">
        <w:rPr>
          <w:rFonts w:cs="Arial"/>
        </w:rPr>
        <w:t xml:space="preserve"> </w:t>
      </w:r>
      <w:r w:rsidRPr="005960F5">
        <w:rPr>
          <w:rFonts w:cs="Arial"/>
        </w:rPr>
        <w:t>Direktive 2014/65/EU;</w:t>
      </w:r>
    </w:p>
    <w:p w14:paraId="5915B9CE" w14:textId="5462B486" w:rsidR="000317F7" w:rsidRPr="005960F5" w:rsidRDefault="00F06B25">
      <w:pPr>
        <w:spacing w:before="210" w:after="210"/>
        <w:rPr>
          <w:rFonts w:cs="Arial"/>
          <w:sz w:val="21"/>
        </w:rPr>
      </w:pPr>
      <w:r w:rsidRPr="005960F5">
        <w:rPr>
          <w:rFonts w:cs="Arial"/>
        </w:rPr>
        <w:t>14.  Direktiva 2020/1504</w:t>
      </w:r>
      <w:r w:rsidR="006F0B28" w:rsidRPr="005960F5">
        <w:t xml:space="preserve"> </w:t>
      </w:r>
      <w:r w:rsidRPr="005960F5">
        <w:rPr>
          <w:rFonts w:cs="Arial"/>
        </w:rPr>
        <w:t>Evropskega parlamenta in Sveta z dne 7. oktobra 2020 o spremembi</w:t>
      </w:r>
      <w:r w:rsidR="006F0B28" w:rsidRPr="005960F5">
        <w:rPr>
          <w:rFonts w:cs="Arial"/>
        </w:rPr>
        <w:t xml:space="preserve"> </w:t>
      </w:r>
      <w:r w:rsidRPr="005960F5">
        <w:rPr>
          <w:rFonts w:cs="Arial"/>
        </w:rPr>
        <w:t>Direktive 2014/65/EU</w:t>
      </w:r>
      <w:r w:rsidR="006F0B28" w:rsidRPr="005960F5">
        <w:t xml:space="preserve"> </w:t>
      </w:r>
      <w:r w:rsidRPr="005960F5">
        <w:rPr>
          <w:rFonts w:cs="Arial"/>
        </w:rPr>
        <w:t>o trgih finančnih instrumentov (UL L št. 347 z dne 20. 10. 2020, str. 50);</w:t>
      </w:r>
    </w:p>
    <w:p w14:paraId="3185FD30" w14:textId="3CAB1DC4" w:rsidR="000317F7" w:rsidRPr="005960F5" w:rsidRDefault="00F06B25">
      <w:pPr>
        <w:spacing w:before="210" w:after="210"/>
        <w:rPr>
          <w:rFonts w:cs="Arial"/>
          <w:sz w:val="21"/>
        </w:rPr>
      </w:pPr>
      <w:r w:rsidRPr="005960F5">
        <w:rPr>
          <w:rFonts w:cs="Arial"/>
        </w:rPr>
        <w:t>15.  Direktiva 2021/338</w:t>
      </w:r>
      <w:r w:rsidR="006F0B28" w:rsidRPr="005960F5">
        <w:t xml:space="preserve"> </w:t>
      </w:r>
      <w:r w:rsidRPr="005960F5">
        <w:rPr>
          <w:rFonts w:cs="Arial"/>
        </w:rPr>
        <w:t>Evropskega parlamenta in Sveta z dne 16. februarja 2021 o spremembi</w:t>
      </w:r>
      <w:r w:rsidR="006F0B28" w:rsidRPr="005960F5">
        <w:rPr>
          <w:rFonts w:cs="Arial"/>
        </w:rPr>
        <w:t xml:space="preserve"> </w:t>
      </w:r>
      <w:r w:rsidRPr="005960F5">
        <w:rPr>
          <w:rFonts w:cs="Arial"/>
        </w:rPr>
        <w:t>Direktive 2014/65/EU</w:t>
      </w:r>
      <w:r w:rsidR="006F0B28" w:rsidRPr="005960F5">
        <w:t xml:space="preserve"> </w:t>
      </w:r>
      <w:r w:rsidRPr="005960F5">
        <w:rPr>
          <w:rFonts w:cs="Arial"/>
        </w:rPr>
        <w:t>glede zahtev po informacijah, upravljanja produktov in omejitev pozicij ter</w:t>
      </w:r>
      <w:r w:rsidR="006F0B28" w:rsidRPr="005960F5">
        <w:rPr>
          <w:rFonts w:cs="Arial"/>
        </w:rPr>
        <w:t xml:space="preserve"> </w:t>
      </w:r>
      <w:r w:rsidRPr="005960F5">
        <w:rPr>
          <w:rFonts w:cs="Arial"/>
        </w:rPr>
        <w:t>direktiv 2013/36/EU</w:t>
      </w:r>
      <w:r w:rsidR="006F0B28" w:rsidRPr="005960F5">
        <w:t xml:space="preserve"> </w:t>
      </w:r>
      <w:r w:rsidRPr="005960F5">
        <w:rPr>
          <w:rFonts w:cs="Arial"/>
        </w:rPr>
        <w:t>in</w:t>
      </w:r>
      <w:r w:rsidR="006F0B28" w:rsidRPr="005960F5">
        <w:rPr>
          <w:rFonts w:cs="Arial"/>
        </w:rPr>
        <w:t xml:space="preserve"> </w:t>
      </w:r>
      <w:r w:rsidRPr="005960F5">
        <w:rPr>
          <w:rFonts w:cs="Arial"/>
        </w:rPr>
        <w:t>(EU) 2019/878</w:t>
      </w:r>
      <w:r w:rsidR="006F0B28" w:rsidRPr="005960F5">
        <w:t xml:space="preserve"> </w:t>
      </w:r>
      <w:r w:rsidRPr="005960F5">
        <w:rPr>
          <w:rFonts w:cs="Arial"/>
        </w:rPr>
        <w:t>glede njihove uporabe v zvezi z investicijskimi podjetji, za podporo okrevanju po pandemiji COVID-19 (UL L št. 68 z dne 26. 2. 2021, str. 14);</w:t>
      </w:r>
    </w:p>
    <w:p w14:paraId="7C4EDCBF" w14:textId="72E51431" w:rsidR="000317F7" w:rsidRDefault="00F06B25">
      <w:pPr>
        <w:spacing w:before="210" w:after="210"/>
        <w:rPr>
          <w:rFonts w:cs="Arial"/>
        </w:rPr>
      </w:pPr>
      <w:r w:rsidRPr="005960F5">
        <w:rPr>
          <w:rFonts w:cs="Arial"/>
        </w:rPr>
        <w:t>16.Direktiva (EU) 2022/2464/EU</w:t>
      </w:r>
      <w:r w:rsidR="006F0B28" w:rsidRPr="005960F5">
        <w:t xml:space="preserve"> </w:t>
      </w:r>
      <w:r w:rsidRPr="005960F5">
        <w:rPr>
          <w:rFonts w:cs="Arial"/>
        </w:rPr>
        <w:t>Evropskega parlamenta in Sveta z dne 14. decembra 2022 o spremembi</w:t>
      </w:r>
      <w:r w:rsidR="006F0B28" w:rsidRPr="005960F5">
        <w:rPr>
          <w:rFonts w:cs="Arial"/>
        </w:rPr>
        <w:t xml:space="preserve"> </w:t>
      </w:r>
      <w:r w:rsidRPr="005960F5">
        <w:rPr>
          <w:rFonts w:cs="Arial"/>
        </w:rPr>
        <w:t>Uredbe (EU) št. 537/2014,</w:t>
      </w:r>
      <w:r w:rsidR="006F0B28" w:rsidRPr="005960F5">
        <w:rPr>
          <w:rFonts w:cs="Arial"/>
        </w:rPr>
        <w:t xml:space="preserve"> </w:t>
      </w:r>
      <w:r w:rsidRPr="005960F5">
        <w:rPr>
          <w:rFonts w:cs="Arial"/>
        </w:rPr>
        <w:t>Direktive 2004/109/ES,</w:t>
      </w:r>
      <w:r w:rsidR="006F0B28" w:rsidRPr="005960F5">
        <w:rPr>
          <w:rFonts w:cs="Arial"/>
        </w:rPr>
        <w:t xml:space="preserve"> </w:t>
      </w:r>
      <w:r w:rsidRPr="005960F5">
        <w:rPr>
          <w:rFonts w:cs="Arial"/>
        </w:rPr>
        <w:t>Direktive 2006/43/ES</w:t>
      </w:r>
      <w:r w:rsidR="006F0B28" w:rsidRPr="005960F5">
        <w:t xml:space="preserve"> </w:t>
      </w:r>
      <w:r w:rsidRPr="005960F5">
        <w:rPr>
          <w:rFonts w:cs="Arial"/>
        </w:rPr>
        <w:t>in</w:t>
      </w:r>
      <w:r w:rsidR="006F0B28" w:rsidRPr="005960F5">
        <w:rPr>
          <w:rFonts w:cs="Arial"/>
        </w:rPr>
        <w:t xml:space="preserve"> </w:t>
      </w:r>
      <w:r w:rsidRPr="005960F5">
        <w:rPr>
          <w:rFonts w:cs="Arial"/>
        </w:rPr>
        <w:t>Direktive 2013/34/EU</w:t>
      </w:r>
      <w:r w:rsidR="006F0B28" w:rsidRPr="005960F5">
        <w:t xml:space="preserve"> </w:t>
      </w:r>
      <w:r w:rsidRPr="005960F5">
        <w:rPr>
          <w:rFonts w:cs="Arial"/>
        </w:rPr>
        <w:t xml:space="preserve">glede poročanja podjetij o </w:t>
      </w:r>
      <w:proofErr w:type="spellStart"/>
      <w:r w:rsidRPr="005960F5">
        <w:rPr>
          <w:rFonts w:cs="Arial"/>
        </w:rPr>
        <w:t>trajnostnosti</w:t>
      </w:r>
      <w:proofErr w:type="spellEnd"/>
      <w:r w:rsidRPr="005960F5">
        <w:rPr>
          <w:rFonts w:cs="Arial"/>
        </w:rPr>
        <w:t xml:space="preserve"> (UL L št. 322 z dne 16. 12. 2022, str. 15);</w:t>
      </w:r>
    </w:p>
    <w:p w14:paraId="06021F96" w14:textId="77777777" w:rsidR="00DA4E3F" w:rsidRPr="00DA4E3F" w:rsidRDefault="00DA4E3F" w:rsidP="00DA4E3F">
      <w:pPr>
        <w:spacing w:before="210" w:after="210"/>
        <w:rPr>
          <w:rFonts w:cs="Arial"/>
          <w:sz w:val="21"/>
        </w:rPr>
      </w:pPr>
      <w:r w:rsidRPr="00DA4E3F">
        <w:rPr>
          <w:rFonts w:cs="Arial"/>
          <w:sz w:val="21"/>
        </w:rPr>
        <w:t>17.  Direktiva (EU) 2022/2556/EU Evropskega parlamenta in Sveta z dne 14. decembra 2022 o spremembi direktiv 2009/65/ES, 2009/138/ES, 2011/61/EU, 2013/36/EU, 2014/59/EU, 2014/65/EU, (EU) 2015/2366 in (EU) 2016/2341 glede digitalne operativne odpornosti za finančni sektor (UL L št. 333 z dne 27. 12. 2022, str. 153; v nadaljnjem besedilu: Direktiva 2022/2556/EU),</w:t>
      </w:r>
    </w:p>
    <w:p w14:paraId="1A826F79" w14:textId="77777777" w:rsidR="00DA4E3F" w:rsidRPr="00DA4E3F" w:rsidRDefault="00DA4E3F" w:rsidP="00DA4E3F">
      <w:pPr>
        <w:spacing w:before="210" w:after="210"/>
        <w:rPr>
          <w:rFonts w:cs="Arial"/>
          <w:sz w:val="21"/>
        </w:rPr>
      </w:pPr>
      <w:r w:rsidRPr="00DA4E3F">
        <w:rPr>
          <w:rFonts w:cs="Arial"/>
          <w:sz w:val="21"/>
        </w:rPr>
        <w:t>18.  Direktiva (EU) 2023/2864 Evropskega parlamenta in Sveta z dne 13. decembra 2023 o spremembi nekaterih direktiv glede vzpostavitve in delovanja evropske enotne točke dostopa (UL L št. 2023/2864 z dne 20. 12. 2023; v nadaljnjem besedilu: Direktiva 2023/2864/EU),</w:t>
      </w:r>
    </w:p>
    <w:p w14:paraId="128BFD1F" w14:textId="18FB2E5B" w:rsidR="00DA4E3F" w:rsidRPr="005960F5" w:rsidRDefault="00DA4E3F" w:rsidP="00DA4E3F">
      <w:pPr>
        <w:spacing w:before="210" w:after="210"/>
        <w:rPr>
          <w:rFonts w:cs="Arial"/>
          <w:sz w:val="21"/>
        </w:rPr>
      </w:pPr>
      <w:r w:rsidRPr="00DA4E3F">
        <w:rPr>
          <w:rFonts w:cs="Arial"/>
          <w:sz w:val="21"/>
        </w:rPr>
        <w:t>19.  Direktiva (EU) 2024/790 Evropskega parlamenta in Sveta z dne 28. februarja 2024 o spremembi Direktive 2014/65/EU o trgih finančnih instrumentov (UL L št. 790 z dne 8. 3. 2024, str. 1; v nadaljnjem besedilu: Direktiva 2024/790/EU).</w:t>
      </w:r>
    </w:p>
    <w:p w14:paraId="78778212" w14:textId="77777777" w:rsidR="000317F7" w:rsidRPr="005960F5" w:rsidRDefault="00F06B25">
      <w:pPr>
        <w:spacing w:before="210" w:after="210"/>
        <w:rPr>
          <w:rFonts w:cs="Arial"/>
          <w:sz w:val="21"/>
        </w:rPr>
      </w:pPr>
      <w:r w:rsidRPr="005960F5">
        <w:rPr>
          <w:rFonts w:cs="Arial"/>
        </w:rPr>
        <w:lastRenderedPageBreak/>
        <w:t>(2) S tem zakonom se podrobneje ureja izvajanje naslednjih uredb EU:</w:t>
      </w:r>
    </w:p>
    <w:p w14:paraId="1BC5E1F4" w14:textId="77777777" w:rsidR="000317F7" w:rsidRPr="005960F5" w:rsidRDefault="00F06B25">
      <w:pPr>
        <w:spacing w:before="210" w:after="210"/>
        <w:rPr>
          <w:rFonts w:cs="Arial"/>
          <w:sz w:val="21"/>
        </w:rPr>
      </w:pPr>
      <w:r w:rsidRPr="005960F5">
        <w:rPr>
          <w:rFonts w:cs="Arial"/>
        </w:rPr>
        <w:t>1.     </w:t>
      </w:r>
      <w:r w:rsidRPr="005960F5">
        <w:rPr>
          <w:rFonts w:cs="Arial"/>
          <w:b/>
        </w:rPr>
        <w:t>(črtana)</w:t>
      </w:r>
      <w:r w:rsidRPr="005960F5">
        <w:rPr>
          <w:rFonts w:cs="Arial"/>
        </w:rPr>
        <w:t>,</w:t>
      </w:r>
    </w:p>
    <w:p w14:paraId="117A1965" w14:textId="39F4B6A6" w:rsidR="000317F7" w:rsidRPr="005960F5" w:rsidRDefault="00F06B25">
      <w:pPr>
        <w:spacing w:before="210" w:after="210"/>
        <w:rPr>
          <w:rFonts w:cs="Arial"/>
          <w:sz w:val="21"/>
        </w:rPr>
      </w:pPr>
      <w:r w:rsidRPr="005960F5">
        <w:rPr>
          <w:rFonts w:cs="Arial"/>
        </w:rPr>
        <w:t>2.     Uredbe (EU) št. 575/2013</w:t>
      </w:r>
      <w:r w:rsidR="006F0B28" w:rsidRPr="005960F5">
        <w:t xml:space="preserve"> </w:t>
      </w:r>
      <w:r w:rsidRPr="005960F5">
        <w:rPr>
          <w:rFonts w:cs="Arial"/>
        </w:rPr>
        <w:t>Evropskega parlamenta in Sveta z dne 26. junija 2013 o bonitetnih zahtevah za kreditne institucije in investicijska podjetja ter o spremembi</w:t>
      </w:r>
      <w:r w:rsidR="006F0B28" w:rsidRPr="005960F5">
        <w:rPr>
          <w:rFonts w:cs="Arial"/>
        </w:rPr>
        <w:t xml:space="preserve"> </w:t>
      </w:r>
      <w:r w:rsidRPr="005960F5">
        <w:rPr>
          <w:rFonts w:cs="Arial"/>
        </w:rPr>
        <w:t>Uredbe (EU) št. 648/2012(UL L št. 176 z dne 27. 6. 2013, str. 1), zadnjič spremenjena z</w:t>
      </w:r>
      <w:r w:rsidR="006F0B28" w:rsidRPr="005960F5">
        <w:rPr>
          <w:rFonts w:cs="Arial"/>
        </w:rPr>
        <w:t xml:space="preserve"> </w:t>
      </w:r>
      <w:r w:rsidRPr="005960F5">
        <w:rPr>
          <w:rFonts w:cs="Arial"/>
        </w:rPr>
        <w:t>Uredbo (EU) 2024/2987</w:t>
      </w:r>
      <w:r w:rsidR="006F0B28" w:rsidRPr="005960F5">
        <w:t xml:space="preserve"> </w:t>
      </w:r>
      <w:r w:rsidRPr="005960F5">
        <w:rPr>
          <w:rFonts w:cs="Arial"/>
        </w:rPr>
        <w:t>Evropskega parlamenta in Sveta z dne 27. novembra 2024 o spremembi</w:t>
      </w:r>
      <w:r w:rsidR="006F0B28" w:rsidRPr="005960F5">
        <w:rPr>
          <w:rFonts w:cs="Arial"/>
        </w:rPr>
        <w:t xml:space="preserve"> </w:t>
      </w:r>
      <w:r w:rsidRPr="005960F5">
        <w:rPr>
          <w:rFonts w:cs="Arial"/>
        </w:rPr>
        <w:t>uredb (EU) št. 648/2012,</w:t>
      </w:r>
      <w:r w:rsidR="006F0B28" w:rsidRPr="005960F5">
        <w:rPr>
          <w:rFonts w:cs="Arial"/>
        </w:rPr>
        <w:t xml:space="preserve"> </w:t>
      </w:r>
      <w:r w:rsidRPr="005960F5">
        <w:rPr>
          <w:rFonts w:cs="Arial"/>
        </w:rPr>
        <w:t>(EU) št. 575/2013</w:t>
      </w:r>
      <w:r w:rsidR="006F0B28" w:rsidRPr="005960F5">
        <w:t xml:space="preserve"> </w:t>
      </w:r>
      <w:r w:rsidRPr="005960F5">
        <w:rPr>
          <w:rFonts w:cs="Arial"/>
        </w:rPr>
        <w:t>in</w:t>
      </w:r>
      <w:r w:rsidR="006F0B28" w:rsidRPr="005960F5">
        <w:rPr>
          <w:rFonts w:cs="Arial"/>
        </w:rPr>
        <w:t xml:space="preserve"> </w:t>
      </w:r>
      <w:r w:rsidRPr="005960F5">
        <w:rPr>
          <w:rFonts w:cs="Arial"/>
        </w:rPr>
        <w:t>(EU) 2017/1131</w:t>
      </w:r>
      <w:r w:rsidR="006F0B28" w:rsidRPr="005960F5">
        <w:t xml:space="preserve"> </w:t>
      </w:r>
      <w:r w:rsidRPr="005960F5">
        <w:rPr>
          <w:rFonts w:cs="Arial"/>
        </w:rPr>
        <w:t>v zvezi z ukrepi za zmanjšanje prekomerne izpostavljenosti do centralnih nasprotnih strank iz tretjih držav in izboljšanje učinkovitosti klirinških trgov Unije (UL L št. 2024/2987 z dne 4. 12. 2024), (v nadaljnjem besedilu:</w:t>
      </w:r>
      <w:r w:rsidR="006F0B28" w:rsidRPr="005960F5">
        <w:rPr>
          <w:rFonts w:cs="Arial"/>
        </w:rPr>
        <w:t xml:space="preserve"> </w:t>
      </w:r>
      <w:r w:rsidRPr="005960F5">
        <w:rPr>
          <w:rFonts w:cs="Arial"/>
        </w:rPr>
        <w:t>Uredba 575/2013/EU),</w:t>
      </w:r>
    </w:p>
    <w:p w14:paraId="142D03AC" w14:textId="4408B995" w:rsidR="000317F7" w:rsidRPr="005960F5" w:rsidRDefault="00F06B25">
      <w:pPr>
        <w:spacing w:before="210" w:after="210"/>
        <w:rPr>
          <w:rFonts w:cs="Arial"/>
          <w:sz w:val="21"/>
        </w:rPr>
      </w:pPr>
      <w:r w:rsidRPr="005960F5">
        <w:rPr>
          <w:rFonts w:cs="Arial"/>
        </w:rPr>
        <w:t>3.     Uredbe (EU) št. 596/2014</w:t>
      </w:r>
      <w:r w:rsidR="006F0B28" w:rsidRPr="005960F5">
        <w:t xml:space="preserve"> </w:t>
      </w:r>
      <w:r w:rsidRPr="005960F5">
        <w:rPr>
          <w:rFonts w:cs="Arial"/>
        </w:rPr>
        <w:t>Evropskega parlamenta in Sveta z dne 16. aprila 2014 o zlorabi trga (uredba o zlorabi trga) ter razveljavitvi</w:t>
      </w:r>
      <w:r w:rsidR="006F0B28" w:rsidRPr="005960F5">
        <w:rPr>
          <w:rFonts w:cs="Arial"/>
        </w:rPr>
        <w:t xml:space="preserve"> </w:t>
      </w:r>
      <w:r w:rsidRPr="005960F5">
        <w:rPr>
          <w:rFonts w:cs="Arial"/>
        </w:rPr>
        <w:t>Direktive 2003/6/ES</w:t>
      </w:r>
      <w:r w:rsidR="006F0B28" w:rsidRPr="005960F5">
        <w:t xml:space="preserve"> </w:t>
      </w:r>
      <w:r w:rsidRPr="005960F5">
        <w:rPr>
          <w:rFonts w:cs="Arial"/>
        </w:rPr>
        <w:t>Evropskega parlamenta in Sveta ter</w:t>
      </w:r>
      <w:r w:rsidR="006F0B28" w:rsidRPr="005960F5">
        <w:rPr>
          <w:rFonts w:cs="Arial"/>
        </w:rPr>
        <w:t xml:space="preserve"> </w:t>
      </w:r>
      <w:r w:rsidRPr="005960F5">
        <w:rPr>
          <w:rFonts w:cs="Arial"/>
        </w:rPr>
        <w:t>direktiv Komisije 2003/124/ES,</w:t>
      </w:r>
      <w:r w:rsidR="006F0B28" w:rsidRPr="005960F5">
        <w:rPr>
          <w:rFonts w:cs="Arial"/>
        </w:rPr>
        <w:t xml:space="preserve"> </w:t>
      </w:r>
      <w:r w:rsidRPr="005960F5">
        <w:rPr>
          <w:rFonts w:cs="Arial"/>
        </w:rPr>
        <w:t>2003/125/ES</w:t>
      </w:r>
      <w:r w:rsidR="006F0B28" w:rsidRPr="005960F5">
        <w:t xml:space="preserve"> </w:t>
      </w:r>
      <w:r w:rsidRPr="005960F5">
        <w:rPr>
          <w:rFonts w:cs="Arial"/>
        </w:rPr>
        <w:t>in</w:t>
      </w:r>
      <w:r w:rsidR="006F0B28" w:rsidRPr="005960F5">
        <w:rPr>
          <w:rFonts w:cs="Arial"/>
        </w:rPr>
        <w:t xml:space="preserve"> </w:t>
      </w:r>
      <w:r w:rsidRPr="005960F5">
        <w:rPr>
          <w:rFonts w:cs="Arial"/>
        </w:rPr>
        <w:t>2004/72/ES</w:t>
      </w:r>
      <w:r w:rsidR="006F0B28" w:rsidRPr="005960F5">
        <w:t xml:space="preserve"> </w:t>
      </w:r>
      <w:r w:rsidRPr="005960F5">
        <w:rPr>
          <w:rFonts w:cs="Arial"/>
        </w:rPr>
        <w:t>(UL L št. 173 z dne 16. 4. 2014, str. 1), zadnjič spremenjena z</w:t>
      </w:r>
      <w:r w:rsidR="006F0B28" w:rsidRPr="005960F5">
        <w:rPr>
          <w:rFonts w:cs="Arial"/>
        </w:rPr>
        <w:t xml:space="preserve"> </w:t>
      </w:r>
      <w:r w:rsidRPr="005960F5">
        <w:rPr>
          <w:rFonts w:cs="Arial"/>
        </w:rPr>
        <w:t>Uredbo (EU) 2023/2869</w:t>
      </w:r>
      <w:r w:rsidR="006F0B28" w:rsidRPr="005960F5">
        <w:t xml:space="preserve"> </w:t>
      </w:r>
      <w:r w:rsidRPr="005960F5">
        <w:rPr>
          <w:rFonts w:cs="Arial"/>
        </w:rPr>
        <w:t>Evropskega parlamenta in Sveta z dne 13. decembra 2023 o spremembi nekaterih uredb glede vzpostavitve in delovanja evropske enotne točke dostopa (UL L št 2023/2869 z dne 20. 12. 2023), (v nadaljnjem besedilu:</w:t>
      </w:r>
      <w:r w:rsidR="006F0B28" w:rsidRPr="005960F5">
        <w:rPr>
          <w:rFonts w:cs="Arial"/>
        </w:rPr>
        <w:t xml:space="preserve"> </w:t>
      </w:r>
      <w:r w:rsidRPr="005960F5">
        <w:rPr>
          <w:rFonts w:cs="Arial"/>
        </w:rPr>
        <w:t>Uredba 596/2014/EU),</w:t>
      </w:r>
    </w:p>
    <w:p w14:paraId="1DF29801" w14:textId="1072BCF6" w:rsidR="000317F7" w:rsidRPr="005960F5" w:rsidRDefault="00F06B25">
      <w:pPr>
        <w:spacing w:before="210" w:after="210"/>
        <w:rPr>
          <w:rFonts w:cs="Arial"/>
          <w:sz w:val="21"/>
        </w:rPr>
      </w:pPr>
      <w:r w:rsidRPr="005960F5">
        <w:rPr>
          <w:rFonts w:cs="Arial"/>
        </w:rPr>
        <w:t>4.     Uredbe (EU) št. 600/2014</w:t>
      </w:r>
      <w:r w:rsidR="006F0B28" w:rsidRPr="005960F5">
        <w:t xml:space="preserve"> </w:t>
      </w:r>
      <w:r w:rsidRPr="005960F5">
        <w:rPr>
          <w:rFonts w:cs="Arial"/>
        </w:rPr>
        <w:t>Evropskega parlamenta in Sveta z dne 15. maja 2014 o trgih finančnih instrumentov ter spremembi</w:t>
      </w:r>
      <w:r w:rsidR="006F0B28" w:rsidRPr="005960F5">
        <w:rPr>
          <w:rFonts w:cs="Arial"/>
        </w:rPr>
        <w:t xml:space="preserve"> </w:t>
      </w:r>
      <w:r w:rsidRPr="005960F5">
        <w:rPr>
          <w:rFonts w:cs="Arial"/>
        </w:rPr>
        <w:t>Uredbe (EU) št. 648/2012</w:t>
      </w:r>
      <w:r w:rsidR="006F0B28" w:rsidRPr="005960F5">
        <w:t xml:space="preserve"> </w:t>
      </w:r>
      <w:r w:rsidRPr="005960F5">
        <w:rPr>
          <w:rFonts w:cs="Arial"/>
        </w:rPr>
        <w:t>(UL L št. 173 z dne 12. 6. 2014, str. 84), zadnjič spremenjena z</w:t>
      </w:r>
      <w:r w:rsidR="006F0B28" w:rsidRPr="005960F5">
        <w:rPr>
          <w:rFonts w:cs="Arial"/>
        </w:rPr>
        <w:t xml:space="preserve"> </w:t>
      </w:r>
      <w:r w:rsidRPr="005960F5">
        <w:rPr>
          <w:rFonts w:cs="Arial"/>
        </w:rPr>
        <w:t>Delegirano uredbo Komisije (EU) 2025/1003</w:t>
      </w:r>
      <w:r w:rsidR="006F0B28" w:rsidRPr="005960F5">
        <w:t xml:space="preserve"> </w:t>
      </w:r>
      <w:r w:rsidRPr="005960F5">
        <w:rPr>
          <w:rFonts w:cs="Arial"/>
        </w:rPr>
        <w:t>z dne 24. januarja 2025 o dopolnitvi</w:t>
      </w:r>
      <w:r w:rsidR="006F0B28" w:rsidRPr="005960F5">
        <w:rPr>
          <w:rFonts w:cs="Arial"/>
        </w:rPr>
        <w:t xml:space="preserve"> </w:t>
      </w:r>
      <w:r w:rsidRPr="005960F5">
        <w:rPr>
          <w:rFonts w:cs="Arial"/>
        </w:rPr>
        <w:t>Uredbe (EU) št. 600/2014</w:t>
      </w:r>
      <w:r w:rsidR="006F0B28" w:rsidRPr="005960F5">
        <w:t xml:space="preserve"> </w:t>
      </w:r>
      <w:r w:rsidRPr="005960F5">
        <w:rPr>
          <w:rFonts w:cs="Arial"/>
        </w:rPr>
        <w:t>Evropskega parlamenta in Sveta v zvezi z referenčnimi podatki za identifikacijo za izvedene finančne instrumente OTC, ki se uporabljajo za namene zahtev po preglednosti iz člena 8a(2) ter členov 10 in 21 (UL L št. 2025/1003 z dne 22. 5. 2025), (v nadaljnjem besedilu:</w:t>
      </w:r>
      <w:r w:rsidR="006F0B28" w:rsidRPr="005960F5">
        <w:rPr>
          <w:rFonts w:cs="Arial"/>
        </w:rPr>
        <w:t xml:space="preserve"> </w:t>
      </w:r>
      <w:r w:rsidRPr="005960F5">
        <w:rPr>
          <w:rFonts w:cs="Arial"/>
        </w:rPr>
        <w:t>Uredba 600/2014/EU),</w:t>
      </w:r>
    </w:p>
    <w:p w14:paraId="7EBE32E1" w14:textId="7B542978" w:rsidR="000317F7" w:rsidRPr="005960F5" w:rsidRDefault="00F06B25">
      <w:pPr>
        <w:spacing w:before="210" w:after="210"/>
        <w:rPr>
          <w:rFonts w:cs="Arial"/>
          <w:sz w:val="21"/>
        </w:rPr>
      </w:pPr>
      <w:r w:rsidRPr="005960F5">
        <w:rPr>
          <w:rFonts w:cs="Arial"/>
        </w:rPr>
        <w:t>5.     Uredbe (EU) št. 909/2014</w:t>
      </w:r>
      <w:r w:rsidR="006F0B28" w:rsidRPr="005960F5">
        <w:t xml:space="preserve"> </w:t>
      </w:r>
      <w:r w:rsidRPr="005960F5">
        <w:rPr>
          <w:rFonts w:cs="Arial"/>
        </w:rPr>
        <w:t>Evropskega parlamenta in Sveta z dne 23. julija 2014 o izboljšanju ureditve poravnav vrednostnih papirjev v Evropski uniji in o centralnih depotnih družbah ter o spremembi</w:t>
      </w:r>
      <w:r w:rsidR="006F0B28" w:rsidRPr="005960F5">
        <w:rPr>
          <w:rFonts w:cs="Arial"/>
        </w:rPr>
        <w:t xml:space="preserve"> </w:t>
      </w:r>
      <w:r w:rsidRPr="005960F5">
        <w:rPr>
          <w:rFonts w:cs="Arial"/>
        </w:rPr>
        <w:t>direktiv 98/26/ES</w:t>
      </w:r>
      <w:r w:rsidR="006F0B28" w:rsidRPr="005960F5">
        <w:t xml:space="preserve"> </w:t>
      </w:r>
      <w:r w:rsidRPr="005960F5">
        <w:rPr>
          <w:rFonts w:cs="Arial"/>
        </w:rPr>
        <w:t>in</w:t>
      </w:r>
      <w:r w:rsidR="006F0B28" w:rsidRPr="005960F5">
        <w:rPr>
          <w:rFonts w:cs="Arial"/>
        </w:rPr>
        <w:t xml:space="preserve"> </w:t>
      </w:r>
      <w:r w:rsidRPr="005960F5">
        <w:rPr>
          <w:rFonts w:cs="Arial"/>
        </w:rPr>
        <w:t>2014/65/EU</w:t>
      </w:r>
      <w:r w:rsidR="006F0B28" w:rsidRPr="005960F5">
        <w:t xml:space="preserve"> </w:t>
      </w:r>
      <w:r w:rsidRPr="005960F5">
        <w:rPr>
          <w:rFonts w:cs="Arial"/>
        </w:rPr>
        <w:t>ter</w:t>
      </w:r>
      <w:r w:rsidR="006F0B28" w:rsidRPr="005960F5">
        <w:rPr>
          <w:rFonts w:cs="Arial"/>
        </w:rPr>
        <w:t xml:space="preserve"> </w:t>
      </w:r>
      <w:r w:rsidRPr="005960F5">
        <w:rPr>
          <w:rFonts w:cs="Arial"/>
        </w:rPr>
        <w:t>Uredbe (EU) št. 236/2012</w:t>
      </w:r>
      <w:r w:rsidR="006F0B28" w:rsidRPr="005960F5">
        <w:t xml:space="preserve"> </w:t>
      </w:r>
      <w:r w:rsidRPr="005960F5">
        <w:rPr>
          <w:rFonts w:cs="Arial"/>
        </w:rPr>
        <w:t>(UL L št. 257 z dne 28. 8. 2014, str. 1), zadnjič spremenjene z Uredbo EU) 2023/2845 Evropskega parlamenta in Sveta z dne 13. decembra 2023 o spremembi</w:t>
      </w:r>
      <w:r w:rsidR="006F0B28" w:rsidRPr="005960F5">
        <w:rPr>
          <w:rFonts w:cs="Arial"/>
        </w:rPr>
        <w:t xml:space="preserve"> </w:t>
      </w:r>
      <w:r w:rsidRPr="005960F5">
        <w:rPr>
          <w:rFonts w:cs="Arial"/>
        </w:rPr>
        <w:t>Uredbe (EU) št. 909/2014</w:t>
      </w:r>
      <w:r w:rsidR="006F0B28" w:rsidRPr="005960F5">
        <w:t xml:space="preserve"> </w:t>
      </w:r>
      <w:r w:rsidRPr="005960F5">
        <w:rPr>
          <w:rFonts w:cs="Arial"/>
        </w:rPr>
        <w:t>glede discipline pri poravnavi, čezmejnega opravljanja storitev, sodelovanja pri nadzoru, zagotavljanja pomožnih bančnih storitev in zahtev za centralne depotne družbe tretjih držav ter spremembi</w:t>
      </w:r>
      <w:r w:rsidR="006F0B28" w:rsidRPr="005960F5">
        <w:rPr>
          <w:rFonts w:cs="Arial"/>
        </w:rPr>
        <w:t xml:space="preserve"> </w:t>
      </w:r>
      <w:r w:rsidRPr="005960F5">
        <w:rPr>
          <w:rFonts w:cs="Arial"/>
        </w:rPr>
        <w:t>Uredbe (EU) št. 236/2012</w:t>
      </w:r>
      <w:r w:rsidR="006F0B28" w:rsidRPr="005960F5">
        <w:t xml:space="preserve"> </w:t>
      </w:r>
      <w:r w:rsidRPr="005960F5">
        <w:rPr>
          <w:rFonts w:cs="Arial"/>
        </w:rPr>
        <w:t>(UL L št. 2023/2845 z dne 27. 12. 2023), (v nadaljnjem besedilu:</w:t>
      </w:r>
      <w:r w:rsidR="006F0B28" w:rsidRPr="005960F5">
        <w:rPr>
          <w:rFonts w:cs="Arial"/>
        </w:rPr>
        <w:t xml:space="preserve"> </w:t>
      </w:r>
      <w:r w:rsidRPr="005960F5">
        <w:rPr>
          <w:rFonts w:cs="Arial"/>
        </w:rPr>
        <w:t>Uredba 909/2014/EU),</w:t>
      </w:r>
    </w:p>
    <w:p w14:paraId="61B2DDBE" w14:textId="373975F4" w:rsidR="000317F7" w:rsidRPr="005960F5" w:rsidRDefault="00F06B25">
      <w:pPr>
        <w:spacing w:before="210" w:after="210"/>
        <w:rPr>
          <w:rFonts w:cs="Arial"/>
          <w:sz w:val="21"/>
        </w:rPr>
      </w:pPr>
      <w:r w:rsidRPr="005960F5">
        <w:rPr>
          <w:rFonts w:cs="Arial"/>
        </w:rPr>
        <w:t>6.     Uredbe (EU) 2016/1011</w:t>
      </w:r>
      <w:r w:rsidR="006F0B28" w:rsidRPr="005960F5">
        <w:t xml:space="preserve"> </w:t>
      </w:r>
      <w:r w:rsidRPr="005960F5">
        <w:rPr>
          <w:rFonts w:cs="Arial"/>
        </w:rPr>
        <w:t>Evropskega parlamenta in Sveta z dne 8. junija 2016 o indeksih, ki se uporabljajo kot referenčne vrednosti v finančnih instrumentih in finančnih pogodbah ali za merjenje uspešnosti investicijskih skladov, in spremembi</w:t>
      </w:r>
      <w:r w:rsidR="006F0B28" w:rsidRPr="005960F5">
        <w:rPr>
          <w:rFonts w:cs="Arial"/>
        </w:rPr>
        <w:t xml:space="preserve"> </w:t>
      </w:r>
      <w:r w:rsidRPr="005960F5">
        <w:rPr>
          <w:rFonts w:cs="Arial"/>
        </w:rPr>
        <w:t>direktiv 2008/48/ES</w:t>
      </w:r>
      <w:r w:rsidR="006F0B28" w:rsidRPr="005960F5">
        <w:t xml:space="preserve"> </w:t>
      </w:r>
      <w:r w:rsidRPr="005960F5">
        <w:rPr>
          <w:rFonts w:cs="Arial"/>
        </w:rPr>
        <w:t>in</w:t>
      </w:r>
      <w:r w:rsidR="006F0B28" w:rsidRPr="005960F5">
        <w:rPr>
          <w:rFonts w:cs="Arial"/>
        </w:rPr>
        <w:t xml:space="preserve"> </w:t>
      </w:r>
      <w:r w:rsidRPr="005960F5">
        <w:rPr>
          <w:rFonts w:cs="Arial"/>
        </w:rPr>
        <w:t>2014/17/EU</w:t>
      </w:r>
      <w:r w:rsidR="006F0B28" w:rsidRPr="005960F5">
        <w:t xml:space="preserve"> </w:t>
      </w:r>
      <w:r w:rsidRPr="005960F5">
        <w:rPr>
          <w:rFonts w:cs="Arial"/>
        </w:rPr>
        <w:t>ter</w:t>
      </w:r>
      <w:r w:rsidR="006F0B28" w:rsidRPr="005960F5">
        <w:rPr>
          <w:rFonts w:cs="Arial"/>
        </w:rPr>
        <w:t xml:space="preserve"> </w:t>
      </w:r>
      <w:r w:rsidRPr="005960F5">
        <w:rPr>
          <w:rFonts w:cs="Arial"/>
        </w:rPr>
        <w:t>Uredbe (EU) št. 596/2014</w:t>
      </w:r>
      <w:r w:rsidR="006F0B28" w:rsidRPr="005960F5">
        <w:t xml:space="preserve"> </w:t>
      </w:r>
      <w:r w:rsidRPr="005960F5">
        <w:rPr>
          <w:rFonts w:cs="Arial"/>
        </w:rPr>
        <w:t>(UL L št. 171 z dne 29. 6. 2016, str. 1), zadnjič spremenjena z</w:t>
      </w:r>
      <w:r w:rsidR="006F0B28" w:rsidRPr="005960F5">
        <w:rPr>
          <w:rFonts w:cs="Arial"/>
        </w:rPr>
        <w:t xml:space="preserve"> </w:t>
      </w:r>
      <w:r w:rsidRPr="005960F5">
        <w:rPr>
          <w:rFonts w:cs="Arial"/>
        </w:rPr>
        <w:t>Delegirano uredbo Komisije (EU) 2018/1646</w:t>
      </w:r>
      <w:r w:rsidR="006F0B28" w:rsidRPr="005960F5">
        <w:t xml:space="preserve"> </w:t>
      </w:r>
      <w:r w:rsidRPr="005960F5">
        <w:rPr>
          <w:rFonts w:cs="Arial"/>
        </w:rPr>
        <w:t>z dne 13. julija 2018 o dopolnitvi</w:t>
      </w:r>
      <w:r w:rsidR="006F0B28" w:rsidRPr="005960F5">
        <w:rPr>
          <w:rFonts w:cs="Arial"/>
        </w:rPr>
        <w:t xml:space="preserve"> </w:t>
      </w:r>
      <w:r w:rsidRPr="005960F5">
        <w:rPr>
          <w:rFonts w:cs="Arial"/>
        </w:rPr>
        <w:t>Uredbe (EU) 2016/1011</w:t>
      </w:r>
      <w:r w:rsidR="006F0B28" w:rsidRPr="005960F5">
        <w:t xml:space="preserve"> </w:t>
      </w:r>
      <w:r w:rsidRPr="005960F5">
        <w:rPr>
          <w:rFonts w:cs="Arial"/>
        </w:rPr>
        <w:t>Evropskega parlamenta in Sveta v zvezi z regulativnimi tehničnimi standardi za informacije, ki se navedejo v vlogi za dovoljenje in v vlogi za registracijo (UL L št. 274 z dne 5. 11. 2018, str. 4), (v nadaljnjem besedilu:</w:t>
      </w:r>
      <w:r w:rsidR="006F0B28" w:rsidRPr="005960F5">
        <w:rPr>
          <w:rFonts w:cs="Arial"/>
        </w:rPr>
        <w:t xml:space="preserve"> </w:t>
      </w:r>
      <w:r w:rsidRPr="005960F5">
        <w:rPr>
          <w:rFonts w:cs="Arial"/>
        </w:rPr>
        <w:t>Uredba 2016/1011/EU),</w:t>
      </w:r>
    </w:p>
    <w:p w14:paraId="25F1B38B" w14:textId="1593DC05" w:rsidR="000317F7" w:rsidRPr="005960F5" w:rsidRDefault="00F06B25">
      <w:pPr>
        <w:spacing w:before="210" w:after="210"/>
        <w:rPr>
          <w:rFonts w:cs="Arial"/>
          <w:sz w:val="21"/>
        </w:rPr>
      </w:pPr>
      <w:r w:rsidRPr="005960F5">
        <w:rPr>
          <w:rFonts w:cs="Arial"/>
        </w:rPr>
        <w:t>7.     Uredbe (EU) 2017/1129</w:t>
      </w:r>
      <w:r w:rsidR="006F0B28" w:rsidRPr="005960F5">
        <w:t xml:space="preserve"> </w:t>
      </w:r>
      <w:r w:rsidRPr="005960F5">
        <w:rPr>
          <w:rFonts w:cs="Arial"/>
        </w:rPr>
        <w:t>Evropskega parlamenta in Sveta z dne 14. junija 2017 o prospektu, ki se objavi ob ponudbi vrednostnih papirjev javnosti ali njihovi uvrstitvi v trgovanje na reguliranem trgu, in razveljavitvi</w:t>
      </w:r>
      <w:r w:rsidR="006F0B28" w:rsidRPr="005960F5">
        <w:rPr>
          <w:rFonts w:cs="Arial"/>
        </w:rPr>
        <w:t xml:space="preserve"> </w:t>
      </w:r>
      <w:r w:rsidRPr="005960F5">
        <w:rPr>
          <w:rFonts w:cs="Arial"/>
        </w:rPr>
        <w:t>Direktive 2003/71/ES</w:t>
      </w:r>
      <w:r w:rsidR="006F0B28" w:rsidRPr="005960F5">
        <w:t xml:space="preserve"> </w:t>
      </w:r>
      <w:r w:rsidRPr="005960F5">
        <w:rPr>
          <w:rFonts w:cs="Arial"/>
        </w:rPr>
        <w:t>(UL L št. 168 z dne 30. 6. 2017, str. 12; v nadaljnjem besedilu:</w:t>
      </w:r>
      <w:r w:rsidR="006F0B28" w:rsidRPr="005960F5">
        <w:rPr>
          <w:rFonts w:cs="Arial"/>
        </w:rPr>
        <w:t xml:space="preserve"> </w:t>
      </w:r>
      <w:r w:rsidRPr="005960F5">
        <w:rPr>
          <w:rFonts w:cs="Arial"/>
        </w:rPr>
        <w:t>Uredba 2017/1129/EU),</w:t>
      </w:r>
    </w:p>
    <w:p w14:paraId="44819617" w14:textId="48C4DC1D" w:rsidR="000317F7" w:rsidRDefault="00F06B25">
      <w:pPr>
        <w:spacing w:before="210" w:after="210"/>
        <w:rPr>
          <w:rFonts w:cs="Arial"/>
        </w:rPr>
      </w:pPr>
      <w:r w:rsidRPr="005960F5">
        <w:rPr>
          <w:rFonts w:cs="Arial"/>
        </w:rPr>
        <w:t>8.   Uredbe (EU) št. 2020/852</w:t>
      </w:r>
      <w:r w:rsidR="006F0B28" w:rsidRPr="005960F5">
        <w:t xml:space="preserve"> </w:t>
      </w:r>
      <w:r w:rsidRPr="005960F5">
        <w:rPr>
          <w:rFonts w:cs="Arial"/>
        </w:rPr>
        <w:t>Evropskega parlamenta in Sveta z dne 18. junija 2020 o vzpostavitvi okvira za spodbujanje trajnostnih naložb ter spremembi</w:t>
      </w:r>
      <w:r w:rsidR="006F0B28" w:rsidRPr="005960F5">
        <w:rPr>
          <w:rFonts w:cs="Arial"/>
        </w:rPr>
        <w:t xml:space="preserve"> </w:t>
      </w:r>
      <w:r w:rsidRPr="005960F5">
        <w:rPr>
          <w:rFonts w:cs="Arial"/>
        </w:rPr>
        <w:t>Uredbe (EU) 2019/2088</w:t>
      </w:r>
      <w:r w:rsidR="006F0B28" w:rsidRPr="005960F5">
        <w:t xml:space="preserve"> </w:t>
      </w:r>
      <w:r w:rsidRPr="005960F5">
        <w:rPr>
          <w:rFonts w:cs="Arial"/>
        </w:rPr>
        <w:t xml:space="preserve">(UL L št. 198 z dne 22. 6. 2020, </w:t>
      </w:r>
      <w:r w:rsidRPr="005960F5">
        <w:rPr>
          <w:rFonts w:cs="Arial"/>
        </w:rPr>
        <w:lastRenderedPageBreak/>
        <w:t>str. 13), zadnjič spremenjene z</w:t>
      </w:r>
      <w:r w:rsidR="006F0B28" w:rsidRPr="005960F5">
        <w:rPr>
          <w:rFonts w:cs="Arial"/>
        </w:rPr>
        <w:t xml:space="preserve"> </w:t>
      </w:r>
      <w:r w:rsidRPr="005960F5">
        <w:rPr>
          <w:rFonts w:cs="Arial"/>
        </w:rPr>
        <w:t>Delegirano uredbo Komisije (EU) 2023/2486</w:t>
      </w:r>
      <w:r w:rsidR="006F0B28" w:rsidRPr="005960F5">
        <w:t xml:space="preserve"> </w:t>
      </w:r>
      <w:r w:rsidRPr="005960F5">
        <w:rPr>
          <w:rFonts w:cs="Arial"/>
        </w:rPr>
        <w:t>z dne 27. junija 2023 o dopolnitvi</w:t>
      </w:r>
      <w:r w:rsidR="006F0B28" w:rsidRPr="005960F5">
        <w:rPr>
          <w:rFonts w:cs="Arial"/>
        </w:rPr>
        <w:t xml:space="preserve"> </w:t>
      </w:r>
      <w:r w:rsidRPr="005960F5">
        <w:rPr>
          <w:rFonts w:cs="Arial"/>
        </w:rPr>
        <w:t>Uredbe (EU) 2020/852</w:t>
      </w:r>
      <w:r w:rsidR="006F0B28" w:rsidRPr="005960F5">
        <w:t xml:space="preserve"> </w:t>
      </w:r>
      <w:r w:rsidRPr="005960F5">
        <w:rPr>
          <w:rFonts w:cs="Arial"/>
        </w:rPr>
        <w:t xml:space="preserve">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5960F5">
        <w:rPr>
          <w:rFonts w:cs="Arial"/>
        </w:rPr>
        <w:t>okoljskih</w:t>
      </w:r>
      <w:proofErr w:type="spellEnd"/>
      <w:r w:rsidRPr="005960F5">
        <w:rPr>
          <w:rFonts w:cs="Arial"/>
        </w:rPr>
        <w:t xml:space="preserve"> ciljev, ter o spremembi</w:t>
      </w:r>
      <w:r w:rsidR="006F0B28" w:rsidRPr="005960F5">
        <w:rPr>
          <w:rFonts w:cs="Arial"/>
        </w:rPr>
        <w:t xml:space="preserve"> </w:t>
      </w:r>
      <w:r w:rsidRPr="005960F5">
        <w:rPr>
          <w:rFonts w:cs="Arial"/>
        </w:rPr>
        <w:t>Delegirane uredbe Komisije (EU) 2021/2178</w:t>
      </w:r>
      <w:r w:rsidR="006F0B28" w:rsidRPr="005960F5">
        <w:t xml:space="preserve"> </w:t>
      </w:r>
      <w:r w:rsidRPr="005960F5">
        <w:rPr>
          <w:rFonts w:cs="Arial"/>
        </w:rPr>
        <w:t>glede posebnih javnih razkritij za te gospodarske dejavnosti (UL L št. 2023/2486 z dne 21. 11. 2023), (v nadaljnjem besedilu:</w:t>
      </w:r>
      <w:r w:rsidR="006F0B28" w:rsidRPr="005960F5">
        <w:rPr>
          <w:rFonts w:cs="Arial"/>
        </w:rPr>
        <w:t xml:space="preserve"> </w:t>
      </w:r>
      <w:r w:rsidRPr="005960F5">
        <w:rPr>
          <w:rFonts w:cs="Arial"/>
        </w:rPr>
        <w:t>Uredba 2020/852/EU);</w:t>
      </w:r>
    </w:p>
    <w:p w14:paraId="57601047" w14:textId="4264B262" w:rsidR="00DA4E3F" w:rsidRPr="005960F5" w:rsidRDefault="00DA4E3F">
      <w:pPr>
        <w:spacing w:before="210" w:after="210"/>
        <w:rPr>
          <w:rFonts w:cs="Arial"/>
          <w:sz w:val="21"/>
        </w:rPr>
      </w:pPr>
      <w:r w:rsidRPr="00DA4E3F">
        <w:rPr>
          <w:rFonts w:cs="Arial"/>
          <w:sz w:val="21"/>
        </w:rPr>
        <w:t xml:space="preserve">9.  Uredba (EU) 2023/2859 Evropskega parlamenta in Sveta z dne 13. decembra 2023 o vzpostavitvi evropske enotne točke dostopa, ki zagotavlja centraliziran dostop do javno dostopnih informacij, pomembnih za finančne storitve, kapitalske trge in </w:t>
      </w:r>
      <w:proofErr w:type="spellStart"/>
      <w:r w:rsidRPr="00DA4E3F">
        <w:rPr>
          <w:rFonts w:cs="Arial"/>
          <w:sz w:val="21"/>
        </w:rPr>
        <w:t>trajnostnost</w:t>
      </w:r>
      <w:proofErr w:type="spellEnd"/>
      <w:r w:rsidRPr="00DA4E3F">
        <w:rPr>
          <w:rFonts w:cs="Arial"/>
          <w:sz w:val="21"/>
        </w:rPr>
        <w:t xml:space="preserve"> (UL L št. 2859 z dne 20. 12. 2023, str. 1), zadnjič spremenjena z Uredbo (EU) 2024/3005 Evropskega parlamenta in Sveta z dne 27. novembra 2024 o preglednosti in celovitosti dejavnosti ocenjevanja </w:t>
      </w:r>
      <w:proofErr w:type="spellStart"/>
      <w:r w:rsidRPr="00DA4E3F">
        <w:rPr>
          <w:rFonts w:cs="Arial"/>
          <w:sz w:val="21"/>
        </w:rPr>
        <w:t>okoljskih</w:t>
      </w:r>
      <w:proofErr w:type="spellEnd"/>
      <w:r w:rsidRPr="00DA4E3F">
        <w:rPr>
          <w:rFonts w:cs="Arial"/>
          <w:sz w:val="21"/>
        </w:rPr>
        <w:t>, socialnih in upravljavskih (ESG) dejavnikov ter spremembi uredb (EU) 2019/2088 (UL L št. 2024/3005 z dne 12. 12. 2024, str. 1), (v nadaljnjem besedilu: Uredba 2023/2859/EU).</w:t>
      </w:r>
    </w:p>
    <w:p w14:paraId="1DA65C07" w14:textId="77777777" w:rsidR="007B39EA" w:rsidRPr="007B39EA" w:rsidRDefault="007B39EA" w:rsidP="007B39EA">
      <w:pPr>
        <w:pStyle w:val="center"/>
        <w:spacing w:before="210" w:after="210"/>
        <w:rPr>
          <w:rFonts w:cs="Arial"/>
          <w:b/>
          <w:sz w:val="21"/>
        </w:rPr>
      </w:pPr>
      <w:r w:rsidRPr="007B39EA">
        <w:rPr>
          <w:rFonts w:cs="Arial"/>
          <w:b/>
          <w:sz w:val="21"/>
        </w:rPr>
        <w:t>4. člen</w:t>
      </w:r>
    </w:p>
    <w:p w14:paraId="1225499E" w14:textId="77777777" w:rsidR="007B39EA" w:rsidRPr="007B39EA" w:rsidRDefault="007B39EA" w:rsidP="007B39EA">
      <w:pPr>
        <w:pStyle w:val="center"/>
        <w:spacing w:before="210" w:after="210"/>
        <w:rPr>
          <w:rFonts w:cs="Arial"/>
          <w:b/>
          <w:sz w:val="21"/>
        </w:rPr>
      </w:pPr>
      <w:r w:rsidRPr="007B39EA">
        <w:rPr>
          <w:rFonts w:cs="Arial"/>
          <w:b/>
          <w:sz w:val="21"/>
        </w:rPr>
        <w:t>(kratice drugih zakonov in predpisov EU)</w:t>
      </w:r>
    </w:p>
    <w:p w14:paraId="3B85FA68" w14:textId="77777777" w:rsidR="007B39EA" w:rsidRPr="007B39EA" w:rsidRDefault="007B39EA" w:rsidP="007B39EA">
      <w:pPr>
        <w:spacing w:before="210" w:after="210"/>
        <w:rPr>
          <w:rFonts w:cs="Arial"/>
        </w:rPr>
      </w:pPr>
      <w:r w:rsidRPr="007B39EA">
        <w:rPr>
          <w:rFonts w:cs="Arial"/>
        </w:rPr>
        <w:t>(1) V tem zakonu so uporabljene naslednje kratice drugih zakonov:</w:t>
      </w:r>
    </w:p>
    <w:p w14:paraId="1DE4309D" w14:textId="77777777" w:rsidR="007B39EA" w:rsidRPr="007B39EA" w:rsidRDefault="007B39EA" w:rsidP="007B39EA">
      <w:pPr>
        <w:spacing w:after="0"/>
        <w:rPr>
          <w:rFonts w:cs="Arial"/>
        </w:rPr>
      </w:pPr>
      <w:r w:rsidRPr="007B39EA">
        <w:rPr>
          <w:rFonts w:cs="Arial"/>
        </w:rPr>
        <w:t>1.      ZBan-3 je zakon, ki ureja bančništvo,</w:t>
      </w:r>
    </w:p>
    <w:p w14:paraId="5629BFCA" w14:textId="77777777" w:rsidR="007B39EA" w:rsidRPr="007B39EA" w:rsidRDefault="007B39EA" w:rsidP="007B39EA">
      <w:pPr>
        <w:spacing w:after="0"/>
        <w:rPr>
          <w:rFonts w:cs="Arial"/>
        </w:rPr>
      </w:pPr>
      <w:r w:rsidRPr="007B39EA">
        <w:rPr>
          <w:rFonts w:cs="Arial"/>
        </w:rPr>
        <w:t>2.      ZFK je zakon, ki ureja finančne konglomerate,</w:t>
      </w:r>
    </w:p>
    <w:p w14:paraId="1AAF9089" w14:textId="77777777" w:rsidR="007B39EA" w:rsidRPr="007B39EA" w:rsidRDefault="007B39EA" w:rsidP="007B39EA">
      <w:pPr>
        <w:spacing w:after="0"/>
        <w:rPr>
          <w:rFonts w:cs="Arial"/>
        </w:rPr>
      </w:pPr>
      <w:r w:rsidRPr="007B39EA">
        <w:rPr>
          <w:rFonts w:cs="Arial"/>
        </w:rPr>
        <w:t>3.      ZGD-1 je zakon, ki ureja gospodarske družbe,</w:t>
      </w:r>
    </w:p>
    <w:p w14:paraId="5C489DAD" w14:textId="77777777" w:rsidR="007B39EA" w:rsidRPr="007B39EA" w:rsidRDefault="007B39EA" w:rsidP="007B39EA">
      <w:pPr>
        <w:spacing w:after="0"/>
        <w:rPr>
          <w:rFonts w:cs="Arial"/>
        </w:rPr>
      </w:pPr>
      <w:r w:rsidRPr="007B39EA">
        <w:rPr>
          <w:rFonts w:cs="Arial"/>
        </w:rPr>
        <w:t>4.      ZISDU-3 je zakon, ki ureja investicijske sklade in družbe za upravljanje,</w:t>
      </w:r>
    </w:p>
    <w:p w14:paraId="68D5E1BE" w14:textId="77777777" w:rsidR="007B39EA" w:rsidRPr="007B39EA" w:rsidRDefault="007B39EA" w:rsidP="007B39EA">
      <w:pPr>
        <w:spacing w:after="0"/>
        <w:rPr>
          <w:rFonts w:cs="Arial"/>
        </w:rPr>
      </w:pPr>
      <w:r w:rsidRPr="007B39EA">
        <w:rPr>
          <w:rFonts w:cs="Arial"/>
        </w:rPr>
        <w:t>5.      ZIN je zakon, ki ureja inšpekcijski nadzor,</w:t>
      </w:r>
    </w:p>
    <w:p w14:paraId="70422570" w14:textId="77777777" w:rsidR="007B39EA" w:rsidRPr="007B39EA" w:rsidRDefault="007B39EA" w:rsidP="007B39EA">
      <w:pPr>
        <w:spacing w:after="0"/>
        <w:rPr>
          <w:rFonts w:cs="Arial"/>
        </w:rPr>
      </w:pPr>
      <w:r w:rsidRPr="007B39EA">
        <w:rPr>
          <w:rFonts w:cs="Arial"/>
        </w:rPr>
        <w:t>6.      ZPre-1 je zakon, ki ureja prevzeme,</w:t>
      </w:r>
    </w:p>
    <w:p w14:paraId="34A33DB6" w14:textId="77777777" w:rsidR="007B39EA" w:rsidRPr="007B39EA" w:rsidRDefault="007B39EA" w:rsidP="007B39EA">
      <w:pPr>
        <w:spacing w:after="0"/>
        <w:rPr>
          <w:rFonts w:cs="Arial"/>
        </w:rPr>
      </w:pPr>
      <w:r w:rsidRPr="007B39EA">
        <w:rPr>
          <w:rFonts w:cs="Arial"/>
        </w:rPr>
        <w:t>7.      ZUP je zakon, ki ureja splošni upravni postopek,</w:t>
      </w:r>
    </w:p>
    <w:p w14:paraId="75834B0D" w14:textId="77777777" w:rsidR="007B39EA" w:rsidRPr="007B39EA" w:rsidRDefault="007B39EA" w:rsidP="007B39EA">
      <w:pPr>
        <w:spacing w:after="0"/>
        <w:rPr>
          <w:rFonts w:cs="Arial"/>
        </w:rPr>
      </w:pPr>
      <w:r w:rsidRPr="007B39EA">
        <w:rPr>
          <w:rFonts w:cs="Arial"/>
        </w:rPr>
        <w:t>8.      ZUS-1 je zakon, ki ureja upravni spor,</w:t>
      </w:r>
    </w:p>
    <w:p w14:paraId="48E32D0E" w14:textId="77777777" w:rsidR="007B39EA" w:rsidRPr="007B39EA" w:rsidRDefault="007B39EA" w:rsidP="007B39EA">
      <w:pPr>
        <w:spacing w:after="0"/>
        <w:rPr>
          <w:rFonts w:cs="Arial"/>
        </w:rPr>
      </w:pPr>
      <w:r w:rsidRPr="007B39EA">
        <w:rPr>
          <w:rFonts w:cs="Arial"/>
        </w:rPr>
        <w:t>9.      ZUAIS je zakon, ki ureja upravljavce alternativnih investicijskih skladov,</w:t>
      </w:r>
    </w:p>
    <w:p w14:paraId="4E444B53" w14:textId="77777777" w:rsidR="007B39EA" w:rsidRPr="007B39EA" w:rsidRDefault="007B39EA" w:rsidP="007B39EA">
      <w:pPr>
        <w:spacing w:after="0"/>
        <w:rPr>
          <w:rFonts w:cs="Arial"/>
        </w:rPr>
      </w:pPr>
      <w:r w:rsidRPr="007B39EA">
        <w:rPr>
          <w:rFonts w:cs="Arial"/>
        </w:rPr>
        <w:t>10.   ZSJV je zakon, ki ureja sistem jamstva za vloge,</w:t>
      </w:r>
    </w:p>
    <w:p w14:paraId="2D0A95CE" w14:textId="77777777" w:rsidR="007B39EA" w:rsidRPr="007B39EA" w:rsidRDefault="007B39EA" w:rsidP="007B39EA">
      <w:pPr>
        <w:spacing w:after="0"/>
        <w:rPr>
          <w:rFonts w:cs="Arial"/>
        </w:rPr>
      </w:pPr>
      <w:r w:rsidRPr="007B39EA">
        <w:rPr>
          <w:rFonts w:cs="Arial"/>
        </w:rPr>
        <w:t>11.   ZFPPIPP je zakon, ki ureja finančno poslovanje, postopke zaradi insolventnosti in prisilno prenehanje,</w:t>
      </w:r>
    </w:p>
    <w:p w14:paraId="0A21D3D6" w14:textId="77777777" w:rsidR="007B39EA" w:rsidRPr="007B39EA" w:rsidRDefault="007B39EA" w:rsidP="007B39EA">
      <w:pPr>
        <w:spacing w:after="0"/>
        <w:rPr>
          <w:rFonts w:cs="Arial"/>
        </w:rPr>
      </w:pPr>
      <w:r w:rsidRPr="007B39EA">
        <w:rPr>
          <w:rFonts w:cs="Arial"/>
        </w:rPr>
        <w:t>12.   ZVO-1 je zakon, ki ureja varstvo okolja,</w:t>
      </w:r>
    </w:p>
    <w:p w14:paraId="4EC85D9B" w14:textId="77777777" w:rsidR="007B39EA" w:rsidRPr="007B39EA" w:rsidRDefault="007B39EA" w:rsidP="007B39EA">
      <w:pPr>
        <w:spacing w:after="0"/>
        <w:rPr>
          <w:rFonts w:cs="Arial"/>
        </w:rPr>
      </w:pPr>
      <w:r w:rsidRPr="007B39EA">
        <w:rPr>
          <w:rFonts w:cs="Arial"/>
        </w:rPr>
        <w:t>13.   EZ-1 je zakon, ki ureja energetiko,</w:t>
      </w:r>
    </w:p>
    <w:p w14:paraId="77BBEB3B" w14:textId="77777777" w:rsidR="007B39EA" w:rsidRPr="007B39EA" w:rsidRDefault="007B39EA" w:rsidP="007B39EA">
      <w:pPr>
        <w:spacing w:after="0"/>
        <w:rPr>
          <w:rFonts w:cs="Arial"/>
        </w:rPr>
      </w:pPr>
      <w:r w:rsidRPr="007B39EA">
        <w:rPr>
          <w:rFonts w:cs="Arial"/>
        </w:rPr>
        <w:t>14.   ZPPDFT-1 je zakon, ki ureja preprečevanje pranja denarja in financiranje terorizma,</w:t>
      </w:r>
    </w:p>
    <w:p w14:paraId="7F3C3429" w14:textId="77777777" w:rsidR="007B39EA" w:rsidRPr="007B39EA" w:rsidRDefault="007B39EA" w:rsidP="007B39EA">
      <w:pPr>
        <w:spacing w:after="0"/>
        <w:rPr>
          <w:rFonts w:cs="Arial"/>
        </w:rPr>
      </w:pPr>
      <w:r w:rsidRPr="007B39EA">
        <w:rPr>
          <w:rFonts w:cs="Arial"/>
        </w:rPr>
        <w:t>15.   ZBNIP je zakon, ki ureja bonitetni nadzor investicijskih podjetij.</w:t>
      </w:r>
    </w:p>
    <w:p w14:paraId="43AA014E" w14:textId="77777777" w:rsidR="007B39EA" w:rsidRPr="007B39EA" w:rsidRDefault="007B39EA" w:rsidP="007B39EA">
      <w:pPr>
        <w:spacing w:before="210" w:after="210"/>
        <w:rPr>
          <w:rFonts w:cs="Arial"/>
        </w:rPr>
      </w:pPr>
      <w:r w:rsidRPr="007B39EA">
        <w:rPr>
          <w:rFonts w:cs="Arial"/>
        </w:rPr>
        <w:t>(2) V tem zakonu so za predpise EU – poleg skrajšanih naslovov, navedenih v 2. členu tega zakona – uporabljeni še naslednji naslovi:</w:t>
      </w:r>
    </w:p>
    <w:p w14:paraId="6C00E347" w14:textId="77777777" w:rsidR="007B39EA" w:rsidRPr="007B39EA" w:rsidRDefault="007B39EA" w:rsidP="007B39EA">
      <w:pPr>
        <w:spacing w:before="210" w:after="210"/>
        <w:rPr>
          <w:rFonts w:cs="Arial"/>
        </w:rPr>
      </w:pPr>
      <w:r w:rsidRPr="007B39EA">
        <w:rPr>
          <w:rFonts w:cs="Arial"/>
        </w:rPr>
        <w:t>1. Direktiva 2001/24/ES je Direktiva 2001/24/ES Evropskega parlamenta in Sveta z dne 4. aprila 2001 o reorganizaciji in prenehanju kreditnih institucij (UL L št. 125 z dne 5. 5. 2001, str. 15), zadnjič spremenjena z Direktivo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št. 173 z dne 12. 6. 2014, str. 190);</w:t>
      </w:r>
    </w:p>
    <w:p w14:paraId="791C01BE" w14:textId="77777777" w:rsidR="007B39EA" w:rsidRPr="007B39EA" w:rsidRDefault="007B39EA" w:rsidP="007B39EA">
      <w:pPr>
        <w:spacing w:before="210" w:after="210"/>
        <w:rPr>
          <w:rFonts w:cs="Arial"/>
        </w:rPr>
      </w:pPr>
      <w:r w:rsidRPr="007B39EA">
        <w:rPr>
          <w:rFonts w:cs="Arial"/>
        </w:rPr>
        <w:lastRenderedPageBreak/>
        <w:t>2. Uredba 1606/2002/ES je Uredba (ES) št. 1606/2002/ES Evropskega parlamenta in Sveta z dne 19. julija 2002 o uporabi mednarodnih računovodskih standardov (UL L št. 243 z dne 11. 9. 2002, str. 1), zadnjič spremenjena z Uredbo (ES) št. 297/2008 Evropskega parlamenta in Sveta z dne 11. marca 2008 o spremembah Uredbe (ES) št. 1606/2002 o uporabi mednarodnih računovodskih standardov, glede Komisiji podeljenih izvedbenih pooblastil (UL L št. 97 z dne 9. 4. 2008, str. 62);</w:t>
      </w:r>
    </w:p>
    <w:p w14:paraId="427BC60B" w14:textId="77777777" w:rsidR="007B39EA" w:rsidRPr="007B39EA" w:rsidRDefault="007B39EA" w:rsidP="007B39EA">
      <w:pPr>
        <w:spacing w:before="210" w:after="210"/>
        <w:rPr>
          <w:rFonts w:cs="Arial"/>
        </w:rPr>
      </w:pPr>
      <w:r w:rsidRPr="007B39EA">
        <w:rPr>
          <w:rFonts w:cs="Arial"/>
        </w:rPr>
        <w:t>3. Direktiva 2003/87/ES je Direktiva 2003/87/ES Evropskega parlamenta in Sveta z dne 13. oktobra 2003 o vzpostavitvi sistema za trgovanje s pravicami do emisije toplogrednih plinov v Skupnosti in o spremembi Direktive Sveta 96/61/ES (UL L št. 275, z dne 25. 10. 2003, str. 32), zadnjič spremenjena z Delegirano uredbo Komisije (EU) 2025/723 z dne 6. februarja 2025 o dopolnitvi Direktive 2003/87/ES Evropskega parlamenta in Sveta z določitvijo podrobnih pravil za letni izračun razlik v cenah med upravičenimi letalskimi gorivi in fosilnim kerozinom ter za dodelitev pravic v okviru EU ETS za uporabo upravičenih letalskih goriv (UL L št. 2025/723 z dne 16. 4. 2025);</w:t>
      </w:r>
    </w:p>
    <w:p w14:paraId="21695CC1" w14:textId="77777777" w:rsidR="007B39EA" w:rsidRPr="007B39EA" w:rsidRDefault="007B39EA" w:rsidP="007B39EA">
      <w:pPr>
        <w:spacing w:before="210" w:after="210"/>
        <w:rPr>
          <w:rFonts w:cs="Arial"/>
        </w:rPr>
      </w:pPr>
      <w:r w:rsidRPr="007B39EA">
        <w:rPr>
          <w:rFonts w:cs="Arial"/>
        </w:rPr>
        <w:t>4. Direktiva 2009/65/ES je Direktiva 2009/65/ES Evropskega parlamenta in Sveta z dne 13. julija 2009 o usklajevanju zakonov in drugih predpisov o kolektivnih naložbenih podjemih za vlaganja v prenosljive vrednostne papirje (KNPVP) (UL L št. 302 z dne 17. 11. 2009, str. 32), zadnjič spremenjena z Delegirano uredbo Komisije (EU) 2024/911 z dne 15. decembra 2023 o dopolnitvi Direktive 2009/65/ES Evropskega parlamenta in Sveta v zvezi z regulativnimi tehničnimi standardi o določitvi podatkov, ki jih je treba predložiti v zvezi s čezmejnimi dejavnostmi družb za upravljanje in kolektivnih naložbenih podjemov za vlaganja v prenosljive vrednostne papirje (KNPVP) (UL L št. 2024/911 z dne 25. 3. 2024);</w:t>
      </w:r>
    </w:p>
    <w:p w14:paraId="621819E6" w14:textId="77777777" w:rsidR="007B39EA" w:rsidRPr="007B39EA" w:rsidRDefault="007B39EA" w:rsidP="007B39EA">
      <w:pPr>
        <w:spacing w:before="210" w:after="210"/>
        <w:rPr>
          <w:rFonts w:cs="Arial"/>
        </w:rPr>
      </w:pPr>
      <w:r w:rsidRPr="007B39EA">
        <w:rPr>
          <w:rFonts w:cs="Arial"/>
        </w:rPr>
        <w:t xml:space="preserve">5. Uredba 1092/2010/ES je Uredba (EU) št. 1092/2010 Evropskega parlamenta in Sveta z dne 24. novembra 2010 o </w:t>
      </w:r>
      <w:proofErr w:type="spellStart"/>
      <w:r w:rsidRPr="007B39EA">
        <w:rPr>
          <w:rFonts w:cs="Arial"/>
        </w:rPr>
        <w:t>makrobonitetnem</w:t>
      </w:r>
      <w:proofErr w:type="spellEnd"/>
      <w:r w:rsidRPr="007B39EA">
        <w:rPr>
          <w:rFonts w:cs="Arial"/>
        </w:rPr>
        <w:t xml:space="preserve"> nadzoru nad finančnim sistemom Evropske unije in ustanovitvi Evropskega odbora za sistemska tveganja (UL L št. 331 z dne 15. 12. 2010, str. 1), zadnjič spremenjena z Uredbo (EU) 2019/2176 Evropskega parlamenta in Sveta z dne 18. decembra 2019 o spremembi Uredbe (EU) št. 1092/2010 o </w:t>
      </w:r>
      <w:proofErr w:type="spellStart"/>
      <w:r w:rsidRPr="007B39EA">
        <w:rPr>
          <w:rFonts w:cs="Arial"/>
        </w:rPr>
        <w:t>makrobonitetnem</w:t>
      </w:r>
      <w:proofErr w:type="spellEnd"/>
      <w:r w:rsidRPr="007B39EA">
        <w:rPr>
          <w:rFonts w:cs="Arial"/>
        </w:rPr>
        <w:t xml:space="preserve"> nadzoru nad finančnim sistemom Evropske unije in ustanovitvi Evropskega odbora za sistemska tveganja (UL L št. 334 z dne 27. 12. 2019, str. 146);</w:t>
      </w:r>
    </w:p>
    <w:p w14:paraId="51A678D3" w14:textId="77777777" w:rsidR="007B39EA" w:rsidRPr="007B39EA" w:rsidRDefault="007B39EA" w:rsidP="007B39EA">
      <w:pPr>
        <w:spacing w:before="210" w:after="210"/>
        <w:rPr>
          <w:rFonts w:cs="Arial"/>
        </w:rPr>
      </w:pPr>
      <w:r w:rsidRPr="007B39EA">
        <w:rPr>
          <w:rFonts w:cs="Arial"/>
        </w:rPr>
        <w:t>6. Uredba 1095/2010/ES je Uredba (EU) št. 1095/2010 Evropskega parlamenta in Sveta z dne 24. novembra 2010 o ustanovitvi Evropskega nadzornega organa (Evropski organ za vrednostne papirje in trge) in o spremembi Sklepa št. 716/2009/ES ter razveljavitvi Sklepa Komisije 2009/77/ES (UL L št. 331 z dne 15. 12. 2010, str. 84), zadnjič spremenjena z Uredbo (EU) 2024/2987 Evropskega parlamenta in Sveta z dne 27. novembra 2024 o spremembi uredb (EU) št. 648/2012, (EU) št. 575/2013 in (EU) 2017/1131 v zvezi z ukrepi za zmanjšanje prekomerne izpostavljenosti do centralnih nasprotnih strank iz tretjih držav in izboljšanje učinkovitosti klirinških trgov Unije (UL L št. 2024/2987 z dne 4. 12. 2024);</w:t>
      </w:r>
    </w:p>
    <w:p w14:paraId="7A76228C" w14:textId="77777777" w:rsidR="007B39EA" w:rsidRPr="007B39EA" w:rsidRDefault="007B39EA" w:rsidP="007B39EA">
      <w:pPr>
        <w:spacing w:before="210" w:after="210"/>
        <w:rPr>
          <w:rFonts w:cs="Arial"/>
        </w:rPr>
      </w:pPr>
      <w:r w:rsidRPr="007B39EA">
        <w:rPr>
          <w:rFonts w:cs="Arial"/>
        </w:rPr>
        <w:t>7. Uredba 1227/2011/EU je Uredba (EU) št. 1227/2011 Evropskega parlamenta in Sveta z dne 25. oktobra 2011 o celovitosti in preglednosti veleprodajnega energetskega trga (UL L št. 326 z dne 8. 12. 2011, str. 1), zadnjič spremenjena z Uredbo (EU) 2024/1789 Evropskega parlamenta in Sveta z dne 13. junija 2024 o notranjem trgu plina iz obnovljivih virov, zemeljskega plina in vodika, spremembi uredb (EU) št. 1227/2011, (EU) 2017/1938, (EU) 2019/942 in (EU) 2022/869 ter Sklepa (EU) 2017/684 in razveljavitvi Uredbe (ES) št. 715/2009 (prenovitev) (UL L št. 2024/1789 z dne 15. 7. 2024);</w:t>
      </w:r>
    </w:p>
    <w:p w14:paraId="21184448" w14:textId="77777777" w:rsidR="007B39EA" w:rsidRPr="007B39EA" w:rsidRDefault="007B39EA" w:rsidP="007B39EA">
      <w:pPr>
        <w:spacing w:before="210" w:after="210"/>
        <w:rPr>
          <w:rFonts w:cs="Arial"/>
        </w:rPr>
      </w:pPr>
      <w:r w:rsidRPr="007B39EA">
        <w:rPr>
          <w:rFonts w:cs="Arial"/>
        </w:rPr>
        <w:t xml:space="preserve">8. Uredba 648/2012/EU je Uredba (EU) št. 648/2012 Evropskega parlamenta in Sveta z dne 4. julija 2012 o izvedenih finančnih instrumentih OTC, centralnih nasprotnih strankah in </w:t>
      </w:r>
      <w:proofErr w:type="spellStart"/>
      <w:r w:rsidRPr="007B39EA">
        <w:rPr>
          <w:rFonts w:cs="Arial"/>
        </w:rPr>
        <w:t>repozitorijih</w:t>
      </w:r>
      <w:proofErr w:type="spellEnd"/>
      <w:r w:rsidRPr="007B39EA">
        <w:rPr>
          <w:rFonts w:cs="Arial"/>
        </w:rPr>
        <w:t xml:space="preserve"> sklenjenih poslov (UL L št. 201 z dne 27. 7. 2012, str. 1), zadnjič spremenjena z Direktivo (EU) 2025/1 Evropskega parlamenta in Sveta z dne 27. novembra 2024 o vzpostavitvi okvira za sanacijo in reševanje zavarovalnic in pozavarovalnic ter spremembi direktiv 2002/47/ES, 2004/25/ES, 2007/36/ES, 2014/59/EU in (EU) </w:t>
      </w:r>
      <w:r w:rsidRPr="007B39EA">
        <w:rPr>
          <w:rFonts w:cs="Arial"/>
        </w:rPr>
        <w:lastRenderedPageBreak/>
        <w:t>2017/1132 ter uredb (EU) št. 1094/2010, (EU) št. 648/2012, (EU) št. 806/2014 in (EU) 2017/1129 (UL L št. 2025/1 z dne 8. 1. 2025);</w:t>
      </w:r>
    </w:p>
    <w:p w14:paraId="3B003587" w14:textId="77777777" w:rsidR="007B39EA" w:rsidRPr="007B39EA" w:rsidRDefault="007B39EA" w:rsidP="007B39EA">
      <w:pPr>
        <w:spacing w:before="210" w:after="210"/>
        <w:rPr>
          <w:rFonts w:cs="Arial"/>
        </w:rPr>
      </w:pPr>
      <w:r w:rsidRPr="007B39EA">
        <w:rPr>
          <w:rFonts w:cs="Arial"/>
        </w:rPr>
        <w:t xml:space="preserve">9. Direktiva 2013/34/EU je Direktiva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(UL L št. 182 z dne 29. 6. 2013, str. 19), zadnjič spremenjena z Direktivo (EU) 2025/2 Evropskega parlamenta in Sveta z dne 27. novembra 2024 o spremembi Direktive 2009/138/ES glede sorazmernosti, kakovosti nadzora, poročanja, dolgoročnih jamstvenih ukrepov, </w:t>
      </w:r>
      <w:proofErr w:type="spellStart"/>
      <w:r w:rsidRPr="007B39EA">
        <w:rPr>
          <w:rFonts w:cs="Arial"/>
        </w:rPr>
        <w:t>makrobonitetnih</w:t>
      </w:r>
      <w:proofErr w:type="spellEnd"/>
      <w:r w:rsidRPr="007B39EA">
        <w:rPr>
          <w:rFonts w:cs="Arial"/>
        </w:rPr>
        <w:t xml:space="preserve"> orodij, tveganj glede </w:t>
      </w:r>
      <w:proofErr w:type="spellStart"/>
      <w:r w:rsidRPr="007B39EA">
        <w:rPr>
          <w:rFonts w:cs="Arial"/>
        </w:rPr>
        <w:t>trajnostnosti</w:t>
      </w:r>
      <w:proofErr w:type="spellEnd"/>
      <w:r w:rsidRPr="007B39EA">
        <w:rPr>
          <w:rFonts w:cs="Arial"/>
        </w:rPr>
        <w:t xml:space="preserve"> ter nadzora skupin in čezmejnega nadzora ter spremembi direktiv 2002/87/ES in 2013/34/EU (UL L št. 2025/2 z dne 8. 1. 2025);</w:t>
      </w:r>
    </w:p>
    <w:p w14:paraId="12125ECD" w14:textId="77777777" w:rsidR="007B39EA" w:rsidRPr="007B39EA" w:rsidRDefault="007B39EA" w:rsidP="007B39EA">
      <w:pPr>
        <w:spacing w:before="210" w:after="210"/>
        <w:rPr>
          <w:rFonts w:cs="Arial"/>
        </w:rPr>
      </w:pPr>
      <w:r w:rsidRPr="007B39EA">
        <w:rPr>
          <w:rFonts w:cs="Arial"/>
        </w:rPr>
        <w:t>10. Uredba 1308/2013/EU je Uredba (EU) št. 1308/2013 Evropskega parlamenta in Sveta z dne 17. decembra 2013 o vzpostavitvi skupne ureditve trgov kmetijskih proizvodov in razveljavitvi uredb Sveta (EGS) št. 922/72, (EGS) št. 234/79, (ES) št. 1037/2001 in (ES) št. 1234/2007 (UL L št. 347 z dne 20. 12. 2013, str. 671), zadnjič spremenjena z Izvedbeno uredbo Komisije (EU) 2025/1015 z dne 26. maja 2025 o začasnih nujnih ukrepih za Španijo, ki odstopajo od nekaterih določb Uredbe (EU) št. 1308/2013 Evropskega parlamenta in Sveta, Delegirane uredbe Komisije (EU) 2017/891 in Izvedbene uredbe Komisije (EU) 2017/892 za reševanje specifičnih problemov v sektorju sadja in zelenjave, ki so jih povzročili hujši neugodni vremenski dogodki (UL L št. 2025/1015 z dne 27. 5. 2025);</w:t>
      </w:r>
    </w:p>
    <w:p w14:paraId="65CBA162" w14:textId="77777777" w:rsidR="007B39EA" w:rsidRPr="007B39EA" w:rsidRDefault="007B39EA" w:rsidP="007B39EA">
      <w:pPr>
        <w:spacing w:before="210" w:after="210"/>
        <w:rPr>
          <w:rFonts w:cs="Arial"/>
        </w:rPr>
      </w:pPr>
      <w:r w:rsidRPr="007B39EA">
        <w:rPr>
          <w:rFonts w:cs="Arial"/>
        </w:rPr>
        <w:t>11. Uredba 2022/858/EU je Uredba (EU) 2022/858 Evropskega parlamenta in Sveta z dne 30. maja 2022 o pilotni ureditvi za tržne infrastrukture na podlagi tehnologije razpršene evidence ter spremembi uredb (EU) št. 600/2014 in (EU) št. 909/2014 ter Direktive 2014/65/EU (UL L št. 151 z dne 2. 6. 2022, str. 1);</w:t>
      </w:r>
    </w:p>
    <w:p w14:paraId="4FFB0E4F" w14:textId="77777777" w:rsidR="007B39EA" w:rsidRPr="007B39EA" w:rsidRDefault="007B39EA" w:rsidP="007B39EA">
      <w:pPr>
        <w:spacing w:before="210" w:after="210"/>
        <w:rPr>
          <w:rFonts w:cs="Arial"/>
        </w:rPr>
      </w:pPr>
      <w:r w:rsidRPr="007B39EA">
        <w:rPr>
          <w:rFonts w:cs="Arial"/>
        </w:rPr>
        <w:t>12. Uredba 2016/1437/EU je Delegirana uredba Komisije (EU) 2016/1437 z dne 19. maja 2016 o dopolnitvi Direktive 2004/109/ES Evropskega parlamenta in Sveta v zvezi z regulativnimi tehničnimi standardi za dostop do predpisanih informacij na ravni Unije (UL L št. 234 z dne 31. 8. 2016, str. 1);</w:t>
      </w:r>
    </w:p>
    <w:p w14:paraId="6D60C124" w14:textId="77777777" w:rsidR="007B39EA" w:rsidRPr="007B39EA" w:rsidRDefault="007B39EA" w:rsidP="007B39EA">
      <w:pPr>
        <w:spacing w:before="210" w:after="210"/>
        <w:rPr>
          <w:rFonts w:cs="Arial"/>
        </w:rPr>
      </w:pPr>
      <w:r w:rsidRPr="007B39EA">
        <w:rPr>
          <w:rFonts w:cs="Arial"/>
        </w:rPr>
        <w:t xml:space="preserve">13. Uredba 2019/943/EU je Uredba (EU) 2019/943 Evropskega parlamenta in Sveta z dne 5. junija 2019 o notranjem trgu električne energije (UL L št. 158 z dne 14. 6. 2019, str. 54), zadnjič spremenjena s Sklepom Komisije (EU) 2025/1016 z dne 16. maja 2025 o odobritvi odstopanja Kraljevini Španiji od nekaterih določb Uredbe (EU) 2019/943 Evropskega parlamenta in Sveta ter Direktive (EU) 2019/944 Evropskega parlamenta in Sveta glede </w:t>
      </w:r>
      <w:proofErr w:type="spellStart"/>
      <w:r w:rsidRPr="007B39EA">
        <w:rPr>
          <w:rFonts w:cs="Arial"/>
        </w:rPr>
        <w:t>Melille</w:t>
      </w:r>
      <w:proofErr w:type="spellEnd"/>
      <w:r w:rsidRPr="007B39EA">
        <w:rPr>
          <w:rFonts w:cs="Arial"/>
        </w:rPr>
        <w:t xml:space="preserve"> (notificirano pod dokumentarno številko C(2025) 3175) (UL L št. 2025/1016, z dne 23. 5. 2025, str. 1);</w:t>
      </w:r>
    </w:p>
    <w:p w14:paraId="33DE771E" w14:textId="77777777" w:rsidR="007B39EA" w:rsidRPr="007B39EA" w:rsidRDefault="007B39EA" w:rsidP="007B39EA">
      <w:pPr>
        <w:spacing w:before="210" w:after="210"/>
        <w:rPr>
          <w:rFonts w:cs="Arial"/>
        </w:rPr>
      </w:pPr>
      <w:r w:rsidRPr="007B39EA">
        <w:rPr>
          <w:rFonts w:cs="Arial"/>
        </w:rPr>
        <w:t xml:space="preserve">14. Uredba 2022/2554/EU je Uredba (EU) 2022/2554 Evropskega parlamenta in Sveta z dne 14. decembra 2022 o digitalni operativni odpornosti za finančni sektor in spremembi uredb (ES) št. 1060/2009, (EU) št. 648/2012, (EU) št. 600/2014, (EU) št. 909/2014 in (EU) 2016/1011 (UL L št. 333 z dne 27. 12. 2022, str. 1), zadnjič spremenjena z Delegirano uredbo Komisije (EU) 2025/420 z dne 16. decembra 2024 o dopolnitvi Uredbe (EU) 2022/2554 Evropskega parlamenta in Sveta v zvezi z regulativnimi tehničnimi standardi, v katerih se določijo merila za določitev sestave skupne </w:t>
      </w:r>
      <w:proofErr w:type="spellStart"/>
      <w:r w:rsidRPr="007B39EA">
        <w:rPr>
          <w:rFonts w:cs="Arial"/>
        </w:rPr>
        <w:t>pregledniške</w:t>
      </w:r>
      <w:proofErr w:type="spellEnd"/>
      <w:r w:rsidRPr="007B39EA">
        <w:rPr>
          <w:rFonts w:cs="Arial"/>
        </w:rPr>
        <w:t xml:space="preserve"> ekipe, ki zagotavljajo uravnoteženo udeležbo članov osebja iz evropskih nadzornih organov in ustreznih pristojnih organov, njihovo imenovanje, naloge in delovne dogovore (UL L št. 2025/420 z dne 24. 3. 2025);</w:t>
      </w:r>
    </w:p>
    <w:p w14:paraId="19E30865" w14:textId="788C893F" w:rsidR="007B39EA" w:rsidRPr="007B39EA" w:rsidRDefault="007B39EA" w:rsidP="007B39EA">
      <w:pPr>
        <w:spacing w:before="210" w:after="210"/>
        <w:rPr>
          <w:rFonts w:cs="Arial"/>
        </w:rPr>
      </w:pPr>
      <w:r w:rsidRPr="007B39EA">
        <w:rPr>
          <w:rFonts w:cs="Arial"/>
        </w:rPr>
        <w:t>15. Uredba 2024/1789/EU je Uredba (EU) 2024/1789 Evropskega parlamenta in Sveta z dne 13. junija 2024 o notranjem trgu plina iz obnovljivih virov, zemeljskega plina in vodika, spremembi uredb (EU) št. 1227/2011, (EU) 2017/1938, (EU) 2019/942 in (EU) 2022/869 ter Sklepa (EU) 2017/684 in razveljavitvi Uredbe (ES) št. 715/2009 (UL L št. 2024/1789, z dne 15. 7. 2024).</w:t>
      </w:r>
    </w:p>
    <w:p w14:paraId="78E6C7CA" w14:textId="77777777" w:rsidR="000317F7" w:rsidRPr="005960F5" w:rsidRDefault="00F06B25">
      <w:pPr>
        <w:pStyle w:val="center"/>
        <w:spacing w:before="210" w:after="210"/>
        <w:rPr>
          <w:rFonts w:cs="Arial"/>
          <w:b/>
          <w:sz w:val="21"/>
        </w:rPr>
      </w:pPr>
      <w:r w:rsidRPr="005960F5">
        <w:rPr>
          <w:rFonts w:cs="Arial"/>
          <w:b/>
          <w:sz w:val="21"/>
        </w:rPr>
        <w:lastRenderedPageBreak/>
        <w:t>31. člen</w:t>
      </w:r>
    </w:p>
    <w:p w14:paraId="488B9B73" w14:textId="77777777" w:rsidR="000317F7" w:rsidRPr="005960F5" w:rsidRDefault="00F06B25">
      <w:pPr>
        <w:pStyle w:val="center"/>
        <w:spacing w:before="210" w:after="210"/>
        <w:rPr>
          <w:rFonts w:cs="Arial"/>
          <w:b/>
          <w:sz w:val="21"/>
        </w:rPr>
      </w:pPr>
      <w:r w:rsidRPr="005960F5">
        <w:rPr>
          <w:rFonts w:cs="Arial"/>
          <w:b/>
          <w:sz w:val="21"/>
        </w:rPr>
        <w:t>(razvojni trgi malih in srednjih podjetij)</w:t>
      </w:r>
    </w:p>
    <w:p w14:paraId="2ED7696A" w14:textId="77777777" w:rsidR="000317F7" w:rsidRPr="005960F5" w:rsidRDefault="00F06B25">
      <w:pPr>
        <w:spacing w:before="210" w:after="210"/>
        <w:rPr>
          <w:rFonts w:cs="Arial"/>
          <w:sz w:val="21"/>
        </w:rPr>
      </w:pPr>
      <w:r w:rsidRPr="005960F5">
        <w:rPr>
          <w:rFonts w:cs="Arial"/>
        </w:rPr>
        <w:t>(1) Razvojni trg malih in srednjih podjetij (v nadaljnjem besedilu: razvojni trg MSP) je MTF, ki je registriran kot razvojni trg MSP v skladu s 326. členom tega zakona.</w:t>
      </w:r>
    </w:p>
    <w:p w14:paraId="18F3CACC" w14:textId="77777777" w:rsidR="000317F7" w:rsidRPr="005960F5" w:rsidRDefault="00F06B25">
      <w:pPr>
        <w:spacing w:before="210" w:after="210"/>
        <w:rPr>
          <w:rFonts w:cs="Arial"/>
          <w:sz w:val="21"/>
        </w:rPr>
      </w:pPr>
      <w:r w:rsidRPr="005960F5">
        <w:rPr>
          <w:rFonts w:cs="Arial"/>
        </w:rPr>
        <w:t>(2) Mala in srednja podjetja za namen razvojnega trga MSP iz prejšnjega odstavka so gospodarske družbe, ki so imele povprečno tržno kapitalizacijo za pretekla tri koledarska leta na zadnji dan posameznega leta manj kot 200.000.000 eurov.</w:t>
      </w:r>
    </w:p>
    <w:p w14:paraId="5BB7ABEE" w14:textId="77777777" w:rsidR="000317F7" w:rsidRPr="005960F5" w:rsidRDefault="00F06B25">
      <w:pPr>
        <w:pStyle w:val="center"/>
        <w:spacing w:before="210" w:after="210"/>
        <w:rPr>
          <w:rFonts w:cs="Arial"/>
          <w:b/>
          <w:sz w:val="21"/>
        </w:rPr>
      </w:pPr>
      <w:r w:rsidRPr="005960F5">
        <w:rPr>
          <w:rFonts w:cs="Arial"/>
          <w:b/>
          <w:sz w:val="21"/>
        </w:rPr>
        <w:t>38. člen</w:t>
      </w:r>
    </w:p>
    <w:p w14:paraId="304BAFAA" w14:textId="77777777" w:rsidR="000317F7" w:rsidRPr="005960F5" w:rsidRDefault="00F06B25">
      <w:pPr>
        <w:pStyle w:val="center"/>
        <w:spacing w:before="210" w:after="210"/>
        <w:rPr>
          <w:rFonts w:cs="Arial"/>
          <w:b/>
          <w:sz w:val="21"/>
        </w:rPr>
      </w:pPr>
      <w:r w:rsidRPr="005960F5">
        <w:rPr>
          <w:rFonts w:cs="Arial"/>
          <w:b/>
          <w:sz w:val="21"/>
        </w:rPr>
        <w:t>(poravnalni sistem, udeleženec poravnalnega sistema)</w:t>
      </w:r>
    </w:p>
    <w:p w14:paraId="629EDD4E" w14:textId="77777777" w:rsidR="000317F7" w:rsidRPr="005960F5" w:rsidRDefault="00F06B25">
      <w:pPr>
        <w:spacing w:before="210" w:after="210"/>
        <w:rPr>
          <w:rFonts w:cs="Arial"/>
          <w:sz w:val="21"/>
        </w:rPr>
      </w:pPr>
      <w:r w:rsidRPr="005960F5">
        <w:rPr>
          <w:rFonts w:cs="Arial"/>
        </w:rPr>
        <w:t>(1) Poravnalni sistem je sistem, ki:</w:t>
      </w:r>
    </w:p>
    <w:p w14:paraId="039CDD4B" w14:textId="77777777" w:rsidR="000317F7" w:rsidRPr="005960F5" w:rsidRDefault="00F06B25">
      <w:pPr>
        <w:spacing w:before="210" w:after="210"/>
        <w:rPr>
          <w:rFonts w:cs="Arial"/>
          <w:sz w:val="21"/>
        </w:rPr>
      </w:pPr>
      <w:r w:rsidRPr="005960F5">
        <w:rPr>
          <w:rFonts w:cs="Arial"/>
        </w:rPr>
        <w:t>1.      ga vodi ali upravlja CNS ali druga oseba (v nadaljnjem besedilu: upravljavec poravnalnega sistema),</w:t>
      </w:r>
    </w:p>
    <w:p w14:paraId="33E24590" w14:textId="77777777" w:rsidR="000317F7" w:rsidRPr="005960F5" w:rsidRDefault="00F06B25">
      <w:pPr>
        <w:spacing w:before="210" w:after="210"/>
        <w:rPr>
          <w:rFonts w:cs="Arial"/>
          <w:sz w:val="21"/>
        </w:rPr>
      </w:pPr>
      <w:r w:rsidRPr="005960F5">
        <w:rPr>
          <w:rFonts w:cs="Arial"/>
        </w:rPr>
        <w:t>2.      omogoča poravnavo poslov s finančnimi instrumenti, sklenjenimi na organiziranem trgu, v MTF ali OTF ali zunaj organiziranega trga, MTF ali OTF, v skladu z vnaprej določenimi pravili tega sistema in</w:t>
      </w:r>
    </w:p>
    <w:p w14:paraId="0A936B73" w14:textId="77777777" w:rsidR="000317F7" w:rsidRPr="005960F5" w:rsidRDefault="00F06B25">
      <w:pPr>
        <w:spacing w:before="210" w:after="210"/>
        <w:rPr>
          <w:rFonts w:cs="Arial"/>
          <w:sz w:val="21"/>
        </w:rPr>
      </w:pPr>
      <w:r w:rsidRPr="005960F5">
        <w:rPr>
          <w:rFonts w:cs="Arial"/>
        </w:rPr>
        <w:t>3.      obsega pravna razmerja med člani poravnalnega sistema ter med člani tega sistema in njegovim upravljavcem, katerih vsebina so njihove medsebojne pravice in obveznosti v zvezi s poravnavo poslov s finančnimi instrumenti.</w:t>
      </w:r>
    </w:p>
    <w:p w14:paraId="548DCEDA" w14:textId="77777777" w:rsidR="000317F7" w:rsidRPr="005960F5" w:rsidRDefault="00F06B25">
      <w:pPr>
        <w:spacing w:before="210" w:after="210"/>
        <w:rPr>
          <w:rFonts w:cs="Arial"/>
          <w:sz w:val="21"/>
        </w:rPr>
      </w:pPr>
      <w:r w:rsidRPr="005960F5">
        <w:rPr>
          <w:rFonts w:cs="Arial"/>
        </w:rPr>
        <w:t>(2) Udeleženec poravnalnega sistema je član poravnalnega sistema ter druga oseba, ki je na podlagi pogodbe s članom poravnalnega sistema temu upravičena dajati naročila glede vnosa nalogov v poravnalni sistem in je znana upravljavcu sistema.</w:t>
      </w:r>
    </w:p>
    <w:p w14:paraId="5F456440" w14:textId="77777777" w:rsidR="000317F7" w:rsidRPr="005960F5" w:rsidRDefault="00F06B25">
      <w:pPr>
        <w:pStyle w:val="center"/>
        <w:spacing w:before="210" w:after="210"/>
        <w:rPr>
          <w:rFonts w:cs="Arial"/>
          <w:b/>
          <w:sz w:val="21"/>
        </w:rPr>
      </w:pPr>
      <w:r w:rsidRPr="005960F5">
        <w:rPr>
          <w:rFonts w:cs="Arial"/>
          <w:b/>
          <w:sz w:val="21"/>
        </w:rPr>
        <w:t>81. člen</w:t>
      </w:r>
    </w:p>
    <w:p w14:paraId="0423CA0A" w14:textId="77777777" w:rsidR="000317F7" w:rsidRPr="005960F5" w:rsidRDefault="00F06B25">
      <w:pPr>
        <w:pStyle w:val="center"/>
        <w:spacing w:before="210" w:after="210"/>
        <w:rPr>
          <w:rFonts w:cs="Arial"/>
          <w:b/>
          <w:sz w:val="21"/>
        </w:rPr>
      </w:pPr>
      <w:r w:rsidRPr="005960F5">
        <w:rPr>
          <w:rFonts w:cs="Arial"/>
          <w:b/>
          <w:sz w:val="21"/>
        </w:rPr>
        <w:t>(odgovornost v zvezi s prospektom)</w:t>
      </w:r>
    </w:p>
    <w:p w14:paraId="6C0A8C7D" w14:textId="77777777" w:rsidR="000317F7" w:rsidRPr="005960F5" w:rsidRDefault="00F06B25">
      <w:pPr>
        <w:spacing w:before="210" w:after="210"/>
        <w:rPr>
          <w:rFonts w:cs="Arial"/>
          <w:sz w:val="21"/>
        </w:rPr>
      </w:pPr>
      <w:r w:rsidRPr="005960F5">
        <w:rPr>
          <w:rFonts w:cs="Arial"/>
        </w:rPr>
        <w:t>(1) Prospekt in morebitni dodatek k prospektu vključujeta podatke o vseh osebah, ki so odgovorne za pravilnost in popolnost informacij, vsebovanih v prospektu in morebitnem dodatku k prospektu, in sicer glede na namen priprave prospekta najmanj o:</w:t>
      </w:r>
    </w:p>
    <w:p w14:paraId="6BBC93B7" w14:textId="77777777" w:rsidR="000317F7" w:rsidRPr="005960F5" w:rsidRDefault="00F06B25">
      <w:pPr>
        <w:spacing w:before="210" w:after="210"/>
        <w:rPr>
          <w:rFonts w:cs="Arial"/>
          <w:sz w:val="21"/>
        </w:rPr>
      </w:pPr>
      <w:r w:rsidRPr="005960F5">
        <w:rPr>
          <w:rFonts w:cs="Arial"/>
        </w:rPr>
        <w:t>1.      izdajatelju,</w:t>
      </w:r>
    </w:p>
    <w:p w14:paraId="3C7BBA82" w14:textId="77777777" w:rsidR="000317F7" w:rsidRPr="005960F5" w:rsidRDefault="00F06B25">
      <w:pPr>
        <w:spacing w:before="210" w:after="210"/>
        <w:rPr>
          <w:rFonts w:cs="Arial"/>
          <w:sz w:val="21"/>
        </w:rPr>
      </w:pPr>
      <w:r w:rsidRPr="005960F5">
        <w:rPr>
          <w:rFonts w:cs="Arial"/>
        </w:rPr>
        <w:t>2.      članih organov vodenja ali nadzora izdajatelja,</w:t>
      </w:r>
    </w:p>
    <w:p w14:paraId="71AEDDC6" w14:textId="77777777" w:rsidR="000317F7" w:rsidRPr="005960F5" w:rsidRDefault="00F06B25">
      <w:pPr>
        <w:spacing w:before="210" w:after="210"/>
        <w:rPr>
          <w:rFonts w:cs="Arial"/>
          <w:sz w:val="21"/>
        </w:rPr>
      </w:pPr>
      <w:r w:rsidRPr="005960F5">
        <w:rPr>
          <w:rFonts w:cs="Arial"/>
        </w:rPr>
        <w:t>3.      ponudniku ali vlagatelju zahteve za uvrstitev vrednostnih papirjev v trgovanje na organiziranem trgu, če ponudnik oziroma vlagatelj zahteve ni hkrati izdajatelj, in</w:t>
      </w:r>
    </w:p>
    <w:p w14:paraId="5C7ED8E2" w14:textId="77777777" w:rsidR="000317F7" w:rsidRPr="005960F5" w:rsidRDefault="00F06B25">
      <w:pPr>
        <w:spacing w:before="210" w:after="210"/>
        <w:rPr>
          <w:rFonts w:cs="Arial"/>
          <w:sz w:val="21"/>
        </w:rPr>
      </w:pPr>
      <w:r w:rsidRPr="005960F5">
        <w:rPr>
          <w:rFonts w:cs="Arial"/>
        </w:rPr>
        <w:t>4.      morebitnem poroku za obveznosti iz vrednostnih papirjev.</w:t>
      </w:r>
    </w:p>
    <w:p w14:paraId="09533BEF" w14:textId="77777777" w:rsidR="000317F7" w:rsidRPr="005960F5" w:rsidRDefault="00F06B25">
      <w:pPr>
        <w:spacing w:before="210" w:after="210"/>
        <w:rPr>
          <w:rFonts w:cs="Arial"/>
          <w:sz w:val="21"/>
        </w:rPr>
      </w:pPr>
      <w:r w:rsidRPr="005960F5">
        <w:rPr>
          <w:rFonts w:cs="Arial"/>
        </w:rPr>
        <w:t>(2) V zvezi z osebami iz prejšnjega odstavka mora prospekt oziroma morebitni dodatek k prospektu vsebovati:</w:t>
      </w:r>
    </w:p>
    <w:p w14:paraId="592EED87" w14:textId="77777777" w:rsidR="000317F7" w:rsidRPr="005960F5" w:rsidRDefault="00F06B25">
      <w:pPr>
        <w:spacing w:before="210" w:after="210"/>
        <w:rPr>
          <w:rFonts w:cs="Arial"/>
          <w:sz w:val="21"/>
        </w:rPr>
      </w:pPr>
      <w:r w:rsidRPr="005960F5">
        <w:rPr>
          <w:rFonts w:cs="Arial"/>
        </w:rPr>
        <w:t>1.      podatke, na podlagi katerih je mogoče ugotoviti istovetnost teh oseb, in sicer:</w:t>
      </w:r>
    </w:p>
    <w:p w14:paraId="785B4C99" w14:textId="77777777" w:rsidR="000317F7" w:rsidRPr="005960F5" w:rsidRDefault="00F06B25">
      <w:pPr>
        <w:spacing w:before="210" w:after="210"/>
        <w:rPr>
          <w:rFonts w:cs="Arial"/>
          <w:sz w:val="21"/>
        </w:rPr>
      </w:pPr>
      <w:r w:rsidRPr="005960F5">
        <w:rPr>
          <w:rFonts w:cs="Arial"/>
        </w:rPr>
        <w:lastRenderedPageBreak/>
        <w:t>-  za fizične osebe: osebno ime in njihova funkcija v pravni osebi, za katero je sodelovala pri pripravi prospekta,</w:t>
      </w:r>
    </w:p>
    <w:p w14:paraId="619693C0" w14:textId="77777777" w:rsidR="000317F7" w:rsidRPr="005960F5" w:rsidRDefault="00F06B25">
      <w:pPr>
        <w:spacing w:before="210" w:after="210"/>
        <w:rPr>
          <w:rFonts w:cs="Arial"/>
          <w:sz w:val="21"/>
        </w:rPr>
      </w:pPr>
      <w:r w:rsidRPr="005960F5">
        <w:rPr>
          <w:rFonts w:cs="Arial"/>
        </w:rPr>
        <w:t>-  za pravne osebe: firmo in sedež, in</w:t>
      </w:r>
    </w:p>
    <w:p w14:paraId="68AF047D" w14:textId="77777777" w:rsidR="000317F7" w:rsidRPr="005960F5" w:rsidRDefault="00F06B25">
      <w:pPr>
        <w:spacing w:before="210" w:after="210"/>
        <w:rPr>
          <w:rFonts w:cs="Arial"/>
          <w:sz w:val="21"/>
        </w:rPr>
      </w:pPr>
      <w:r w:rsidRPr="005960F5">
        <w:rPr>
          <w:rFonts w:cs="Arial"/>
        </w:rPr>
        <w:t>2.      izjavo vsake od teh oseb, da so informacije, ki jih vsebuje prospekt, po njenem najboljšem vedenju v skladu z resničnimi dejstvi in da ni bila izpuščena nobena informacija, ki bi lahko vplivala na pomen prospekta.</w:t>
      </w:r>
    </w:p>
    <w:p w14:paraId="1D4C2427" w14:textId="77777777" w:rsidR="000317F7" w:rsidRPr="005960F5" w:rsidRDefault="00F06B25">
      <w:pPr>
        <w:spacing w:before="210" w:after="210"/>
        <w:rPr>
          <w:rFonts w:cs="Arial"/>
          <w:sz w:val="21"/>
        </w:rPr>
      </w:pPr>
      <w:r w:rsidRPr="005960F5">
        <w:rPr>
          <w:rFonts w:cs="Arial"/>
        </w:rPr>
        <w:t>(3) Osebe iz 1., 3. in 4. točke prvega odstavka tega člena so vlagatelju solidarno odgovorne za škodo, ki mu je bila povzročena zaradi nepravilnih ali nepopolnih informacij, vsebovanih v prospektu, razen če dokažejo enega od naslednjih razbremenilnih razlogov, da:</w:t>
      </w:r>
    </w:p>
    <w:p w14:paraId="0D139F7F" w14:textId="77777777" w:rsidR="000317F7" w:rsidRPr="005960F5" w:rsidRDefault="00F06B25">
      <w:pPr>
        <w:spacing w:before="210" w:after="210"/>
        <w:rPr>
          <w:rFonts w:cs="Arial"/>
          <w:sz w:val="21"/>
        </w:rPr>
      </w:pPr>
      <w:r w:rsidRPr="005960F5">
        <w:rPr>
          <w:rFonts w:cs="Arial"/>
        </w:rPr>
        <w:t>1.      so pri sestavi prospekta in preverjanju pravilnosti in popolnosti informacij, vsebovanih v prospektu, ravnale v skladu z ustrezno poklicno skrbnostjo,</w:t>
      </w:r>
    </w:p>
    <w:p w14:paraId="44DA8EDF" w14:textId="77777777" w:rsidR="000317F7" w:rsidRPr="005960F5" w:rsidRDefault="00F06B25">
      <w:pPr>
        <w:spacing w:before="210" w:after="210"/>
        <w:rPr>
          <w:rFonts w:cs="Arial"/>
          <w:sz w:val="21"/>
        </w:rPr>
      </w:pPr>
      <w:r w:rsidRPr="005960F5">
        <w:rPr>
          <w:rFonts w:cs="Arial"/>
        </w:rPr>
        <w:t>2.      je vlagatelj ob nakupu vrednostnih papirjev vedel za nepravilnost oziroma nepopolnost informacij, vsebovanih v prospektu,</w:t>
      </w:r>
    </w:p>
    <w:p w14:paraId="0FA7E2A6" w14:textId="68A855D4" w:rsidR="000317F7" w:rsidRPr="005960F5" w:rsidRDefault="00F06B25">
      <w:pPr>
        <w:spacing w:before="210" w:after="210"/>
        <w:rPr>
          <w:rFonts w:cs="Arial"/>
          <w:sz w:val="21"/>
        </w:rPr>
      </w:pPr>
      <w:r w:rsidRPr="005960F5">
        <w:rPr>
          <w:rFonts w:cs="Arial"/>
        </w:rPr>
        <w:t>3.      je imel vlagatelj pravico odstopiti od sprejema ponudbe vrednostnih papirjev javnosti po drugem odstavku 23. člena</w:t>
      </w:r>
      <w:r w:rsidR="006F0B28" w:rsidRPr="005960F5">
        <w:rPr>
          <w:rFonts w:cs="Arial"/>
        </w:rPr>
        <w:t xml:space="preserve"> </w:t>
      </w:r>
      <w:r w:rsidRPr="005960F5">
        <w:rPr>
          <w:rFonts w:cs="Arial"/>
        </w:rPr>
        <w:t>Uredbe 2017/1129/EU</w:t>
      </w:r>
      <w:r w:rsidR="006F0B28" w:rsidRPr="005960F5">
        <w:t xml:space="preserve"> </w:t>
      </w:r>
      <w:r w:rsidRPr="005960F5">
        <w:rPr>
          <w:rFonts w:cs="Arial"/>
        </w:rPr>
        <w:t>in te pravice ni uresničil,</w:t>
      </w:r>
    </w:p>
    <w:p w14:paraId="36AEA16B" w14:textId="2492E424" w:rsidR="000317F7" w:rsidRPr="005960F5" w:rsidRDefault="00F06B25">
      <w:pPr>
        <w:spacing w:before="210" w:after="210"/>
        <w:rPr>
          <w:rFonts w:cs="Arial"/>
          <w:sz w:val="21"/>
        </w:rPr>
      </w:pPr>
      <w:r w:rsidRPr="005960F5">
        <w:rPr>
          <w:rFonts w:cs="Arial"/>
        </w:rPr>
        <w:t>4.      so bile posamezne informacije izpuščene iz prospekta v skladu s prvim, drugim in tretjim odstavkom 18. člena</w:t>
      </w:r>
      <w:r w:rsidR="006F0B28" w:rsidRPr="005960F5">
        <w:rPr>
          <w:rFonts w:cs="Arial"/>
        </w:rPr>
        <w:t xml:space="preserve"> </w:t>
      </w:r>
      <w:r w:rsidRPr="005960F5">
        <w:rPr>
          <w:rFonts w:cs="Arial"/>
        </w:rPr>
        <w:t>Uredbe 2017/1129/EU</w:t>
      </w:r>
      <w:r w:rsidR="006F0B28" w:rsidRPr="005960F5">
        <w:t xml:space="preserve"> </w:t>
      </w:r>
      <w:r w:rsidRPr="005960F5">
        <w:rPr>
          <w:rFonts w:cs="Arial"/>
        </w:rPr>
        <w:t>ali</w:t>
      </w:r>
    </w:p>
    <w:p w14:paraId="647358AA" w14:textId="77777777" w:rsidR="000317F7" w:rsidRPr="005960F5" w:rsidRDefault="00F06B25">
      <w:pPr>
        <w:spacing w:before="210" w:after="210"/>
        <w:rPr>
          <w:rFonts w:cs="Arial"/>
          <w:sz w:val="21"/>
        </w:rPr>
      </w:pPr>
      <w:r w:rsidRPr="005960F5">
        <w:rPr>
          <w:rFonts w:cs="Arial"/>
        </w:rPr>
        <w:t>5.      gre za informacijo, za katero ni verjetno, da bi jo razumen vlagatelj upošteval kot pomembno pri odločitvi za nakup vrednostnih papirjev.</w:t>
      </w:r>
    </w:p>
    <w:p w14:paraId="381D66F2" w14:textId="77777777" w:rsidR="000317F7" w:rsidRPr="005960F5" w:rsidRDefault="00F06B25">
      <w:pPr>
        <w:spacing w:before="210" w:after="210"/>
        <w:rPr>
          <w:rFonts w:cs="Arial"/>
          <w:sz w:val="21"/>
        </w:rPr>
      </w:pPr>
      <w:r w:rsidRPr="005960F5">
        <w:rPr>
          <w:rFonts w:cs="Arial"/>
        </w:rPr>
        <w:t>(4) Vlagatelj ne more trditi, da ni vedel za nepravilnost oziroma nepopolnost informacij, vsebovanih v prospektu, če je bila, preden je vpisal ali kupil vrednostne papirje:</w:t>
      </w:r>
    </w:p>
    <w:p w14:paraId="5B032F0C" w14:textId="77777777" w:rsidR="000317F7" w:rsidRPr="005960F5" w:rsidRDefault="00F06B25">
      <w:pPr>
        <w:spacing w:before="210" w:after="210"/>
        <w:rPr>
          <w:rFonts w:cs="Arial"/>
          <w:sz w:val="21"/>
        </w:rPr>
      </w:pPr>
      <w:r w:rsidRPr="005960F5">
        <w:rPr>
          <w:rFonts w:cs="Arial"/>
        </w:rPr>
        <w:t>1.      informacija o tej nepravilnosti ali nepopolnosti objavljena na kateri koli način, dostopen splošni javnosti, ali</w:t>
      </w:r>
    </w:p>
    <w:p w14:paraId="2430D719" w14:textId="0CFCF07E" w:rsidR="000317F7" w:rsidRPr="005960F5" w:rsidRDefault="00F06B25">
      <w:pPr>
        <w:spacing w:before="210" w:after="210"/>
        <w:rPr>
          <w:rFonts w:cs="Arial"/>
          <w:sz w:val="21"/>
        </w:rPr>
      </w:pPr>
      <w:r w:rsidRPr="005960F5">
        <w:rPr>
          <w:rFonts w:cs="Arial"/>
        </w:rPr>
        <w:t>2.      nepravilnost ali nepopolnost odpravljena z objavo dodatka k prospektu v skladu s 23. členom</w:t>
      </w:r>
      <w:r w:rsidR="006F0B28" w:rsidRPr="005960F5">
        <w:rPr>
          <w:rFonts w:cs="Arial"/>
        </w:rPr>
        <w:t xml:space="preserve"> </w:t>
      </w:r>
      <w:r w:rsidRPr="005960F5">
        <w:rPr>
          <w:rFonts w:cs="Arial"/>
        </w:rPr>
        <w:t>Uredbe 2017/1129/EU.</w:t>
      </w:r>
    </w:p>
    <w:p w14:paraId="00B8979A" w14:textId="77777777" w:rsidR="000317F7" w:rsidRPr="005960F5" w:rsidRDefault="00F06B25">
      <w:pPr>
        <w:spacing w:before="210" w:after="210"/>
        <w:rPr>
          <w:rFonts w:cs="Arial"/>
          <w:sz w:val="21"/>
        </w:rPr>
      </w:pPr>
      <w:r w:rsidRPr="005960F5">
        <w:rPr>
          <w:rFonts w:cs="Arial"/>
        </w:rPr>
        <w:t>(5) Če so informacije, ki jih vsebuje prospekt, nepopolne ali nepravilne, se šteje, da je škoda, ki je bila povzročena vlagatelju z zmanjšanjem vrednosti njegove naložbe v vrednostne papirje glede na nakupno ceno, ki jo je plačal, v vzročni zvezi s temi nepopolnimi oziroma nepravilnimi informacijami, razen če odgovorna oseba dokaže, da take vzročne zveze ni.</w:t>
      </w:r>
    </w:p>
    <w:p w14:paraId="449CA74B" w14:textId="346BD04F" w:rsidR="000317F7" w:rsidRPr="005960F5" w:rsidRDefault="00F06B25">
      <w:pPr>
        <w:spacing w:before="210" w:after="210"/>
        <w:rPr>
          <w:rFonts w:cs="Arial"/>
          <w:sz w:val="21"/>
        </w:rPr>
      </w:pPr>
      <w:r w:rsidRPr="005960F5">
        <w:rPr>
          <w:rFonts w:cs="Arial"/>
        </w:rPr>
        <w:t>(6) Ne glede na tretji odstavek tega člena osebe, ki so pripravile samo povzetek prospekta v skladu s 7. členom</w:t>
      </w:r>
      <w:r w:rsidR="006F0B28" w:rsidRPr="005960F5">
        <w:rPr>
          <w:rFonts w:cs="Arial"/>
        </w:rPr>
        <w:t xml:space="preserve"> </w:t>
      </w:r>
      <w:r w:rsidRPr="005960F5">
        <w:rPr>
          <w:rFonts w:cs="Arial"/>
        </w:rPr>
        <w:t>Uredbe 2017/1129/EU(v nadaljnjem besedilu: povzetek prospekta) ali poseben povzetek prospekta EU za rast v skladu z drugim pododstavkom prvega odstavka 15. člena</w:t>
      </w:r>
      <w:r w:rsidR="006F0B28" w:rsidRPr="005960F5">
        <w:rPr>
          <w:rFonts w:cs="Arial"/>
        </w:rPr>
        <w:t xml:space="preserve"> </w:t>
      </w:r>
      <w:r w:rsidRPr="005960F5">
        <w:rPr>
          <w:rFonts w:cs="Arial"/>
        </w:rPr>
        <w:t>Uredbe 2017/1129/EU(v nadaljnjem besedilu: poseben povzetek prospekta), vključno z njegovim prevodom, odškodninsko odgovarjajo samo, če se pri presoji povzetka prospekta ali posebnega povzetka prospekta glede na druge dele prospekta ugotovi, da je povzetek prospekta ali posebni povzetek prospekta zavajajoč, netočen ali notranje neskladen ali ne daje ključnih informacij, ki bi bile vlagateljem v pomoč pri sprejemanju njihovih naložbenih odločitev. Povzetek prospekta ali poseben povzetek prospekta mora vsebovati opozorilo o omejitvi odškodninske odgovornosti.</w:t>
      </w:r>
    </w:p>
    <w:p w14:paraId="48CAB280" w14:textId="77777777" w:rsidR="000317F7" w:rsidRPr="005960F5" w:rsidRDefault="00F06B25">
      <w:pPr>
        <w:pStyle w:val="center"/>
        <w:spacing w:before="210" w:after="210"/>
        <w:rPr>
          <w:rFonts w:cs="Arial"/>
          <w:b/>
          <w:sz w:val="21"/>
        </w:rPr>
      </w:pPr>
      <w:r w:rsidRPr="005960F5">
        <w:rPr>
          <w:rFonts w:cs="Arial"/>
          <w:b/>
          <w:sz w:val="21"/>
        </w:rPr>
        <w:lastRenderedPageBreak/>
        <w:t>172. člen</w:t>
      </w:r>
    </w:p>
    <w:p w14:paraId="232EBE08" w14:textId="77777777" w:rsidR="000317F7" w:rsidRPr="005960F5" w:rsidRDefault="00F06B25">
      <w:pPr>
        <w:pStyle w:val="center"/>
        <w:spacing w:before="210" w:after="210"/>
        <w:rPr>
          <w:rFonts w:cs="Arial"/>
          <w:b/>
          <w:sz w:val="21"/>
        </w:rPr>
      </w:pPr>
      <w:r w:rsidRPr="005960F5">
        <w:rPr>
          <w:rFonts w:cs="Arial"/>
          <w:b/>
          <w:sz w:val="21"/>
        </w:rPr>
        <w:t>(sodelovanje z drugimi nadzornimi organi)</w:t>
      </w:r>
    </w:p>
    <w:p w14:paraId="533CF11A" w14:textId="77777777" w:rsidR="000317F7" w:rsidRPr="005960F5" w:rsidRDefault="00F06B25">
      <w:pPr>
        <w:spacing w:before="210" w:after="210"/>
        <w:rPr>
          <w:rFonts w:cs="Arial"/>
          <w:sz w:val="21"/>
        </w:rPr>
      </w:pPr>
      <w:r w:rsidRPr="005960F5">
        <w:rPr>
          <w:rFonts w:cs="Arial"/>
        </w:rPr>
        <w:t>(1) Agencija sodeluje z nadzornimi organi drugih držav članic, kadarkoli je to potrebno zaradi izvajanja njenih pristojnosti in odgovornosti glede nadzora nad ravnanjem v skladu s 3. in 11. poglavjem tega zakona.</w:t>
      </w:r>
    </w:p>
    <w:p w14:paraId="63FA5520" w14:textId="299645F9" w:rsidR="000317F7" w:rsidRPr="005960F5" w:rsidRDefault="00F06B25">
      <w:pPr>
        <w:spacing w:before="210" w:after="210"/>
        <w:rPr>
          <w:rFonts w:cs="Arial"/>
          <w:sz w:val="21"/>
        </w:rPr>
      </w:pPr>
      <w:r w:rsidRPr="005960F5">
        <w:rPr>
          <w:rFonts w:cs="Arial"/>
        </w:rPr>
        <w:t>(2) Agencija nadzornim organom drugih držav članic nudi ustrezno pomoč pri opravljanju njihovih pristojnosti in odgovornosti glede nadzora nad spoštovanjem predpisov, sprejetih zaradi prenosa</w:t>
      </w:r>
      <w:r w:rsidR="006F0B28" w:rsidRPr="005960F5">
        <w:rPr>
          <w:rFonts w:cs="Arial"/>
        </w:rPr>
        <w:t xml:space="preserve"> </w:t>
      </w:r>
      <w:r w:rsidRPr="005960F5">
        <w:rPr>
          <w:rFonts w:cs="Arial"/>
        </w:rPr>
        <w:t>Direktive 2004/109/ES</w:t>
      </w:r>
      <w:r w:rsidR="006F0B28" w:rsidRPr="005960F5">
        <w:t xml:space="preserve"> </w:t>
      </w:r>
      <w:r w:rsidRPr="005960F5">
        <w:rPr>
          <w:rFonts w:cs="Arial"/>
        </w:rPr>
        <w:t>in</w:t>
      </w:r>
      <w:r w:rsidR="006F0B28" w:rsidRPr="005960F5">
        <w:rPr>
          <w:rFonts w:cs="Arial"/>
        </w:rPr>
        <w:t xml:space="preserve"> </w:t>
      </w:r>
      <w:r w:rsidRPr="005960F5">
        <w:rPr>
          <w:rFonts w:cs="Arial"/>
        </w:rPr>
        <w:t>Direktive 2001/34/ES.</w:t>
      </w:r>
    </w:p>
    <w:p w14:paraId="15A08EEF" w14:textId="77777777" w:rsidR="000317F7" w:rsidRDefault="00F06B25">
      <w:pPr>
        <w:spacing w:before="210" w:after="210"/>
        <w:rPr>
          <w:rFonts w:cs="Arial"/>
        </w:rPr>
      </w:pPr>
      <w:r w:rsidRPr="005960F5">
        <w:rPr>
          <w:rFonts w:cs="Arial"/>
        </w:rPr>
        <w:t>(3) Agencija sodeluje z nadzornimi organi drugih držav članic pri zadevah, ki se obravnavajo v Republiki Sloveniji in še vsaj v eni državi članici, da se zagotovi učinkovito izrekanje sankcij in nadzornih ukrepov.</w:t>
      </w:r>
    </w:p>
    <w:p w14:paraId="2B788970" w14:textId="77777777" w:rsidR="00B95C51" w:rsidRPr="00B95C51" w:rsidRDefault="00B95C51" w:rsidP="00B95C51">
      <w:pPr>
        <w:pStyle w:val="center"/>
        <w:spacing w:before="210" w:after="210"/>
        <w:rPr>
          <w:rFonts w:cs="Arial"/>
          <w:b/>
          <w:sz w:val="21"/>
        </w:rPr>
      </w:pPr>
      <w:r w:rsidRPr="00B95C51">
        <w:rPr>
          <w:rFonts w:cs="Arial"/>
          <w:b/>
          <w:sz w:val="21"/>
        </w:rPr>
        <w:t>251. člen</w:t>
      </w:r>
    </w:p>
    <w:p w14:paraId="4A3D62F5" w14:textId="77777777" w:rsidR="00B95C51" w:rsidRPr="00B95C51" w:rsidRDefault="00B95C51" w:rsidP="00B95C51">
      <w:pPr>
        <w:pStyle w:val="center"/>
        <w:spacing w:before="210" w:after="210"/>
        <w:rPr>
          <w:rFonts w:cs="Arial"/>
          <w:b/>
          <w:sz w:val="21"/>
        </w:rPr>
      </w:pPr>
      <w:r w:rsidRPr="00B95C51">
        <w:rPr>
          <w:rFonts w:cs="Arial"/>
          <w:b/>
          <w:sz w:val="21"/>
        </w:rPr>
        <w:t>(obveznosti borznoposredniške družbe, informacije strankam in tržna sporočila)</w:t>
      </w:r>
    </w:p>
    <w:p w14:paraId="300A1F9B" w14:textId="77777777" w:rsidR="00B95C51" w:rsidRPr="00B95C51" w:rsidRDefault="00B95C51" w:rsidP="00B95C51">
      <w:pPr>
        <w:spacing w:before="210" w:after="210"/>
        <w:rPr>
          <w:rFonts w:cs="Arial"/>
        </w:rPr>
      </w:pPr>
      <w:r w:rsidRPr="00B95C51">
        <w:rPr>
          <w:rFonts w:cs="Arial"/>
        </w:rPr>
        <w:t>(1) Vse informacije, ki jih daje ali objavlja borznoposredniška družba, vključno s tržnimi sporočili, in ki so naslovljene na njene stranke ali morebitne stranke, so poštene in jasne ter niso zavajajoče.</w:t>
      </w:r>
    </w:p>
    <w:p w14:paraId="0F6B458B" w14:textId="77777777" w:rsidR="00B95C51" w:rsidRPr="00B95C51" w:rsidRDefault="00B95C51" w:rsidP="00B95C51">
      <w:pPr>
        <w:spacing w:before="210" w:after="210"/>
        <w:rPr>
          <w:rFonts w:cs="Arial"/>
        </w:rPr>
      </w:pPr>
      <w:r w:rsidRPr="00B95C51">
        <w:rPr>
          <w:rFonts w:cs="Arial"/>
        </w:rPr>
        <w:t>(2) Tržna sporočila borznoposredniške družbe so jasno in vidno označena kot taka.</w:t>
      </w:r>
    </w:p>
    <w:p w14:paraId="21579CDF" w14:textId="77777777" w:rsidR="00B95C51" w:rsidRPr="00B95C51" w:rsidRDefault="00B95C51" w:rsidP="00B95C51">
      <w:pPr>
        <w:spacing w:before="210" w:after="210"/>
        <w:rPr>
          <w:rFonts w:cs="Arial"/>
        </w:rPr>
      </w:pPr>
      <w:r w:rsidRPr="00B95C51">
        <w:rPr>
          <w:rFonts w:cs="Arial"/>
        </w:rPr>
        <w:t>(3) Borznoposredniška družba strankam oziroma morebitnim strankam pravočasno zagotovi ustrezne in razumljive informacije o:</w:t>
      </w:r>
    </w:p>
    <w:p w14:paraId="3929D368" w14:textId="77777777" w:rsidR="00B95C51" w:rsidRPr="00B95C51" w:rsidRDefault="00B95C51" w:rsidP="00B95C51">
      <w:pPr>
        <w:spacing w:before="210" w:after="210"/>
        <w:rPr>
          <w:rFonts w:cs="Arial"/>
        </w:rPr>
      </w:pPr>
      <w:r w:rsidRPr="00B95C51">
        <w:rPr>
          <w:rFonts w:cs="Arial"/>
        </w:rPr>
        <w:t>1.      borznoposredniški družbi in njenih storitvah,</w:t>
      </w:r>
    </w:p>
    <w:p w14:paraId="149FFFB2" w14:textId="77777777" w:rsidR="00B95C51" w:rsidRPr="00B95C51" w:rsidRDefault="00B95C51" w:rsidP="00B95C51">
      <w:pPr>
        <w:spacing w:before="210" w:after="210"/>
        <w:rPr>
          <w:rFonts w:cs="Arial"/>
        </w:rPr>
      </w:pPr>
      <w:r w:rsidRPr="00B95C51">
        <w:rPr>
          <w:rFonts w:cs="Arial"/>
        </w:rPr>
        <w:t>2.      finančnih instrumentih in predlaganih naložbenih strategijah,</w:t>
      </w:r>
    </w:p>
    <w:p w14:paraId="59210B02" w14:textId="77777777" w:rsidR="00B95C51" w:rsidRPr="00B95C51" w:rsidRDefault="00B95C51" w:rsidP="00B95C51">
      <w:pPr>
        <w:spacing w:before="210" w:after="210"/>
        <w:rPr>
          <w:rFonts w:cs="Arial"/>
        </w:rPr>
      </w:pPr>
      <w:r w:rsidRPr="00B95C51">
        <w:rPr>
          <w:rFonts w:cs="Arial"/>
        </w:rPr>
        <w:t>3.      mestu sklepanja poslov s finančnimi instrumenti in</w:t>
      </w:r>
    </w:p>
    <w:p w14:paraId="63B0202B" w14:textId="77777777" w:rsidR="00B95C51" w:rsidRPr="00B95C51" w:rsidRDefault="00B95C51" w:rsidP="00B95C51">
      <w:pPr>
        <w:spacing w:before="210" w:after="210"/>
        <w:rPr>
          <w:rFonts w:cs="Arial"/>
        </w:rPr>
      </w:pPr>
      <w:r w:rsidRPr="00B95C51">
        <w:rPr>
          <w:rFonts w:cs="Arial"/>
        </w:rPr>
        <w:t>4.      stroških in nadomestilih, povezanih s tem.</w:t>
      </w:r>
    </w:p>
    <w:p w14:paraId="76CF06A8" w14:textId="77777777" w:rsidR="00B95C51" w:rsidRPr="00B95C51" w:rsidRDefault="00B95C51" w:rsidP="00B95C51">
      <w:pPr>
        <w:spacing w:before="210" w:after="210"/>
        <w:rPr>
          <w:rFonts w:cs="Arial"/>
        </w:rPr>
      </w:pPr>
      <w:r w:rsidRPr="00B95C51">
        <w:rPr>
          <w:rFonts w:cs="Arial"/>
        </w:rPr>
        <w:t>(4) Pri opravljanju investicijskega svetovanja borznoposredniška družba stranko pravočasno in še preden začne svetovati obvesti ali:</w:t>
      </w:r>
    </w:p>
    <w:p w14:paraId="7F3F5097" w14:textId="77777777" w:rsidR="00B95C51" w:rsidRPr="00B95C51" w:rsidRDefault="00B95C51" w:rsidP="00B95C51">
      <w:pPr>
        <w:spacing w:before="210" w:after="210"/>
        <w:rPr>
          <w:rFonts w:cs="Arial"/>
        </w:rPr>
      </w:pPr>
      <w:r w:rsidRPr="00B95C51">
        <w:rPr>
          <w:rFonts w:cs="Arial"/>
        </w:rPr>
        <w:t>1.      je svetovanje neodvisno,</w:t>
      </w:r>
    </w:p>
    <w:p w14:paraId="3B03B0E9" w14:textId="77777777" w:rsidR="00B95C51" w:rsidRPr="00B95C51" w:rsidRDefault="00B95C51" w:rsidP="00B95C51">
      <w:pPr>
        <w:spacing w:before="210" w:after="210"/>
        <w:rPr>
          <w:rFonts w:cs="Arial"/>
        </w:rPr>
      </w:pPr>
      <w:r w:rsidRPr="00B95C51">
        <w:rPr>
          <w:rFonts w:cs="Arial"/>
        </w:rPr>
        <w:t>2.      svetovanje temelji na širši ali ožji analizi različnih vrst finančnih instrumentov in ali je njihov nabor omejen na finančne instrumente, ki jih izdajajo ali ponujajo subjekti, ki so z borznoposredniško družbo v razmerju tesne povezanosti ali v kakšnem drugem pravnem ali ekonomskem odnosu, ki bi lahko pomenil tveganje za neodvisno svetovanje stranki,</w:t>
      </w:r>
    </w:p>
    <w:p w14:paraId="17A69E75" w14:textId="77777777" w:rsidR="00B95C51" w:rsidRPr="00B95C51" w:rsidRDefault="00B95C51" w:rsidP="00B95C51">
      <w:pPr>
        <w:spacing w:before="210" w:after="210"/>
        <w:rPr>
          <w:rFonts w:cs="Arial"/>
        </w:rPr>
      </w:pPr>
      <w:r w:rsidRPr="00B95C51">
        <w:rPr>
          <w:rFonts w:cs="Arial"/>
        </w:rPr>
        <w:t>3.      bo borznoposredniška družba zagotovila stranki redno ocenjevanje ustreznosti finančnih instrumentov, ki jih je svetovala stranki.</w:t>
      </w:r>
    </w:p>
    <w:p w14:paraId="6E19B0BD" w14:textId="77777777" w:rsidR="00B95C51" w:rsidRPr="00B95C51" w:rsidRDefault="00B95C51" w:rsidP="00B95C51">
      <w:pPr>
        <w:spacing w:before="210" w:after="210"/>
        <w:rPr>
          <w:rFonts w:cs="Arial"/>
        </w:rPr>
      </w:pPr>
      <w:r w:rsidRPr="00B95C51">
        <w:rPr>
          <w:rFonts w:cs="Arial"/>
        </w:rPr>
        <w:t>(5) Informacije o finančnih instrumentih in predlaganih naložbenih strategijah vključujejo ustrezne usmeritve in opozorila glede tveganj, povezanih z naložbami v te finančne instrumente, oziroma glede tveganj, povezanih s posameznimi naložbenimi strategijami in ali je finančni instrument namenjen profesionalnim ali neprofesionalnim strankam ob upoštevanju ciljnega trga končnih strank v skladu z 253. členom tega zakona.</w:t>
      </w:r>
    </w:p>
    <w:p w14:paraId="6A9E3260" w14:textId="77777777" w:rsidR="00B95C51" w:rsidRPr="00B95C51" w:rsidRDefault="00B95C51" w:rsidP="00B95C51">
      <w:pPr>
        <w:spacing w:before="210" w:after="210"/>
        <w:rPr>
          <w:rFonts w:cs="Arial"/>
        </w:rPr>
      </w:pPr>
      <w:r w:rsidRPr="00B95C51">
        <w:rPr>
          <w:rFonts w:cs="Arial"/>
        </w:rPr>
        <w:lastRenderedPageBreak/>
        <w:t>(6) Informacije o stroških in nadomestilih vključujejo vse stroške investicijskih in pomožnih investicijskih storitev, vključno s stroški morebitnega svetovanja in, kjer je to relevantno, stroške finančnega instrumenta, ki ga borznoposredniška družba priporoča ali prodaja, načinom plačila in morebitna plačila tretjih oseb ali tretjim osebam.</w:t>
      </w:r>
    </w:p>
    <w:p w14:paraId="51FF867C" w14:textId="77777777" w:rsidR="00B95C51" w:rsidRPr="00B95C51" w:rsidRDefault="00B95C51" w:rsidP="00B95C51">
      <w:pPr>
        <w:spacing w:before="210" w:after="210"/>
        <w:rPr>
          <w:rFonts w:cs="Arial"/>
        </w:rPr>
      </w:pPr>
      <w:r w:rsidRPr="00B95C51">
        <w:rPr>
          <w:rFonts w:cs="Arial"/>
        </w:rPr>
        <w:t>(7) Stroške in nadomestila, vključno s stroški, povezanimi z investicijsko storitvijo in poslom in finančnim instrumentom, ki niso posledica tržnega tveganja, je treba stranki podati v zbirni obliki kot enoten strošek, da stranka lahko prepozna skupni strošek in učinek na donos svoje investicije. Če stranka to zahteva, ji borznoposredniška družba stroške in nadomestila razčleni po posameznih postavkah. Ti stroški se stranki redno poročajo vsakič, kadar je to primerno, najmanj pa enkrat letno v času trajanja investicije.</w:t>
      </w:r>
    </w:p>
    <w:p w14:paraId="52D71551" w14:textId="77777777" w:rsidR="00B95C51" w:rsidRPr="00B95C51" w:rsidRDefault="00B95C51" w:rsidP="00B95C51">
      <w:pPr>
        <w:spacing w:before="210" w:after="210"/>
        <w:rPr>
          <w:rFonts w:cs="Arial"/>
        </w:rPr>
      </w:pPr>
      <w:r w:rsidRPr="00B95C51">
        <w:rPr>
          <w:rFonts w:cs="Arial"/>
        </w:rPr>
        <w:t>(8)  Informacije iz tretjega do sedmega in iz štirinajstega, dvajsetega in enaindvajsetega odstavka tega člena povprečno razumni osebi omogočajo, da spozna in razume značilnosti in tveganja investicijskih storitev in poslov ter posameznih vrst finančnih instrumentov iz 2. točke tretjega odstavka tega člena in da na tej podlagi sprejme ustrezno naložbeno odločitev.</w:t>
      </w:r>
    </w:p>
    <w:p w14:paraId="2059AF33" w14:textId="77777777" w:rsidR="00B95C51" w:rsidRPr="00B95C51" w:rsidRDefault="00B95C51" w:rsidP="00B95C51">
      <w:pPr>
        <w:spacing w:before="210" w:after="210"/>
        <w:rPr>
          <w:rFonts w:cs="Arial"/>
        </w:rPr>
      </w:pPr>
      <w:r w:rsidRPr="00B95C51">
        <w:rPr>
          <w:rFonts w:cs="Arial"/>
        </w:rPr>
        <w:t>(9) Informacije iz tretjega in četrtega odstavka tega člena borznoposredniška družba lahko da v standardizirani obliki.</w:t>
      </w:r>
    </w:p>
    <w:p w14:paraId="2BA30B26" w14:textId="77777777" w:rsidR="00B95C51" w:rsidRPr="00B95C51" w:rsidRDefault="00B95C51" w:rsidP="00B95C51">
      <w:pPr>
        <w:spacing w:before="210" w:after="210"/>
        <w:rPr>
          <w:rFonts w:cs="Arial"/>
        </w:rPr>
      </w:pPr>
      <w:r w:rsidRPr="00B95C51">
        <w:rPr>
          <w:rFonts w:cs="Arial"/>
        </w:rPr>
        <w:t>(10) Če je investicijska storitev, ki jo opravlja borznoposredniška družba, del finančnega produkta, ki je glede zahtev o informacijah strankam urejen z drugimi predpisi, ki urejajo bančništvo ali potrošniške kredite, se za to storitev dodatno ne uporabljajo prvi do deveti odstavek tega člena.</w:t>
      </w:r>
    </w:p>
    <w:p w14:paraId="28EF7F8E" w14:textId="77777777" w:rsidR="00B95C51" w:rsidRPr="00B95C51" w:rsidRDefault="00B95C51" w:rsidP="00B95C51">
      <w:pPr>
        <w:spacing w:before="210" w:after="210"/>
        <w:rPr>
          <w:rFonts w:cs="Arial"/>
        </w:rPr>
      </w:pPr>
      <w:r w:rsidRPr="00B95C51">
        <w:rPr>
          <w:rFonts w:cs="Arial"/>
        </w:rPr>
        <w:t>(11) Če borznoposredniška družba pri opravljanju investicijskega svetovanja stranko obvesti o tem, da je svetovanje neodvisno:</w:t>
      </w:r>
    </w:p>
    <w:p w14:paraId="06FD40C2" w14:textId="77777777" w:rsidR="00B95C51" w:rsidRPr="00B95C51" w:rsidRDefault="00B95C51" w:rsidP="00B95C51">
      <w:pPr>
        <w:spacing w:before="210" w:after="210"/>
        <w:rPr>
          <w:rFonts w:cs="Arial"/>
        </w:rPr>
      </w:pPr>
      <w:r w:rsidRPr="00B95C51">
        <w:rPr>
          <w:rFonts w:cs="Arial"/>
        </w:rPr>
        <w:t>1.      oceni dovolj velik nabor finančnih instrumentov, ki so na voljo na trgu, katerih značilnosti in izdajatelji so dovolj raznoliki, da se stranki lahko zagotovi doseganje njenih investicijskih ciljev. Ocena ne sme biti omejena le na finančne instrumente, ki jih izdajajo ali ponujajo:</w:t>
      </w:r>
    </w:p>
    <w:p w14:paraId="3CAA019B" w14:textId="77777777" w:rsidR="00B95C51" w:rsidRPr="00B95C51" w:rsidRDefault="00B95C51" w:rsidP="00B95C51">
      <w:pPr>
        <w:spacing w:before="210" w:after="210"/>
        <w:rPr>
          <w:rFonts w:cs="Arial"/>
        </w:rPr>
      </w:pPr>
      <w:r w:rsidRPr="00B95C51">
        <w:rPr>
          <w:rFonts w:cs="Arial"/>
        </w:rPr>
        <w:t>-  borznoposredniška družba sama ali subjekti, ki so z njo v razmerju tesne povezanosti, ali</w:t>
      </w:r>
    </w:p>
    <w:p w14:paraId="610C7AD0" w14:textId="77777777" w:rsidR="00B95C51" w:rsidRPr="00B95C51" w:rsidRDefault="00B95C51" w:rsidP="00B95C51">
      <w:pPr>
        <w:spacing w:before="210" w:after="210"/>
        <w:rPr>
          <w:rFonts w:cs="Arial"/>
        </w:rPr>
      </w:pPr>
      <w:r w:rsidRPr="00B95C51">
        <w:rPr>
          <w:rFonts w:cs="Arial"/>
        </w:rPr>
        <w:t>-  subjekti, ki so z borznoposredniško družbo v kakšnem drugem pravnem ali ekonomskem odnosu, ki bi lahko pomenil tveganje za neodvisno svetovanje stranki;</w:t>
      </w:r>
    </w:p>
    <w:p w14:paraId="36D05FCB" w14:textId="77777777" w:rsidR="00B95C51" w:rsidRPr="00B95C51" w:rsidRDefault="00B95C51" w:rsidP="00B95C51">
      <w:pPr>
        <w:spacing w:before="210" w:after="210"/>
        <w:rPr>
          <w:rFonts w:cs="Arial"/>
        </w:rPr>
      </w:pPr>
      <w:r w:rsidRPr="00B95C51">
        <w:rPr>
          <w:rFonts w:cs="Arial"/>
        </w:rPr>
        <w:t>2.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 točke.</w:t>
      </w:r>
    </w:p>
    <w:p w14:paraId="72F7CD9A" w14:textId="77777777" w:rsidR="00B95C51" w:rsidRPr="00B95C51" w:rsidRDefault="00B95C51" w:rsidP="00B95C51">
      <w:pPr>
        <w:spacing w:before="210" w:after="210"/>
        <w:rPr>
          <w:rFonts w:cs="Arial"/>
        </w:rPr>
      </w:pPr>
      <w:r w:rsidRPr="00B95C51">
        <w:rPr>
          <w:rFonts w:cs="Arial"/>
        </w:rPr>
        <w:t>(12) Borznoposredniška družba pri gospodarjenju s finančnimi instrumenti ne sme sprejeti ali obdržati provizij, spodbud ali katerihkoli drugih denarnih ali nedenarnih koristi v zvezi z opravljanjem te investicijske storitve za stranke, ki jih plačajo ali zagotovijo tretje osebe ali osebe, ki delujejo za račun tretjih oseb. Manjše nedenarne koristi, ki lahko pripomorejo k izboljšanju kakovosti storitve za stranko in so tako majhne, da jih ne gre šteti kot kršitev varovanja interesov strank iz 252. člena tega zakona, so jasno razkrite in se ne štejejo za kršitev tega odstavka.</w:t>
      </w:r>
    </w:p>
    <w:p w14:paraId="27978B80" w14:textId="77777777" w:rsidR="00B95C51" w:rsidRPr="00B95C51" w:rsidRDefault="00B95C51" w:rsidP="00B95C51">
      <w:pPr>
        <w:spacing w:before="210" w:after="210"/>
        <w:rPr>
          <w:rFonts w:cs="Arial"/>
        </w:rPr>
      </w:pPr>
      <w:r w:rsidRPr="00B95C51">
        <w:rPr>
          <w:rFonts w:cs="Arial"/>
        </w:rPr>
        <w:t xml:space="preserve">(13) Borznoposredniška družba ne sme plačati, zagotoviti ali prejeti plačila provizij, spodbud ali katerihkoli drugih denarnih ali nedenarnih koristi v zvezi z opravljanjem investicijskih storitev in poslov ter pomožnih </w:t>
      </w:r>
      <w:r w:rsidRPr="00B95C51">
        <w:rPr>
          <w:rFonts w:cs="Arial"/>
        </w:rPr>
        <w:lastRenderedPageBreak/>
        <w:t>investicijskih storitev za stranke, s strani tretjih oseb, razen svojih strank, ali oseb, ki delujejo v imenu teh strank. Prejšnji stavek ne velja za plačila in koristi, ki:</w:t>
      </w:r>
    </w:p>
    <w:p w14:paraId="7BCF7F65" w14:textId="77777777" w:rsidR="00B95C51" w:rsidRPr="00B95C51" w:rsidRDefault="00B95C51" w:rsidP="00B95C51">
      <w:pPr>
        <w:spacing w:before="210" w:after="210"/>
        <w:rPr>
          <w:rFonts w:cs="Arial"/>
        </w:rPr>
      </w:pPr>
      <w:r w:rsidRPr="00B95C51">
        <w:rPr>
          <w:rFonts w:cs="Arial"/>
        </w:rPr>
        <w:t>1.      lahko pripomorejo k izboljšanju kakovosti storitve za stranko in</w:t>
      </w:r>
    </w:p>
    <w:p w14:paraId="625733FC" w14:textId="77777777" w:rsidR="00B95C51" w:rsidRPr="00B95C51" w:rsidRDefault="00B95C51" w:rsidP="00B95C51">
      <w:pPr>
        <w:spacing w:before="210" w:after="210"/>
        <w:rPr>
          <w:rFonts w:cs="Arial"/>
        </w:rPr>
      </w:pPr>
      <w:r w:rsidRPr="00B95C51">
        <w:rPr>
          <w:rFonts w:cs="Arial"/>
        </w:rPr>
        <w:t>2.      ne vplivajo na obveznost varovanja interesov strank iz 252. člena tega zakona.</w:t>
      </w:r>
    </w:p>
    <w:p w14:paraId="467232C6" w14:textId="77777777" w:rsidR="00B95C51" w:rsidRPr="00B95C51" w:rsidRDefault="00B95C51" w:rsidP="00B95C51">
      <w:pPr>
        <w:spacing w:before="210" w:after="210"/>
        <w:rPr>
          <w:rFonts w:cs="Arial"/>
        </w:rPr>
      </w:pPr>
      <w:r w:rsidRPr="00B95C51">
        <w:rPr>
          <w:rFonts w:cs="Arial"/>
        </w:rPr>
        <w:t>(14) Obstoj, narava in znesek plačila ali koristi iz prejšnjega odstavka ali način izračuna tega zneska, če ga ni mogoče točno določiti, se stranki jasno razkrijejo pred začetkom opravljanja posamezne storitve oziroma posla na način, ki je natančen in za posamezno vrsto stranke primeren in razumljiv. Borznoposredniška družba stranko obvesti tudi o načinu prenosa plačil ali koristi na stranko, kadar za stranko nastanejo pri opravljanju investicijskih storitev in poslov ali pomožnih investicijskih storitev.</w:t>
      </w:r>
    </w:p>
    <w:p w14:paraId="2612A2CF" w14:textId="77777777" w:rsidR="00B95C51" w:rsidRPr="00B95C51" w:rsidRDefault="00B95C51" w:rsidP="00B95C51">
      <w:pPr>
        <w:spacing w:before="210" w:after="210"/>
        <w:rPr>
          <w:rFonts w:cs="Arial"/>
        </w:rPr>
      </w:pPr>
      <w:r w:rsidRPr="00B95C51">
        <w:rPr>
          <w:rFonts w:cs="Arial"/>
        </w:rPr>
        <w:t>(15) Plačila in koristi, ki so potrebni za opravljanje investicijskih storitev in poslov, kot na primer skrbniški stroški, stroški poravnave ali organiziranega trga ali predpisane dajatve, ki po svoji naravi ne morejo predstavljati nasprotja z obveznostjo varovanja interesov strank iz 252. člena tega zakona, se ne štejejo kot plačila ali koristi iz trinajstega odstavka tega člena.</w:t>
      </w:r>
    </w:p>
    <w:p w14:paraId="33FCA09D" w14:textId="77777777" w:rsidR="00B95C51" w:rsidRPr="00B95C51" w:rsidRDefault="00B95C51" w:rsidP="00B95C51">
      <w:pPr>
        <w:spacing w:before="210" w:after="210"/>
        <w:rPr>
          <w:rFonts w:cs="Arial"/>
        </w:rPr>
      </w:pPr>
      <w:r w:rsidRPr="00B95C51">
        <w:rPr>
          <w:rFonts w:cs="Arial"/>
        </w:rPr>
        <w:t>(16) Če borznoposredniška družba krši trinajsti in štirinajsti odstavek tega člena, se šteje, da krši določbe varovanja interesov strank iz 252. člena tega zakona ali obveznost ukrepov za upravljanje nasprotij interesov iz prvega do četrtega odstavka 233. člena tega zakona.</w:t>
      </w:r>
    </w:p>
    <w:p w14:paraId="7DAA7076" w14:textId="77777777" w:rsidR="00B95C51" w:rsidRPr="00B95C51" w:rsidRDefault="00B95C51" w:rsidP="00B95C51">
      <w:pPr>
        <w:spacing w:before="210" w:after="210"/>
        <w:rPr>
          <w:rFonts w:cs="Arial"/>
        </w:rPr>
      </w:pPr>
      <w:r w:rsidRPr="00B95C51">
        <w:rPr>
          <w:rFonts w:cs="Arial"/>
        </w:rPr>
        <w:t>(17) Borznoposredniška družba, ki opravlja investicijske storitve in posle za stranke, zagotovi, da ne nagrajuje ali ocenjuje uspešnosti zaposlenih v nasprotju z obveznostjo varovanja interesov strank iz 252. člena tega zakona. Zlasti ne sme sklepati dogovorov o nagrajevanju ali doseganju prodajnih ciljev in podobnih dogovorov, ki bi pomenili spodbudo zaposlenim, da bi neprofesionalni stranki priporočili neki finančni instrument, če bi ji borznoposredniška družba lahko ponudila drug finančni instrument, ki bi bolje ustrezal strankinim potrebam.</w:t>
      </w:r>
    </w:p>
    <w:p w14:paraId="0EA95F5F" w14:textId="77777777" w:rsidR="00B95C51" w:rsidRPr="00B95C51" w:rsidRDefault="00B95C51" w:rsidP="00B95C51">
      <w:pPr>
        <w:spacing w:before="210" w:after="210"/>
        <w:rPr>
          <w:rFonts w:cs="Arial"/>
        </w:rPr>
      </w:pPr>
      <w:r w:rsidRPr="00B95C51">
        <w:rPr>
          <w:rFonts w:cs="Arial"/>
        </w:rPr>
        <w:t>(18) Če borznoposredniška družba ponuja investicijsko storitev in posel skupaj z neko drugo storitvijo ali produktom kot del paketa ali kot pogoj za isti dogovor oziroma paket, stranko obvesti ali je mogoče kupiti posamezno storitev ali produkt posebej, in razkriti strošek teh. Če je verjetno, da so tveganja, ki izhajajo iz teh dogovorov ali paketov drugačna od tveganj posamezne storitve ali produkta, borznoposredniška družba zagotovi ustrezen opis posameznih storitev ali produktov dogovora ali paketa in obrazloži, zakaj njihovo povezovanje spreminja tveganja.</w:t>
      </w:r>
    </w:p>
    <w:p w14:paraId="12BC86C6" w14:textId="77777777" w:rsidR="00B95C51" w:rsidRPr="00B95C51" w:rsidRDefault="00B95C51" w:rsidP="00B95C51">
      <w:pPr>
        <w:spacing w:before="210" w:after="210"/>
        <w:rPr>
          <w:rFonts w:cs="Arial"/>
        </w:rPr>
      </w:pPr>
      <w:r w:rsidRPr="00B95C51">
        <w:rPr>
          <w:rFonts w:cs="Arial"/>
        </w:rPr>
        <w:t>(19) Informacije ali tržna sporočila iz prvega odstavka tega člena, katerih predmet je ponudba ali opravljanje investicijskih storitev in poslov, lahko daje ali objavlja le borznoposredniška družba ali njen odvisni borznoposredniški zastopnik. Borznoposredniška družba ali njen odvisni borznoposredniški zastopnik lahko pooblasti drugo osebo, da v njenem imenu daje ali objavlja informacije iz prejšnjega stavka. O danem ali preklicanem pooblastilu je treba obvestiti agencijo.</w:t>
      </w:r>
    </w:p>
    <w:p w14:paraId="658B0370" w14:textId="77777777" w:rsidR="00B95C51" w:rsidRPr="00B95C51" w:rsidRDefault="00B95C51" w:rsidP="00B95C51">
      <w:pPr>
        <w:spacing w:before="210" w:after="210"/>
        <w:rPr>
          <w:rFonts w:cs="Arial"/>
        </w:rPr>
      </w:pPr>
      <w:r w:rsidRPr="00B95C51">
        <w:rPr>
          <w:rFonts w:cs="Arial"/>
        </w:rPr>
        <w:t>(20) Če je naročilo stranke o nakupu ali prodaji finančnega instrumenta oddano po sredstvih za komuniciranje na daljavo, ki onemogočajo predhodno predložitev informacij o stroških in nadomestilih, borznoposredniška družba na zahtevo neprofesionalne stranke informacije o stroških in nadomestilih brez odlašanja posreduje po izvršitvi naročila v elektronski ali papirni obliki, če sta izpolnjena naslednja pogoja:</w:t>
      </w:r>
    </w:p>
    <w:p w14:paraId="210FD1A8" w14:textId="77777777" w:rsidR="00B95C51" w:rsidRPr="00B95C51" w:rsidRDefault="00B95C51" w:rsidP="00B95C51">
      <w:pPr>
        <w:spacing w:before="210" w:after="210"/>
        <w:rPr>
          <w:rFonts w:cs="Arial"/>
        </w:rPr>
      </w:pPr>
      <w:r w:rsidRPr="00B95C51">
        <w:rPr>
          <w:rFonts w:cs="Arial"/>
        </w:rPr>
        <w:t>1.      stranka se je strinjala, da prejme informacije brez nepotrebnega odlašanja po izvršitvi naročila;</w:t>
      </w:r>
    </w:p>
    <w:p w14:paraId="76EAD812" w14:textId="77777777" w:rsidR="00B95C51" w:rsidRPr="00B95C51" w:rsidRDefault="00B95C51" w:rsidP="00B95C51">
      <w:pPr>
        <w:spacing w:before="210" w:after="210"/>
        <w:rPr>
          <w:rFonts w:cs="Arial"/>
        </w:rPr>
      </w:pPr>
      <w:r w:rsidRPr="00B95C51">
        <w:rPr>
          <w:rFonts w:cs="Arial"/>
        </w:rPr>
        <w:t>2.      borznoposredniška družba je stranki omogočila, da se naročilo ne izvrši, dokler stranka ne prejme informacij.</w:t>
      </w:r>
    </w:p>
    <w:p w14:paraId="2A7013AA" w14:textId="77777777" w:rsidR="00B95C51" w:rsidRPr="00B95C51" w:rsidRDefault="00B95C51" w:rsidP="00B95C51">
      <w:pPr>
        <w:spacing w:before="210" w:after="210"/>
        <w:rPr>
          <w:rFonts w:cs="Arial"/>
        </w:rPr>
      </w:pPr>
      <w:r w:rsidRPr="00B95C51">
        <w:rPr>
          <w:rFonts w:cs="Arial"/>
        </w:rPr>
        <w:lastRenderedPageBreak/>
        <w:t>(21) Poleg zahtev iz prejšnjega odstavka mora borznoposredniška družba stranki ponuditi možnost, da prejme informacije o stroških in nadomestilih telefonsko pred izvršitvijo naročila.</w:t>
      </w:r>
    </w:p>
    <w:p w14:paraId="28AF349B" w14:textId="77777777" w:rsidR="00B95C51" w:rsidRPr="00B95C51" w:rsidRDefault="00B95C51" w:rsidP="00B95C51">
      <w:pPr>
        <w:spacing w:before="210" w:after="210"/>
        <w:rPr>
          <w:rFonts w:cs="Arial"/>
        </w:rPr>
      </w:pPr>
      <w:r w:rsidRPr="00B95C51">
        <w:rPr>
          <w:rFonts w:cs="Arial"/>
        </w:rPr>
        <w:t>(22) Borznoposredniška družba strankam ali potencialnim strankam zagotovi vse informacije, ki se zahtevajo na podlagi tega zakona, v elektronski obliki, razen kadar je stranka ali potencialna stranka neprofesionalna stranka ali potencialna neprofesionalna stranka, ki je zahtevala prejem informacij v papirni obliki. Takrat borznoposredniška družba brezplačno zagotovi informacije v papirni obliki.</w:t>
      </w:r>
    </w:p>
    <w:p w14:paraId="6481DB99" w14:textId="77777777" w:rsidR="00B95C51" w:rsidRPr="00B95C51" w:rsidRDefault="00B95C51" w:rsidP="00B95C51">
      <w:pPr>
        <w:spacing w:before="210" w:after="210"/>
        <w:rPr>
          <w:rFonts w:cs="Arial"/>
        </w:rPr>
      </w:pPr>
      <w:r w:rsidRPr="00B95C51">
        <w:rPr>
          <w:rFonts w:cs="Arial"/>
        </w:rPr>
        <w:t>(23) Borznoposredniška družba obvesti neprofesionalne stranke ali potencialne neprofesionalne stranke, da imajo možnost prejemanja informacij v papirni obliki.</w:t>
      </w:r>
    </w:p>
    <w:p w14:paraId="64D26CBF" w14:textId="77777777" w:rsidR="00B95C51" w:rsidRPr="00B95C51" w:rsidRDefault="00B95C51" w:rsidP="00B95C51">
      <w:pPr>
        <w:spacing w:before="210" w:after="210"/>
        <w:rPr>
          <w:rFonts w:cs="Arial"/>
        </w:rPr>
      </w:pPr>
      <w:r w:rsidRPr="00B95C51">
        <w:rPr>
          <w:rFonts w:cs="Arial"/>
        </w:rPr>
        <w:t>(24) Borznoposredniška družba obstoječe neprofesionalne stranke, ki so v preteklosti informacije, ki jih je treba zagotoviti na podlagi tega zakona, prejemale v papirni obliki, vsaj osem tednov pred pošiljanjem teh informacij v elektronski obliki obvesti o tem, da bodo te informacije prejele v elektronski obliki. Borznoposredniška družba obvesti te obstoječe neprofesionalne stranke, da lahko izberejo, ali bi informacije še naprej prejemale v papirni obliki ali pa bi jih odslej prejemale v elektronski obliki. Borznoposredniška družba obstoječe neprofesionalne stranke obvesti tudi o samodejnem prehodu na elektronsko obliko, če v teh osmih tednih ne bodo zahtevale nadaljnjega zagotavljanja informacij v papirni obliki. Obstoječih neprofesionalnih strank, ki informacije, ki jih je treba zagotoviti na podlagi tega zakona, že prejemajo v elektronski obliki, borznoposredniška družba ne obvešča.</w:t>
      </w:r>
    </w:p>
    <w:p w14:paraId="77A2D85D" w14:textId="77777777" w:rsidR="00B95C51" w:rsidRPr="00B95C51" w:rsidRDefault="00B95C51" w:rsidP="00B95C51">
      <w:pPr>
        <w:spacing w:before="210" w:after="210"/>
        <w:rPr>
          <w:rFonts w:cs="Arial"/>
        </w:rPr>
      </w:pPr>
      <w:r w:rsidRPr="00B95C51">
        <w:rPr>
          <w:rFonts w:cs="Arial"/>
        </w:rPr>
        <w:t>(25) Raziskave, ki jih za borznoposredniško družbo, ki opravlja storitev gospodarjenja s finančnimi instrumenti ali druge investicijske oziroma pomožne storitve strankam, izvajajo tretje osebe, delujejo v skladu z 252. členom tega zakona, če:</w:t>
      </w:r>
    </w:p>
    <w:p w14:paraId="3D536717" w14:textId="77777777" w:rsidR="00B95C51" w:rsidRPr="00B95C51" w:rsidRDefault="00B95C51" w:rsidP="00B95C51">
      <w:pPr>
        <w:spacing w:before="210" w:after="210"/>
        <w:rPr>
          <w:rFonts w:cs="Arial"/>
        </w:rPr>
      </w:pPr>
      <w:r w:rsidRPr="00B95C51">
        <w:rPr>
          <w:rFonts w:cs="Arial"/>
        </w:rPr>
        <w:t>1.      pred izvedbo naročila stranke ali ponujanja raziskav stranki borznoposredniška družba in ponudnik raziskav skleneta sporazum, ki določa, kolikšen delež vseh stroškov ali skupnih plačil za izvajanje izvršitev naročil strank in ponujanja raziskav je namenjen za raziskave;</w:t>
      </w:r>
    </w:p>
    <w:p w14:paraId="43A6A835" w14:textId="77777777" w:rsidR="00B95C51" w:rsidRPr="00B95C51" w:rsidRDefault="00B95C51" w:rsidP="00B95C51">
      <w:pPr>
        <w:spacing w:before="210" w:after="210"/>
        <w:rPr>
          <w:rFonts w:cs="Arial"/>
        </w:rPr>
      </w:pPr>
      <w:r w:rsidRPr="00B95C51">
        <w:rPr>
          <w:rFonts w:cs="Arial"/>
        </w:rPr>
        <w:t>2.      borznoposredniška družba svojo stranko obvesti o skupnih plačilih za izvajanje izvršitev naročil stranke in ponujanja raziskav, ki se izplačajo tretji osebi, ki pripravlja raziskave; in</w:t>
      </w:r>
    </w:p>
    <w:p w14:paraId="6B8FE4B3" w14:textId="77777777" w:rsidR="00B95C51" w:rsidRPr="00B95C51" w:rsidRDefault="00B95C51" w:rsidP="00B95C51">
      <w:pPr>
        <w:spacing w:before="210" w:after="210"/>
        <w:rPr>
          <w:rFonts w:cs="Arial"/>
        </w:rPr>
      </w:pPr>
      <w:r w:rsidRPr="00B95C51">
        <w:rPr>
          <w:rFonts w:cs="Arial"/>
        </w:rPr>
        <w:t>3.      se raziskave, za katere je bil izplačan delež stroškov ali je bilo opravljeno skupno plačilo, nanašajo na izdajatelje, katerih tržna kapitalizacija v 36 mesecih pred izvedbo raziskav ni presegla 1 milijarde eurov. Tržna kapitalizacija je izražena po cenah ob koncu leta, če so bili izdajatelji v tem letu uvrščeni na organizirani trg, ali kot lastna sredstva za tista finančna leta, v katerih izdajatelji niso bili uvrščeni na organizirani trg.</w:t>
      </w:r>
    </w:p>
    <w:p w14:paraId="0A459301" w14:textId="77777777" w:rsidR="00B95C51" w:rsidRPr="00B95C51" w:rsidRDefault="00B95C51" w:rsidP="00B95C51">
      <w:pPr>
        <w:spacing w:before="210" w:after="210"/>
        <w:rPr>
          <w:rFonts w:cs="Arial"/>
        </w:rPr>
      </w:pPr>
      <w:r w:rsidRPr="00B95C51">
        <w:rPr>
          <w:rFonts w:cs="Arial"/>
        </w:rPr>
        <w:t>(26) Za namene tega člena se raziskave razumejo kot raziskovalno gradivo ali storitve za raziskave, ki se nanašajo na enega ali več finančnih instrumentov ali drugih sredstev ali izdajatelje ali morebitne izdajatelje finančnih instrumentov, oziroma kot raziskovalno gradivo ali storitve za raziskave, ki so tesno povezane z določenim sektorjem ali trgom in zadevajo oblikovanje stališč o finančnih instrumentih, sredstvih ali izdajateljih v tem sektorju ali na trgu.</w:t>
      </w:r>
    </w:p>
    <w:p w14:paraId="325C571A" w14:textId="2A25371A" w:rsidR="00B95C51" w:rsidRDefault="00B95C51" w:rsidP="00B95C51">
      <w:pPr>
        <w:spacing w:before="210" w:after="210"/>
        <w:rPr>
          <w:rFonts w:cs="Arial"/>
        </w:rPr>
      </w:pPr>
      <w:r w:rsidRPr="00B95C51">
        <w:rPr>
          <w:rFonts w:cs="Arial"/>
        </w:rPr>
        <w:t>(27) Raziskave obsegajo tudi gradivo ali storitve, ki izrecno ali implicitno priporočajo ali predlagajo investicijsko strategijo ter zagotavljajo utemeljeno mnenje o sedanji ali prihodnji vrednosti ali ceni finančnih instrumentov oziroma sredstev ali drugače vsebujejo analize in izvirne ugotovitve ter zaključke, sprejete na podlagi novih ali obstoječih informacij, ki bi se lahko uporabili pri obveščanju za namene investicijske strategije in bi zaradi svojega pomena ustvarili dodano vrednost pri odločitvah borznoposredniške družbe v imenu njenih strank, katerim zaračuna te raziskave.</w:t>
      </w:r>
    </w:p>
    <w:p w14:paraId="1626CECA" w14:textId="77777777" w:rsidR="00B95C51" w:rsidRPr="005960F5" w:rsidRDefault="00B95C51">
      <w:pPr>
        <w:spacing w:before="210" w:after="210"/>
        <w:rPr>
          <w:rFonts w:cs="Arial"/>
          <w:sz w:val="21"/>
        </w:rPr>
      </w:pPr>
    </w:p>
    <w:p w14:paraId="1D3E4AEA" w14:textId="77777777" w:rsidR="000317F7" w:rsidRPr="005960F5" w:rsidRDefault="00F06B25">
      <w:pPr>
        <w:pStyle w:val="center"/>
        <w:spacing w:before="210" w:after="210"/>
        <w:rPr>
          <w:rFonts w:cs="Arial"/>
          <w:b/>
          <w:sz w:val="21"/>
        </w:rPr>
      </w:pPr>
      <w:r w:rsidRPr="005960F5">
        <w:rPr>
          <w:rFonts w:cs="Arial"/>
          <w:b/>
          <w:sz w:val="21"/>
        </w:rPr>
        <w:t>261. člen</w:t>
      </w:r>
    </w:p>
    <w:p w14:paraId="79CCB863" w14:textId="77777777" w:rsidR="000317F7" w:rsidRPr="005960F5" w:rsidRDefault="00F06B25">
      <w:pPr>
        <w:pStyle w:val="center"/>
        <w:spacing w:before="210" w:after="210"/>
        <w:rPr>
          <w:rFonts w:cs="Arial"/>
          <w:b/>
          <w:sz w:val="21"/>
        </w:rPr>
      </w:pPr>
      <w:r w:rsidRPr="005960F5">
        <w:rPr>
          <w:rFonts w:cs="Arial"/>
          <w:b/>
          <w:sz w:val="21"/>
        </w:rPr>
        <w:t>(predpisi o opravljanju investicijskih storitev in poslov)</w:t>
      </w:r>
    </w:p>
    <w:p w14:paraId="3DCAB5CF" w14:textId="77777777" w:rsidR="000317F7" w:rsidRPr="005960F5" w:rsidRDefault="00F06B25">
      <w:pPr>
        <w:spacing w:before="210" w:after="210"/>
        <w:rPr>
          <w:rFonts w:cs="Arial"/>
          <w:sz w:val="21"/>
        </w:rPr>
      </w:pPr>
      <w:r w:rsidRPr="005960F5">
        <w:rPr>
          <w:rFonts w:cs="Arial"/>
        </w:rPr>
        <w:t>(1) Agencija predpiše:</w:t>
      </w:r>
    </w:p>
    <w:p w14:paraId="24ADAC2E" w14:textId="77777777" w:rsidR="000317F7" w:rsidRPr="005960F5" w:rsidRDefault="00F06B25">
      <w:pPr>
        <w:spacing w:before="210" w:after="210"/>
        <w:rPr>
          <w:rFonts w:cs="Arial"/>
          <w:sz w:val="21"/>
        </w:rPr>
      </w:pPr>
      <w:r w:rsidRPr="005960F5">
        <w:rPr>
          <w:rFonts w:cs="Arial"/>
        </w:rPr>
        <w:t>1.      podrobnejša pravila o pripravljanju finančnih instrumentov za prodajo strankam in upravljanja teh instrumentov iz 233. in 253. člena tega zakona,</w:t>
      </w:r>
    </w:p>
    <w:p w14:paraId="35B31C5B" w14:textId="77777777" w:rsidR="000317F7" w:rsidRPr="005960F5" w:rsidRDefault="00F06B25">
      <w:pPr>
        <w:spacing w:before="210" w:after="210"/>
        <w:rPr>
          <w:rFonts w:cs="Arial"/>
          <w:sz w:val="21"/>
        </w:rPr>
      </w:pPr>
      <w:r w:rsidRPr="005960F5">
        <w:rPr>
          <w:rFonts w:cs="Arial"/>
        </w:rPr>
        <w:t>2.      podrobnejši način vodenja evidenc in hrambo dokumentacije iz 237. člena tega zakona,</w:t>
      </w:r>
    </w:p>
    <w:p w14:paraId="33539904" w14:textId="77777777" w:rsidR="000317F7" w:rsidRPr="005960F5" w:rsidRDefault="00F06B25">
      <w:pPr>
        <w:spacing w:before="210" w:after="210"/>
        <w:rPr>
          <w:rFonts w:cs="Arial"/>
          <w:sz w:val="21"/>
        </w:rPr>
      </w:pPr>
      <w:r w:rsidRPr="005960F5">
        <w:rPr>
          <w:rFonts w:cs="Arial"/>
        </w:rPr>
        <w:t>3.      podrobnejša pravila o ravnanju s finančnimi instrumenti in denarnim dobroimetjem strank ter prenosu lastninske pravice v zavarovanje iz 239. do 241. člena tega zakona,</w:t>
      </w:r>
    </w:p>
    <w:p w14:paraId="2921ECA5" w14:textId="77777777" w:rsidR="000317F7" w:rsidRPr="005960F5" w:rsidRDefault="00F06B25">
      <w:pPr>
        <w:spacing w:before="210" w:after="210"/>
        <w:rPr>
          <w:rFonts w:cs="Arial"/>
          <w:sz w:val="21"/>
        </w:rPr>
      </w:pPr>
      <w:r w:rsidRPr="005960F5">
        <w:rPr>
          <w:rFonts w:cs="Arial"/>
        </w:rPr>
        <w:t>4.      podrobnejša pravila o prejemanju provizij, spodbud ali katerihkoli drugih denarnih ali nedenarnih koristi v zvezi z opravljanjem investicijskih storitev in poslov ter pomožnih investicijskih storitev za stranke od tretjih oseb iz 251. člena tega zakona,</w:t>
      </w:r>
    </w:p>
    <w:p w14:paraId="158046A4" w14:textId="77777777" w:rsidR="000317F7" w:rsidRPr="005960F5" w:rsidRDefault="00F06B25">
      <w:pPr>
        <w:spacing w:before="210" w:after="210"/>
        <w:rPr>
          <w:rFonts w:cs="Arial"/>
          <w:sz w:val="21"/>
        </w:rPr>
      </w:pPr>
      <w:r w:rsidRPr="005960F5">
        <w:rPr>
          <w:rFonts w:cs="Arial"/>
        </w:rPr>
        <w:t>5.      podrobnejša pravila o vodenju, pogojih za vpis in javni dostopnosti registra odvisnih borznoposredniških zastopnikov,</w:t>
      </w:r>
    </w:p>
    <w:p w14:paraId="7522CD1A" w14:textId="77777777" w:rsidR="000317F7" w:rsidRPr="005960F5" w:rsidRDefault="00F06B25">
      <w:pPr>
        <w:spacing w:before="210" w:after="210"/>
        <w:rPr>
          <w:rFonts w:cs="Arial"/>
          <w:sz w:val="21"/>
        </w:rPr>
      </w:pPr>
      <w:r w:rsidRPr="005960F5">
        <w:rPr>
          <w:rFonts w:cs="Arial"/>
        </w:rPr>
        <w:t>6.      druga podrobnejša pravila o opravljanju investicijskih storitev in poslov za stranke.</w:t>
      </w:r>
    </w:p>
    <w:p w14:paraId="5323623E" w14:textId="77777777" w:rsidR="000317F7" w:rsidRPr="005960F5" w:rsidRDefault="00F06B25">
      <w:pPr>
        <w:spacing w:before="210" w:after="210"/>
        <w:rPr>
          <w:rFonts w:cs="Arial"/>
          <w:sz w:val="21"/>
        </w:rPr>
      </w:pPr>
      <w:r w:rsidRPr="005960F5">
        <w:rPr>
          <w:rFonts w:cs="Arial"/>
        </w:rPr>
        <w:t>(2) Agencija pred sprejemom predpisov iz 1., 3. in 4. točke prejšnjega odstavka predhodno pridobi mnenje ministrstva, pristojnega za finance.</w:t>
      </w:r>
    </w:p>
    <w:p w14:paraId="0F7CD1D9" w14:textId="77777777" w:rsidR="000317F7" w:rsidRPr="005960F5" w:rsidRDefault="00F06B25">
      <w:pPr>
        <w:pStyle w:val="center"/>
        <w:spacing w:before="210" w:after="210"/>
        <w:rPr>
          <w:rFonts w:cs="Arial"/>
          <w:b/>
          <w:sz w:val="21"/>
        </w:rPr>
      </w:pPr>
      <w:r w:rsidRPr="005960F5">
        <w:rPr>
          <w:rFonts w:cs="Arial"/>
          <w:b/>
          <w:sz w:val="21"/>
        </w:rPr>
        <w:t>316. člen</w:t>
      </w:r>
    </w:p>
    <w:p w14:paraId="428B25D5" w14:textId="77777777" w:rsidR="000317F7" w:rsidRPr="005960F5" w:rsidRDefault="00F06B25">
      <w:pPr>
        <w:pStyle w:val="center"/>
        <w:spacing w:before="210" w:after="210"/>
        <w:rPr>
          <w:rFonts w:cs="Arial"/>
          <w:b/>
          <w:sz w:val="21"/>
        </w:rPr>
      </w:pPr>
      <w:r w:rsidRPr="005960F5">
        <w:rPr>
          <w:rFonts w:cs="Arial"/>
          <w:b/>
          <w:sz w:val="21"/>
        </w:rPr>
        <w:t>(pravila MTF in OTF)</w:t>
      </w:r>
    </w:p>
    <w:p w14:paraId="6F373877" w14:textId="77777777" w:rsidR="000317F7" w:rsidRPr="005960F5" w:rsidRDefault="00F06B25">
      <w:pPr>
        <w:spacing w:before="210" w:after="210"/>
        <w:rPr>
          <w:rFonts w:cs="Arial"/>
          <w:sz w:val="21"/>
        </w:rPr>
      </w:pPr>
      <w:r w:rsidRPr="005960F5">
        <w:rPr>
          <w:rFonts w:cs="Arial"/>
        </w:rPr>
        <w:t>(1) Upravljavec MTF ali OTF določi, objavi, vzdržuje in izvaja:</w:t>
      </w:r>
    </w:p>
    <w:p w14:paraId="347E1023" w14:textId="77777777" w:rsidR="000317F7" w:rsidRPr="005960F5" w:rsidRDefault="00F06B25">
      <w:pPr>
        <w:spacing w:before="210" w:after="210"/>
        <w:rPr>
          <w:rFonts w:cs="Arial"/>
          <w:sz w:val="21"/>
        </w:rPr>
      </w:pPr>
      <w:r w:rsidRPr="005960F5">
        <w:rPr>
          <w:rFonts w:cs="Arial"/>
        </w:rPr>
        <w:t>1.      pregledna in vnaprej določena pravila in postopke za pošteno in urejeno trgovanje v MTF ali OTF,</w:t>
      </w:r>
    </w:p>
    <w:p w14:paraId="633DDF90" w14:textId="77777777" w:rsidR="000317F7" w:rsidRPr="005960F5" w:rsidRDefault="00F06B25">
      <w:pPr>
        <w:spacing w:before="210" w:after="210"/>
        <w:rPr>
          <w:rFonts w:cs="Arial"/>
          <w:sz w:val="21"/>
        </w:rPr>
      </w:pPr>
      <w:r w:rsidRPr="005960F5">
        <w:rPr>
          <w:rFonts w:cs="Arial"/>
        </w:rPr>
        <w:t>2.      objektivna merila in zahteve za učinkovito izvrševanje naročil v MTF ali OTF,</w:t>
      </w:r>
    </w:p>
    <w:p w14:paraId="57B670C7" w14:textId="77777777" w:rsidR="000317F7" w:rsidRPr="005960F5" w:rsidRDefault="00F06B25">
      <w:pPr>
        <w:spacing w:before="210" w:after="210"/>
        <w:rPr>
          <w:rFonts w:cs="Arial"/>
          <w:sz w:val="21"/>
        </w:rPr>
      </w:pPr>
      <w:r w:rsidRPr="005960F5">
        <w:rPr>
          <w:rFonts w:cs="Arial"/>
        </w:rPr>
        <w:t>3.      pregledna pravila glede meril za določitev finančnih instrumentov, s katerimi se lahko trguje v MTF ali OTF,</w:t>
      </w:r>
    </w:p>
    <w:p w14:paraId="0D11577D" w14:textId="77777777" w:rsidR="000317F7" w:rsidRPr="005960F5" w:rsidRDefault="00F06B25">
      <w:pPr>
        <w:spacing w:before="210" w:after="210"/>
        <w:rPr>
          <w:rFonts w:cs="Arial"/>
          <w:sz w:val="21"/>
        </w:rPr>
      </w:pPr>
      <w:r w:rsidRPr="005960F5">
        <w:rPr>
          <w:rFonts w:cs="Arial"/>
        </w:rPr>
        <w:t xml:space="preserve">4.      pregledna in </w:t>
      </w:r>
      <w:proofErr w:type="spellStart"/>
      <w:r w:rsidRPr="005960F5">
        <w:rPr>
          <w:rFonts w:cs="Arial"/>
        </w:rPr>
        <w:t>nediskriminatorna</w:t>
      </w:r>
      <w:proofErr w:type="spellEnd"/>
      <w:r w:rsidRPr="005960F5">
        <w:rPr>
          <w:rFonts w:cs="Arial"/>
        </w:rPr>
        <w:t xml:space="preserve"> pravila o dostopu do MTF ali OTF.</w:t>
      </w:r>
    </w:p>
    <w:p w14:paraId="6D561E0A" w14:textId="77777777" w:rsidR="000317F7" w:rsidRPr="005960F5" w:rsidRDefault="00F06B25">
      <w:pPr>
        <w:spacing w:before="210" w:after="210"/>
        <w:rPr>
          <w:rFonts w:cs="Arial"/>
          <w:sz w:val="21"/>
        </w:rPr>
      </w:pPr>
      <w:r w:rsidRPr="005960F5">
        <w:rPr>
          <w:rFonts w:cs="Arial"/>
        </w:rPr>
        <w:t>(2) Za pravila iz 4. točke prvega odstavka tega člena se smiselno uporabljajo drugi odstavek 410. člena ter 1. in 2. točka prvega odstavka in drugi odstavek 411. člena tega zakona.</w:t>
      </w:r>
    </w:p>
    <w:p w14:paraId="1BCB585A" w14:textId="77777777" w:rsidR="000317F7" w:rsidRDefault="00F06B25">
      <w:pPr>
        <w:spacing w:before="210" w:after="210"/>
        <w:rPr>
          <w:rFonts w:cs="Arial"/>
        </w:rPr>
      </w:pPr>
      <w:r w:rsidRPr="005960F5">
        <w:rPr>
          <w:rFonts w:cs="Arial"/>
        </w:rPr>
        <w:t>(3) Upravljavec MTF ali OTF posluje v skladu s 374. do 377. členom, drugim odstavkom 382. člena, drugim in petim odstavkom 386. člena tega zakona ter vzpostavi in uresničuje sisteme in postopke za ta namen.</w:t>
      </w:r>
    </w:p>
    <w:p w14:paraId="71F9C02D" w14:textId="77777777" w:rsidR="00A25314" w:rsidRPr="004324ED" w:rsidRDefault="00A25314" w:rsidP="004324ED">
      <w:pPr>
        <w:pStyle w:val="center"/>
        <w:spacing w:before="210" w:after="210"/>
        <w:rPr>
          <w:rFonts w:cs="Arial"/>
          <w:b/>
          <w:sz w:val="21"/>
        </w:rPr>
      </w:pPr>
      <w:r w:rsidRPr="004324ED">
        <w:rPr>
          <w:rFonts w:cs="Arial"/>
          <w:b/>
          <w:sz w:val="21"/>
        </w:rPr>
        <w:t>317. člen</w:t>
      </w:r>
    </w:p>
    <w:p w14:paraId="154E60A8" w14:textId="77777777" w:rsidR="00A25314" w:rsidRPr="004324ED" w:rsidRDefault="00A25314" w:rsidP="004324ED">
      <w:pPr>
        <w:pStyle w:val="center"/>
        <w:spacing w:before="210" w:after="210"/>
        <w:rPr>
          <w:rFonts w:cs="Arial"/>
          <w:b/>
          <w:sz w:val="21"/>
        </w:rPr>
      </w:pPr>
      <w:r w:rsidRPr="004324ED">
        <w:rPr>
          <w:rFonts w:cs="Arial"/>
          <w:b/>
          <w:sz w:val="21"/>
        </w:rPr>
        <w:t>(razkritje informacij o MTF in OTF)</w:t>
      </w:r>
    </w:p>
    <w:p w14:paraId="6C571D5B" w14:textId="7ADECC7E" w:rsidR="00A25314" w:rsidRDefault="00A25314" w:rsidP="00A25314">
      <w:pPr>
        <w:spacing w:before="210" w:after="210"/>
        <w:rPr>
          <w:rFonts w:cs="Arial"/>
        </w:rPr>
      </w:pPr>
      <w:r w:rsidRPr="00A25314">
        <w:rPr>
          <w:rFonts w:cs="Arial"/>
        </w:rPr>
        <w:lastRenderedPageBreak/>
        <w:t>Upravljavec MTF ali OTF zagotovi, da so javno dostopne zadostne informacije, ki omogočajo uporabnikom MTF ali OTF oblikovanje investicijske presoje ob upoštevanju značilnosti uporabnikov sistema in vrst finančnih instrumentov, s katerimi se trguje v sistemu.</w:t>
      </w:r>
    </w:p>
    <w:p w14:paraId="63092BC4" w14:textId="77777777" w:rsidR="000317F7" w:rsidRPr="005960F5" w:rsidRDefault="00F06B25">
      <w:pPr>
        <w:pStyle w:val="center"/>
        <w:spacing w:before="210" w:after="210"/>
        <w:rPr>
          <w:rFonts w:cs="Arial"/>
          <w:b/>
          <w:sz w:val="21"/>
        </w:rPr>
      </w:pPr>
      <w:r w:rsidRPr="005960F5">
        <w:rPr>
          <w:rFonts w:cs="Arial"/>
          <w:b/>
          <w:sz w:val="21"/>
        </w:rPr>
        <w:t>326. člen</w:t>
      </w:r>
    </w:p>
    <w:p w14:paraId="71E0EB72" w14:textId="77777777" w:rsidR="000317F7" w:rsidRPr="005960F5" w:rsidRDefault="00F06B25">
      <w:pPr>
        <w:pStyle w:val="center"/>
        <w:spacing w:before="210" w:after="210"/>
        <w:rPr>
          <w:rFonts w:cs="Arial"/>
          <w:b/>
          <w:sz w:val="21"/>
        </w:rPr>
      </w:pPr>
      <w:r w:rsidRPr="005960F5">
        <w:rPr>
          <w:rFonts w:cs="Arial"/>
          <w:b/>
          <w:sz w:val="21"/>
        </w:rPr>
        <w:t>(registracija razvojnega trga MSP)</w:t>
      </w:r>
    </w:p>
    <w:p w14:paraId="5CB56E2C" w14:textId="77777777" w:rsidR="000317F7" w:rsidRPr="005960F5" w:rsidRDefault="00F06B25">
      <w:pPr>
        <w:spacing w:before="210" w:after="210"/>
        <w:rPr>
          <w:rFonts w:cs="Arial"/>
          <w:sz w:val="21"/>
        </w:rPr>
      </w:pPr>
      <w:r w:rsidRPr="005960F5">
        <w:rPr>
          <w:rFonts w:cs="Arial"/>
        </w:rPr>
        <w:t>(1) Upravljavec MTF s sedežem v Republiki Sloveniji lahko pri agenciji vloži zahtevo, da se MTF registrira kot razvojni trg MSP.</w:t>
      </w:r>
    </w:p>
    <w:p w14:paraId="37506E45" w14:textId="77777777" w:rsidR="000317F7" w:rsidRPr="005960F5" w:rsidRDefault="00F06B25">
      <w:pPr>
        <w:spacing w:before="210" w:after="210"/>
        <w:rPr>
          <w:rFonts w:cs="Arial"/>
          <w:sz w:val="21"/>
        </w:rPr>
      </w:pPr>
      <w:r w:rsidRPr="005960F5">
        <w:rPr>
          <w:rFonts w:cs="Arial"/>
        </w:rPr>
        <w:t>(2) Agencija registrira MTF kot razvojni trg MSP, če iz zahteve iz prejšnjega odstavka izhaja, da so izpolnjeni pogoji iz tega člena.</w:t>
      </w:r>
    </w:p>
    <w:p w14:paraId="23A31034" w14:textId="77777777" w:rsidR="000317F7" w:rsidRPr="005960F5" w:rsidRDefault="00F06B25">
      <w:pPr>
        <w:spacing w:before="210" w:after="210"/>
        <w:rPr>
          <w:rFonts w:cs="Arial"/>
          <w:sz w:val="21"/>
        </w:rPr>
      </w:pPr>
      <w:r w:rsidRPr="005960F5">
        <w:rPr>
          <w:rFonts w:cs="Arial"/>
        </w:rPr>
        <w:t>(3) Razvojni trg MSP lahko postane MTF, če izpolnjuje naslednje pogoje:</w:t>
      </w:r>
    </w:p>
    <w:p w14:paraId="41B16B24" w14:textId="77777777" w:rsidR="000317F7" w:rsidRPr="005960F5" w:rsidRDefault="00F06B25">
      <w:pPr>
        <w:spacing w:before="210" w:after="210"/>
        <w:rPr>
          <w:rFonts w:cs="Arial"/>
          <w:sz w:val="21"/>
        </w:rPr>
      </w:pPr>
      <w:r w:rsidRPr="005960F5">
        <w:rPr>
          <w:rFonts w:cs="Arial"/>
        </w:rPr>
        <w:t>1.      v času registracije razvojnega trga MSP in vsako koledarsko leto po tem vsaj 50 % izdajateljev, katerih finančni instrumenti so uvrščeni v trgovanje na MTF, predstavljajo mala in srednja podjetja, kot jih določa drugi odstavek 31. člena tega zakona,</w:t>
      </w:r>
    </w:p>
    <w:p w14:paraId="4E680C29" w14:textId="77777777" w:rsidR="000317F7" w:rsidRPr="005960F5" w:rsidRDefault="00F06B25">
      <w:pPr>
        <w:spacing w:before="210" w:after="210"/>
        <w:rPr>
          <w:rFonts w:cs="Arial"/>
          <w:sz w:val="21"/>
        </w:rPr>
      </w:pPr>
      <w:r w:rsidRPr="005960F5">
        <w:rPr>
          <w:rFonts w:cs="Arial"/>
        </w:rPr>
        <w:t>2.      sprejme ustrezna merila za sprejem v trgovanje in nadaljnje trgovanje s finančnimi instrumenti izdajateljev na tem trgu,</w:t>
      </w:r>
    </w:p>
    <w:p w14:paraId="08A750B2" w14:textId="77777777" w:rsidR="000317F7" w:rsidRPr="005960F5" w:rsidRDefault="00F06B25">
      <w:pPr>
        <w:spacing w:before="210" w:after="210"/>
        <w:rPr>
          <w:rFonts w:cs="Arial"/>
          <w:sz w:val="21"/>
        </w:rPr>
      </w:pPr>
      <w:r w:rsidRPr="005960F5">
        <w:rPr>
          <w:rFonts w:cs="Arial"/>
        </w:rPr>
        <w:t xml:space="preserve">3.      ob sprejemu v trgovanje so javno dostopne zadostne informacije, ki omogočajo vlagateljem oblikovanje investicijske presoje o naložbi v finančni instrument. Te informacije so na voljo v obliki </w:t>
      </w:r>
      <w:proofErr w:type="spellStart"/>
      <w:r w:rsidRPr="005960F5">
        <w:rPr>
          <w:rFonts w:cs="Arial"/>
        </w:rPr>
        <w:t>uvrstitvenega</w:t>
      </w:r>
      <w:proofErr w:type="spellEnd"/>
      <w:r w:rsidRPr="005960F5">
        <w:rPr>
          <w:rFonts w:cs="Arial"/>
        </w:rPr>
        <w:t xml:space="preserve"> dokumenta ali v obliki prospekta, če so izpolnjeni pogoji za objavo prospekta iz 2. poglavja tega zakona in se finančni instrument uvršča v trgovanje v povezavi z izdajo prospekta,</w:t>
      </w:r>
    </w:p>
    <w:p w14:paraId="15CF814D" w14:textId="77777777" w:rsidR="000317F7" w:rsidRPr="005960F5" w:rsidRDefault="00F06B25">
      <w:pPr>
        <w:spacing w:before="210" w:after="210"/>
        <w:rPr>
          <w:rFonts w:cs="Arial"/>
          <w:sz w:val="21"/>
        </w:rPr>
      </w:pPr>
      <w:r w:rsidRPr="005960F5">
        <w:rPr>
          <w:rFonts w:cs="Arial"/>
        </w:rPr>
        <w:t>4.      zagotovljeno je zadostno redno finančno poročanje, kot na primer letno revidirano finančno poročilo, s strani izdajatelja ali druge osebe za izdajatelja,</w:t>
      </w:r>
    </w:p>
    <w:p w14:paraId="54A02922" w14:textId="3D63819D" w:rsidR="000317F7" w:rsidRPr="005960F5" w:rsidRDefault="00F06B25">
      <w:pPr>
        <w:spacing w:before="210" w:after="210"/>
        <w:rPr>
          <w:rFonts w:cs="Arial"/>
          <w:sz w:val="21"/>
        </w:rPr>
      </w:pPr>
      <w:r w:rsidRPr="005960F5">
        <w:rPr>
          <w:rFonts w:cs="Arial"/>
        </w:rPr>
        <w:t>5.      izdajatelji na tem MTF kot jih določa 21. točka, osebe, ki v izdajateljih opravljajo poslovodne naloge kot jih določa 25. točka, in osebe, ki so z njimi tesno povezane, kot jih določa 26. točka prvega odstavka 3. člena</w:t>
      </w:r>
      <w:r w:rsidR="00B17B71" w:rsidRPr="005960F5">
        <w:rPr>
          <w:rFonts w:cs="Arial"/>
        </w:rPr>
        <w:t xml:space="preserve"> </w:t>
      </w:r>
      <w:r w:rsidRPr="005960F5">
        <w:rPr>
          <w:rFonts w:cs="Arial"/>
        </w:rPr>
        <w:t>Uredbe 596/2014/EU, izvršujejo obveznosti, kot jih določa</w:t>
      </w:r>
      <w:r w:rsidR="00B17B71" w:rsidRPr="005960F5">
        <w:rPr>
          <w:rFonts w:cs="Arial"/>
        </w:rPr>
        <w:t xml:space="preserve"> </w:t>
      </w:r>
      <w:r w:rsidRPr="005960F5">
        <w:rPr>
          <w:rFonts w:cs="Arial"/>
        </w:rPr>
        <w:t>Uredba 596/2014/EU,</w:t>
      </w:r>
    </w:p>
    <w:p w14:paraId="1F56E61B" w14:textId="77777777" w:rsidR="000317F7" w:rsidRPr="005960F5" w:rsidRDefault="00F06B25">
      <w:pPr>
        <w:spacing w:before="210" w:after="210"/>
        <w:rPr>
          <w:rFonts w:cs="Arial"/>
          <w:sz w:val="21"/>
        </w:rPr>
      </w:pPr>
      <w:r w:rsidRPr="005960F5">
        <w:rPr>
          <w:rFonts w:cs="Arial"/>
        </w:rPr>
        <w:t>6.      informacije o izdajateljih na tem MTF, ki jih predpisujejo predpisi, se hranijo in javno objavljajo,</w:t>
      </w:r>
    </w:p>
    <w:p w14:paraId="63C64ABC" w14:textId="748D18FA" w:rsidR="000317F7" w:rsidRPr="005960F5" w:rsidRDefault="00F06B25">
      <w:pPr>
        <w:spacing w:before="210" w:after="210"/>
        <w:rPr>
          <w:rFonts w:cs="Arial"/>
          <w:sz w:val="21"/>
        </w:rPr>
      </w:pPr>
      <w:r w:rsidRPr="005960F5">
        <w:rPr>
          <w:rFonts w:cs="Arial"/>
        </w:rPr>
        <w:t>7.      MTF ima učinkovite sisteme in ukrepe, ki preprečujejo in zaznavajo zlorabe trga na tem trgu v skladu z</w:t>
      </w:r>
      <w:r w:rsidR="00B17B71" w:rsidRPr="005960F5">
        <w:rPr>
          <w:rFonts w:cs="Arial"/>
        </w:rPr>
        <w:t xml:space="preserve"> </w:t>
      </w:r>
      <w:r w:rsidRPr="005960F5">
        <w:rPr>
          <w:rFonts w:cs="Arial"/>
        </w:rPr>
        <w:t>Uredbo 596/2014/EU.</w:t>
      </w:r>
    </w:p>
    <w:p w14:paraId="492DFF97" w14:textId="77777777" w:rsidR="000317F7" w:rsidRPr="005960F5" w:rsidRDefault="00F06B25">
      <w:pPr>
        <w:spacing w:before="210" w:after="210"/>
        <w:rPr>
          <w:rFonts w:cs="Arial"/>
          <w:sz w:val="21"/>
        </w:rPr>
      </w:pPr>
      <w:r w:rsidRPr="005960F5">
        <w:rPr>
          <w:rFonts w:cs="Arial"/>
        </w:rPr>
        <w:t>(4) Pogoji iz prejšnjega odstavka ne vplivajo na druge obveznosti upravljavca MTF, ki jih ima v skladu s tem zakonom, niti mu ne preprečujejo, da za svoj sistem ne postavi dodatnih pogojev.</w:t>
      </w:r>
    </w:p>
    <w:p w14:paraId="04B30FE9" w14:textId="77777777" w:rsidR="000317F7" w:rsidRPr="005960F5" w:rsidRDefault="00F06B25">
      <w:pPr>
        <w:spacing w:before="210" w:after="210"/>
        <w:rPr>
          <w:rFonts w:cs="Arial"/>
          <w:sz w:val="21"/>
        </w:rPr>
      </w:pPr>
      <w:r w:rsidRPr="005960F5">
        <w:rPr>
          <w:rFonts w:cs="Arial"/>
        </w:rPr>
        <w:t>(5) Agencija MTF s sedežem v Republiki Sloveniji odvzame registracijo razvojnega trga MSP, če:</w:t>
      </w:r>
    </w:p>
    <w:p w14:paraId="64761F21" w14:textId="77777777" w:rsidR="000317F7" w:rsidRPr="005960F5" w:rsidRDefault="00F06B25">
      <w:pPr>
        <w:spacing w:before="210" w:after="210"/>
        <w:rPr>
          <w:rFonts w:cs="Arial"/>
          <w:sz w:val="21"/>
        </w:rPr>
      </w:pPr>
      <w:r w:rsidRPr="005960F5">
        <w:rPr>
          <w:rFonts w:cs="Arial"/>
        </w:rPr>
        <w:t>1.      to zahteva upravljavec MTF,</w:t>
      </w:r>
    </w:p>
    <w:p w14:paraId="22952BC0" w14:textId="77777777" w:rsidR="000317F7" w:rsidRPr="005960F5" w:rsidRDefault="00F06B25">
      <w:pPr>
        <w:spacing w:before="210" w:after="210"/>
        <w:rPr>
          <w:rFonts w:cs="Arial"/>
          <w:sz w:val="21"/>
        </w:rPr>
      </w:pPr>
      <w:r w:rsidRPr="005960F5">
        <w:rPr>
          <w:rFonts w:cs="Arial"/>
        </w:rPr>
        <w:t>2.      ne izpolnjuje pogojev iz tretjega odstavka tega člena.</w:t>
      </w:r>
    </w:p>
    <w:p w14:paraId="4FBC3AC4" w14:textId="77777777" w:rsidR="000317F7" w:rsidRPr="005960F5" w:rsidRDefault="00F06B25">
      <w:pPr>
        <w:spacing w:before="210" w:after="210"/>
        <w:rPr>
          <w:rFonts w:cs="Arial"/>
          <w:sz w:val="21"/>
        </w:rPr>
      </w:pPr>
      <w:r w:rsidRPr="005960F5">
        <w:rPr>
          <w:rFonts w:cs="Arial"/>
        </w:rPr>
        <w:t>(6) Agencija o registraciji razvojnega trga MSP in odvzemu registracije nemudoma obvesti ESMA.</w:t>
      </w:r>
    </w:p>
    <w:p w14:paraId="03275F21" w14:textId="77777777" w:rsidR="000317F7" w:rsidRDefault="00F06B25">
      <w:pPr>
        <w:spacing w:before="210" w:after="210"/>
        <w:rPr>
          <w:rFonts w:cs="Arial"/>
        </w:rPr>
      </w:pPr>
      <w:r w:rsidRPr="005960F5">
        <w:rPr>
          <w:rFonts w:cs="Arial"/>
        </w:rPr>
        <w:lastRenderedPageBreak/>
        <w:t>(7) Finančni instrument izdajatelja, ki je sprejet v trgovanje na razvojnem trgu MSP, se lahko v trgovanje na drugem razvojnem trgu MSP uvrsti le, če je bil izdajatelj o tem obveščen in temu ni nasprotoval. V tem primeru izdajatelj do drugega razvojnega trga MSP nima nobenih obveznosti.</w:t>
      </w:r>
    </w:p>
    <w:p w14:paraId="7E245A91" w14:textId="5A9AC23E" w:rsidR="00DA4E3F" w:rsidRPr="005960F5" w:rsidRDefault="00DA4E3F">
      <w:pPr>
        <w:spacing w:before="210" w:after="210"/>
        <w:rPr>
          <w:rFonts w:cs="Arial"/>
          <w:sz w:val="21"/>
        </w:rPr>
      </w:pPr>
      <w:r w:rsidRPr="00DA4E3F">
        <w:rPr>
          <w:rFonts w:cs="Arial"/>
          <w:sz w:val="21"/>
        </w:rPr>
        <w:t>(8) Upravljavec razvojnega trga MTF informacije iz 3., 4. in 6. točke tretjega odstavka tega člena hkrati z javno objavo na svoji spletni strani pošlje tudi agenciji.</w:t>
      </w:r>
    </w:p>
    <w:p w14:paraId="18791403" w14:textId="77777777" w:rsidR="000317F7" w:rsidRPr="005960F5" w:rsidRDefault="00F06B25">
      <w:pPr>
        <w:pStyle w:val="center"/>
        <w:spacing w:before="210" w:after="210"/>
        <w:rPr>
          <w:rFonts w:cs="Arial"/>
          <w:b/>
          <w:sz w:val="21"/>
        </w:rPr>
      </w:pPr>
      <w:r w:rsidRPr="005960F5">
        <w:rPr>
          <w:rFonts w:cs="Arial"/>
          <w:b/>
          <w:sz w:val="21"/>
        </w:rPr>
        <w:t>347. člen</w:t>
      </w:r>
    </w:p>
    <w:p w14:paraId="78017235" w14:textId="77777777" w:rsidR="000317F7" w:rsidRPr="005960F5" w:rsidRDefault="00F06B25">
      <w:pPr>
        <w:pStyle w:val="center"/>
        <w:spacing w:before="210" w:after="210"/>
        <w:rPr>
          <w:rFonts w:cs="Arial"/>
          <w:b/>
          <w:sz w:val="21"/>
        </w:rPr>
      </w:pPr>
      <w:r w:rsidRPr="005960F5">
        <w:rPr>
          <w:rFonts w:cs="Arial"/>
          <w:b/>
          <w:sz w:val="21"/>
        </w:rPr>
        <w:t>(uporaba določb o nadzoru, namen nadzora, pooblastila agencije in ukrepi nadzora)</w:t>
      </w:r>
    </w:p>
    <w:p w14:paraId="6A875828" w14:textId="333DA3D4" w:rsidR="000317F7" w:rsidRPr="005960F5" w:rsidRDefault="00F06B25">
      <w:pPr>
        <w:spacing w:before="210" w:after="210"/>
        <w:rPr>
          <w:rFonts w:cs="Arial"/>
          <w:sz w:val="21"/>
        </w:rPr>
      </w:pPr>
      <w:r w:rsidRPr="005960F5">
        <w:rPr>
          <w:rFonts w:cs="Arial"/>
        </w:rPr>
        <w:t>(1) Za nadzor nad borznoposredniško družbo iz prvega odstavka 340. člena tega zakona se smiselno uporabljajo 21. do 23., 145. do 147., 264. do 267. člen, 269. do 282., 293. do 295., 302. do 305., 307., 308. in 310. do 346. člen ZBan-3, pri čemer se sklicevanja v 264., 265. in 294. členu ZBan-3 na</w:t>
      </w:r>
      <w:r w:rsidR="00B17B71" w:rsidRPr="005960F5">
        <w:rPr>
          <w:rFonts w:cs="Arial"/>
        </w:rPr>
        <w:t xml:space="preserve"> </w:t>
      </w:r>
      <w:r w:rsidRPr="005960F5">
        <w:rPr>
          <w:rFonts w:cs="Arial"/>
        </w:rPr>
        <w:t>Uredbo Sveta (EU) št. 1024/2013</w:t>
      </w:r>
      <w:r w:rsidR="00B17B71" w:rsidRPr="005960F5">
        <w:t xml:space="preserve"> </w:t>
      </w:r>
      <w:r w:rsidRPr="005960F5">
        <w:rPr>
          <w:rFonts w:cs="Arial"/>
        </w:rPr>
        <w:t>z dne 15. oktobra 2013 o prenosu posebnih nalog, ki se nanašajo na politike bonitetnega nadzora kreditnih institucij, na Evropsko centralno banko (UL L št. 287 z dne 29. 10. 2013, str. 63; v nadaljnjem besedilu:</w:t>
      </w:r>
      <w:r w:rsidR="00B17B71" w:rsidRPr="005960F5">
        <w:rPr>
          <w:rFonts w:cs="Arial"/>
        </w:rPr>
        <w:t xml:space="preserve"> </w:t>
      </w:r>
      <w:r w:rsidRPr="005960F5">
        <w:rPr>
          <w:rFonts w:cs="Arial"/>
        </w:rPr>
        <w:t>Uredba 1024/2013/EU) za potrebe tega zakona ne uporabljajo.</w:t>
      </w:r>
    </w:p>
    <w:p w14:paraId="654DEEF0" w14:textId="5D975E90" w:rsidR="000317F7" w:rsidRPr="005960F5" w:rsidRDefault="00F06B25">
      <w:pPr>
        <w:spacing w:before="210" w:after="210"/>
        <w:rPr>
          <w:rFonts w:cs="Arial"/>
          <w:sz w:val="21"/>
        </w:rPr>
      </w:pPr>
      <w:r w:rsidRPr="005960F5">
        <w:rPr>
          <w:rFonts w:cs="Arial"/>
        </w:rPr>
        <w:t>(2) Za nadzor iz 341., 342. in 344. člena tega zakona se smiselno uporabljajo 21. do 23., 145. do 147., 264. do 267., 269. do 282., 293. do 295., 302. do 305., 307., 308. in 312. do 346. člen ZBan-3, pri čemer se sklicevanja v 264., 265. in 294. členu ZBan-3 na</w:t>
      </w:r>
      <w:r w:rsidR="00B17B71" w:rsidRPr="005960F5">
        <w:rPr>
          <w:rFonts w:cs="Arial"/>
        </w:rPr>
        <w:t xml:space="preserve"> </w:t>
      </w:r>
      <w:r w:rsidRPr="005960F5">
        <w:rPr>
          <w:rFonts w:cs="Arial"/>
        </w:rPr>
        <w:t>Uredbo 1024/2013/EU</w:t>
      </w:r>
      <w:r w:rsidR="00B17B71" w:rsidRPr="005960F5">
        <w:t xml:space="preserve"> </w:t>
      </w:r>
      <w:r w:rsidRPr="005960F5">
        <w:rPr>
          <w:rFonts w:cs="Arial"/>
        </w:rPr>
        <w:t>za potrebe tega zakona ne uporabljajo.</w:t>
      </w:r>
    </w:p>
    <w:p w14:paraId="79D4696A" w14:textId="77777777" w:rsidR="000317F7" w:rsidRPr="005960F5" w:rsidRDefault="00F06B25">
      <w:pPr>
        <w:spacing w:before="210" w:after="210"/>
        <w:rPr>
          <w:rFonts w:cs="Arial"/>
          <w:sz w:val="21"/>
        </w:rPr>
      </w:pPr>
      <w:r w:rsidRPr="005960F5">
        <w:rPr>
          <w:rFonts w:cs="Arial"/>
        </w:rPr>
        <w:t>(3) Za nadzor iz tretjega in četrtega odstavka 340. člena, 343. in 345. člena tega zakona se smiselno uporabljajo 264. do 295. člen in 307. do 311. člen ZBan-3, če za posamezni primer ni drugače določeno.</w:t>
      </w:r>
    </w:p>
    <w:p w14:paraId="64DD0DDA" w14:textId="77777777" w:rsidR="000317F7" w:rsidRPr="005960F5" w:rsidRDefault="00F06B25">
      <w:pPr>
        <w:spacing w:before="210" w:after="210"/>
        <w:rPr>
          <w:rFonts w:cs="Arial"/>
          <w:sz w:val="21"/>
        </w:rPr>
      </w:pPr>
      <w:r w:rsidRPr="005960F5">
        <w:rPr>
          <w:rFonts w:cs="Arial"/>
        </w:rPr>
        <w:t>(4) Pri smiselni uporabi določb ZBan-3 iz prvega, drugega in tretjega odstavka tega člena se:</w:t>
      </w:r>
    </w:p>
    <w:p w14:paraId="0F695843" w14:textId="77777777" w:rsidR="000317F7" w:rsidRPr="005960F5" w:rsidRDefault="00F06B25">
      <w:pPr>
        <w:spacing w:before="210" w:after="210"/>
        <w:rPr>
          <w:rFonts w:cs="Arial"/>
          <w:sz w:val="21"/>
        </w:rPr>
      </w:pPr>
      <w:r w:rsidRPr="005960F5">
        <w:rPr>
          <w:rFonts w:cs="Arial"/>
        </w:rPr>
        <w:t>1.      namesto pojma »banka« uporablja pojem »borznoposredniška družba«, namesto pojma »banka države članice« pojem »investicijsko podjetje države članice«, namesto pojma »banka tretje države« pojem »investicijsko podjetje tretje države«,</w:t>
      </w:r>
    </w:p>
    <w:p w14:paraId="576BC3AD" w14:textId="77777777" w:rsidR="000317F7" w:rsidRPr="005960F5" w:rsidRDefault="00F06B25">
      <w:pPr>
        <w:spacing w:before="210" w:after="210"/>
        <w:rPr>
          <w:rFonts w:cs="Arial"/>
          <w:sz w:val="21"/>
        </w:rPr>
      </w:pPr>
      <w:r w:rsidRPr="005960F5">
        <w:rPr>
          <w:rFonts w:cs="Arial"/>
        </w:rPr>
        <w:t>2.      namesto pojma »Banka Slovenije« uporablja pojem »agencija«,</w:t>
      </w:r>
    </w:p>
    <w:p w14:paraId="5C3EACAC" w14:textId="77777777" w:rsidR="000317F7" w:rsidRPr="005960F5" w:rsidRDefault="00F06B25">
      <w:pPr>
        <w:spacing w:before="210" w:after="210"/>
        <w:rPr>
          <w:rFonts w:cs="Arial"/>
          <w:sz w:val="21"/>
        </w:rPr>
      </w:pPr>
      <w:r w:rsidRPr="005960F5">
        <w:rPr>
          <w:rFonts w:cs="Arial"/>
        </w:rPr>
        <w:t>3.      namesto pojma »nadrejena banka« uporablja pojem »nadrejeno investicijsko podjetje«,</w:t>
      </w:r>
    </w:p>
    <w:p w14:paraId="6B7320BE" w14:textId="77777777" w:rsidR="000317F7" w:rsidRPr="005960F5" w:rsidRDefault="00F06B25">
      <w:pPr>
        <w:spacing w:before="210" w:after="210"/>
        <w:rPr>
          <w:rFonts w:cs="Arial"/>
          <w:sz w:val="21"/>
        </w:rPr>
      </w:pPr>
      <w:r w:rsidRPr="005960F5">
        <w:rPr>
          <w:rFonts w:cs="Arial"/>
        </w:rPr>
        <w:t>4.      namesto pojma »EU nadrejena banka« uporablja pojem »EU nadrejeno investicijsko podjetje«,</w:t>
      </w:r>
    </w:p>
    <w:p w14:paraId="3ABC0632" w14:textId="77777777" w:rsidR="000317F7" w:rsidRPr="005960F5" w:rsidRDefault="00F06B25">
      <w:pPr>
        <w:spacing w:before="210" w:after="210"/>
        <w:rPr>
          <w:rFonts w:cs="Arial"/>
          <w:sz w:val="21"/>
        </w:rPr>
      </w:pPr>
      <w:r w:rsidRPr="005960F5">
        <w:rPr>
          <w:rFonts w:cs="Arial"/>
        </w:rPr>
        <w:t>5.      namesto pojma »bančna skupina« uporablja pojem »investicijska skupina«,</w:t>
      </w:r>
    </w:p>
    <w:p w14:paraId="5A4678AA" w14:textId="77777777" w:rsidR="000317F7" w:rsidRPr="005960F5" w:rsidRDefault="00F06B25">
      <w:pPr>
        <w:spacing w:before="210" w:after="210"/>
        <w:rPr>
          <w:rFonts w:cs="Arial"/>
          <w:sz w:val="21"/>
        </w:rPr>
      </w:pPr>
      <w:r w:rsidRPr="005960F5">
        <w:rPr>
          <w:rFonts w:cs="Arial"/>
        </w:rPr>
        <w:t>6.      namesto pojma »bančne storitve« ali pojma »finančne storitve« uporablja pojem »investicijske storitve in posli«,</w:t>
      </w:r>
    </w:p>
    <w:p w14:paraId="5C8FFD0E" w14:textId="77777777" w:rsidR="000317F7" w:rsidRPr="005960F5" w:rsidRDefault="00F06B25">
      <w:pPr>
        <w:spacing w:before="210" w:after="210"/>
        <w:rPr>
          <w:rFonts w:cs="Arial"/>
          <w:sz w:val="21"/>
        </w:rPr>
      </w:pPr>
      <w:r w:rsidRPr="005960F5">
        <w:rPr>
          <w:rFonts w:cs="Arial"/>
        </w:rPr>
        <w:t>7.      namesto pojma »zajamčena vloga« uporablja pojem »zajamčena terjatev vlagatelja«,</w:t>
      </w:r>
    </w:p>
    <w:p w14:paraId="1AEBE020" w14:textId="77777777" w:rsidR="000317F7" w:rsidRPr="005960F5" w:rsidRDefault="00F06B25">
      <w:pPr>
        <w:spacing w:before="210" w:after="210"/>
        <w:rPr>
          <w:rFonts w:cs="Arial"/>
          <w:sz w:val="21"/>
        </w:rPr>
      </w:pPr>
      <w:r w:rsidRPr="005960F5">
        <w:rPr>
          <w:rFonts w:cs="Arial"/>
        </w:rPr>
        <w:t>8.      namesto napotila na ZBan-3 uporablja napotilo na ta zakon,</w:t>
      </w:r>
    </w:p>
    <w:p w14:paraId="6601DD86" w14:textId="77777777" w:rsidR="000317F7" w:rsidRPr="005960F5" w:rsidRDefault="00F06B25">
      <w:pPr>
        <w:spacing w:before="210" w:after="210"/>
        <w:rPr>
          <w:rFonts w:cs="Arial"/>
          <w:sz w:val="21"/>
        </w:rPr>
      </w:pPr>
      <w:r w:rsidRPr="005960F5">
        <w:rPr>
          <w:rFonts w:cs="Arial"/>
        </w:rPr>
        <w:t>9.      pri 318. do 323. členu ZBan-3 namesto napotila na 134. člen ZBan-3 uporablja napotilo na drugi in tretji odstavek 211. člena tega zakona,</w:t>
      </w:r>
    </w:p>
    <w:p w14:paraId="709C5CD5" w14:textId="77777777" w:rsidR="000317F7" w:rsidRPr="005960F5" w:rsidRDefault="00F06B25">
      <w:pPr>
        <w:spacing w:before="210" w:after="210"/>
        <w:rPr>
          <w:rFonts w:cs="Arial"/>
          <w:sz w:val="21"/>
        </w:rPr>
      </w:pPr>
      <w:r w:rsidRPr="005960F5">
        <w:rPr>
          <w:rFonts w:cs="Arial"/>
        </w:rPr>
        <w:t>10.   namesto pojma »sprejema depozite od javnosti« uporablja izraz »opravlja investicijske storitve in posle«,</w:t>
      </w:r>
    </w:p>
    <w:p w14:paraId="39A23A96" w14:textId="07C2439E" w:rsidR="000317F7" w:rsidRPr="005960F5" w:rsidRDefault="00F06B25">
      <w:pPr>
        <w:spacing w:before="210" w:after="210"/>
        <w:rPr>
          <w:rFonts w:cs="Arial"/>
          <w:sz w:val="21"/>
        </w:rPr>
      </w:pPr>
      <w:r w:rsidRPr="005960F5">
        <w:rPr>
          <w:rFonts w:cs="Arial"/>
        </w:rPr>
        <w:lastRenderedPageBreak/>
        <w:t>11.   namesto sklica na</w:t>
      </w:r>
      <w:r w:rsidR="00B17B71" w:rsidRPr="005960F5">
        <w:rPr>
          <w:rFonts w:cs="Arial"/>
        </w:rPr>
        <w:t xml:space="preserve"> </w:t>
      </w:r>
      <w:r w:rsidRPr="005960F5">
        <w:rPr>
          <w:rFonts w:cs="Arial"/>
        </w:rPr>
        <w:t>Direktivo 2013/36/EU</w:t>
      </w:r>
      <w:r w:rsidR="00B17B71" w:rsidRPr="005960F5">
        <w:t xml:space="preserve"> </w:t>
      </w:r>
      <w:r w:rsidRPr="005960F5">
        <w:rPr>
          <w:rFonts w:cs="Arial"/>
        </w:rPr>
        <w:t>in</w:t>
      </w:r>
      <w:r w:rsidR="00B17B71" w:rsidRPr="005960F5">
        <w:rPr>
          <w:rFonts w:cs="Arial"/>
        </w:rPr>
        <w:t xml:space="preserve"> </w:t>
      </w:r>
      <w:r w:rsidRPr="005960F5">
        <w:rPr>
          <w:rFonts w:cs="Arial"/>
        </w:rPr>
        <w:t>Uredbo 575/2013/EU</w:t>
      </w:r>
      <w:r w:rsidR="00B17B71" w:rsidRPr="005960F5">
        <w:t xml:space="preserve"> </w:t>
      </w:r>
      <w:r w:rsidRPr="005960F5">
        <w:rPr>
          <w:rFonts w:cs="Arial"/>
        </w:rPr>
        <w:t>se uporablja sklic na ZBNIP in</w:t>
      </w:r>
      <w:r w:rsidR="00B17B71" w:rsidRPr="005960F5">
        <w:rPr>
          <w:rFonts w:cs="Arial"/>
        </w:rPr>
        <w:t xml:space="preserve"> </w:t>
      </w:r>
      <w:r w:rsidRPr="005960F5">
        <w:rPr>
          <w:rFonts w:cs="Arial"/>
        </w:rPr>
        <w:t>Uredbo 2019/2033/EU.</w:t>
      </w:r>
    </w:p>
    <w:p w14:paraId="1FAE52DA" w14:textId="77777777" w:rsidR="000317F7" w:rsidRPr="005960F5" w:rsidRDefault="00F06B25">
      <w:pPr>
        <w:spacing w:before="210" w:after="210"/>
        <w:rPr>
          <w:rFonts w:cs="Arial"/>
          <w:sz w:val="21"/>
        </w:rPr>
      </w:pPr>
      <w:r w:rsidRPr="005960F5">
        <w:rPr>
          <w:rFonts w:cs="Arial"/>
        </w:rPr>
        <w:t>(5) Poleg namena nadzora po 264. členu ZBan-3 v zvezi s prvim in drugim odstavkom tega člena opravlja agencija nadzor tudi zaradi preverjanja, ali borznoposredniška družba, investicijsko podjetje države članice ali investicijsko podjetje tretje države pri opravljanju investicijskih storitev in poslov ravna:</w:t>
      </w:r>
    </w:p>
    <w:p w14:paraId="7DAD3E2C" w14:textId="77777777" w:rsidR="000317F7" w:rsidRPr="005960F5" w:rsidRDefault="00F06B25">
      <w:pPr>
        <w:spacing w:before="210" w:after="210"/>
        <w:rPr>
          <w:rFonts w:cs="Arial"/>
          <w:sz w:val="21"/>
        </w:rPr>
      </w:pPr>
      <w:r w:rsidRPr="005960F5">
        <w:rPr>
          <w:rFonts w:cs="Arial"/>
        </w:rPr>
        <w:t>1.      vestno, pošteno in z ustrezno profesionalno skrbnostjo,</w:t>
      </w:r>
    </w:p>
    <w:p w14:paraId="7A371B09" w14:textId="77777777" w:rsidR="000317F7" w:rsidRPr="005960F5" w:rsidRDefault="00F06B25">
      <w:pPr>
        <w:spacing w:before="210" w:after="210"/>
        <w:rPr>
          <w:rFonts w:cs="Arial"/>
          <w:sz w:val="21"/>
        </w:rPr>
      </w:pPr>
      <w:r w:rsidRPr="005960F5">
        <w:rPr>
          <w:rFonts w:cs="Arial"/>
        </w:rPr>
        <w:t>2.      na način, ki podpira in spodbuja celovitost trga, in</w:t>
      </w:r>
    </w:p>
    <w:p w14:paraId="2F152E9E" w14:textId="77777777" w:rsidR="000317F7" w:rsidRPr="005960F5" w:rsidRDefault="00F06B25">
      <w:pPr>
        <w:spacing w:before="210" w:after="210"/>
        <w:rPr>
          <w:rFonts w:cs="Arial"/>
          <w:sz w:val="21"/>
        </w:rPr>
      </w:pPr>
      <w:r w:rsidRPr="005960F5">
        <w:rPr>
          <w:rFonts w:cs="Arial"/>
        </w:rPr>
        <w:t>3.      v skladu s predpisi iz 1. točke 232. člena tega zakona.</w:t>
      </w:r>
    </w:p>
    <w:p w14:paraId="5AAA3119" w14:textId="77777777" w:rsidR="000317F7" w:rsidRPr="005960F5" w:rsidRDefault="00F06B25">
      <w:pPr>
        <w:spacing w:before="210" w:after="210"/>
        <w:rPr>
          <w:rFonts w:cs="Arial"/>
          <w:sz w:val="21"/>
        </w:rPr>
      </w:pPr>
      <w:r w:rsidRPr="005960F5">
        <w:rPr>
          <w:rFonts w:cs="Arial"/>
        </w:rPr>
        <w:t>(6) V postopku poročanja na zahtevo agencije v skladu z 271. členom ZBan-3 ali pridobivanja podatkov in dokumentacije v skladu z 272. členom ZBan-3 vsaka stranka krije svoje stroške postopka.</w:t>
      </w:r>
    </w:p>
    <w:p w14:paraId="4E2A73C8" w14:textId="77777777" w:rsidR="000317F7" w:rsidRPr="005960F5" w:rsidRDefault="00F06B25">
      <w:pPr>
        <w:spacing w:before="210" w:after="210"/>
        <w:rPr>
          <w:rFonts w:cs="Arial"/>
          <w:sz w:val="21"/>
        </w:rPr>
      </w:pPr>
      <w:r w:rsidRPr="005960F5">
        <w:rPr>
          <w:rFonts w:cs="Arial"/>
        </w:rPr>
        <w:t>(7) Poleg poročil in informacij, ki jih agencija lahko zahteva na podlagi 271. člena ZBan-3 v povezavi s prvim, drugim in tretjim odstavkom tega člena, lahko agencija zahteva tudi, da ji subjekt nadzora omogoči dostop do kateregakoli dokumenta, ki se zdi agenciji potreben za izvajanje nadzora, v kakršnikoli obliki in izroči kopijo tega dokumenta ter pošlje računalniške izpiske oziroma kopije poslovnih knjig, poslovne dokumentacije in administrativnih oziroma poslovnih evidenc v obsegu, potrebnem za izvajanje posameznega nadzora.</w:t>
      </w:r>
    </w:p>
    <w:p w14:paraId="4DA8A87B" w14:textId="15F8A063" w:rsidR="000317F7" w:rsidRPr="005960F5" w:rsidRDefault="00F06B25">
      <w:pPr>
        <w:spacing w:before="210" w:after="210"/>
        <w:rPr>
          <w:rFonts w:cs="Arial"/>
          <w:sz w:val="21"/>
        </w:rPr>
      </w:pPr>
      <w:r w:rsidRPr="005960F5">
        <w:rPr>
          <w:rFonts w:cs="Arial"/>
        </w:rPr>
        <w:t>(8) Agencija ima za potrebe izvajanja nadzora po tem zakonu,</w:t>
      </w:r>
      <w:r w:rsidR="00B17B71" w:rsidRPr="005960F5">
        <w:rPr>
          <w:rFonts w:cs="Arial"/>
        </w:rPr>
        <w:t xml:space="preserve"> </w:t>
      </w:r>
      <w:r w:rsidRPr="005960F5">
        <w:rPr>
          <w:rFonts w:cs="Arial"/>
        </w:rPr>
        <w:t>Uredbi 600/2014/EU</w:t>
      </w:r>
      <w:r w:rsidR="00B17B71" w:rsidRPr="005960F5">
        <w:t xml:space="preserve"> </w:t>
      </w:r>
      <w:r w:rsidRPr="005960F5">
        <w:rPr>
          <w:rFonts w:cs="Arial"/>
        </w:rPr>
        <w:t>in</w:t>
      </w:r>
      <w:r w:rsidR="00B17B71" w:rsidRPr="005960F5">
        <w:rPr>
          <w:rFonts w:cs="Arial"/>
        </w:rPr>
        <w:t xml:space="preserve"> </w:t>
      </w:r>
      <w:r w:rsidRPr="005960F5">
        <w:rPr>
          <w:rFonts w:cs="Arial"/>
        </w:rPr>
        <w:t>Uredbi 2016/1011/EU</w:t>
      </w:r>
      <w:r w:rsidR="00B17B71" w:rsidRPr="005960F5">
        <w:t xml:space="preserve"> </w:t>
      </w:r>
      <w:r w:rsidRPr="005960F5">
        <w:rPr>
          <w:rFonts w:cs="Arial"/>
        </w:rPr>
        <w:t>vsa nadzorna in preiskovalna pooblastila, na podlagi katerih lahko izvede naslednja dejanja oziroma izreče naslednje ukrepe in sankcije:</w:t>
      </w:r>
    </w:p>
    <w:p w14:paraId="5A5454F1" w14:textId="157AB634" w:rsidR="000317F7" w:rsidRPr="005960F5" w:rsidRDefault="00F06B25">
      <w:pPr>
        <w:spacing w:before="210" w:after="210"/>
        <w:rPr>
          <w:rFonts w:cs="Arial"/>
          <w:sz w:val="21"/>
        </w:rPr>
      </w:pPr>
      <w:r w:rsidRPr="005960F5">
        <w:rPr>
          <w:rFonts w:cs="Arial"/>
        </w:rPr>
        <w:t>1.      zahteva informacije in podatke, vključno z osebnimi podatki (osebno ime fizične osebe, EMŠO oziroma za tujca rojstne podatke, davčno številko, drug enolični identifikator, kot je na primer določen v delegirani uredbi, sprejeti na podlagi devetega odstavka 26. člena</w:t>
      </w:r>
      <w:r w:rsidR="00B17B71" w:rsidRPr="005960F5">
        <w:rPr>
          <w:rFonts w:cs="Arial"/>
        </w:rPr>
        <w:t xml:space="preserve"> </w:t>
      </w:r>
      <w:r w:rsidRPr="005960F5">
        <w:rPr>
          <w:rFonts w:cs="Arial"/>
        </w:rPr>
        <w:t>Uredbe 600/2014/EU, državljanstvo, stalno oziroma začasno prebivališče), od katerekoli osebe, ki razpolaga s podatki, potrebnimi za izvajanje nalog iz pristojnosti agencije, če je to potrebno, pa lahko to osebo tudi zasliši,</w:t>
      </w:r>
    </w:p>
    <w:p w14:paraId="704B8EB8" w14:textId="77777777" w:rsidR="000317F7" w:rsidRPr="005960F5" w:rsidRDefault="00F06B25">
      <w:pPr>
        <w:spacing w:before="210" w:after="210"/>
        <w:rPr>
          <w:rFonts w:cs="Arial"/>
          <w:sz w:val="21"/>
        </w:rPr>
      </w:pPr>
      <w:r w:rsidRPr="005960F5">
        <w:rPr>
          <w:rFonts w:cs="Arial"/>
        </w:rPr>
        <w:t>2.      od subjektov nadzora zahteva obstoječe posnetke telefonskih pogovorov, elektronske komunikacije ali druge zapise podatkovnih prenosov opredeljenih v 238. členu tega zakona, ki so potrebni za izvajanje nalog iz pristojnosti agencije,</w:t>
      </w:r>
    </w:p>
    <w:p w14:paraId="1DAF1BA3" w14:textId="77777777" w:rsidR="000317F7" w:rsidRPr="005960F5" w:rsidRDefault="00F06B25">
      <w:pPr>
        <w:spacing w:before="210" w:after="210"/>
        <w:rPr>
          <w:rFonts w:cs="Arial"/>
          <w:sz w:val="21"/>
        </w:rPr>
      </w:pPr>
      <w:r w:rsidRPr="005960F5">
        <w:rPr>
          <w:rFonts w:cs="Arial"/>
        </w:rPr>
        <w:t>3.      zahteva informacije od revizorjev borznoposredniških družb, borze, ponudnikov storitev poročanja podatkov in drugih nadzorovanih subjektov,</w:t>
      </w:r>
    </w:p>
    <w:p w14:paraId="61C3FA2E" w14:textId="77777777" w:rsidR="000317F7" w:rsidRPr="005960F5" w:rsidRDefault="00F06B25">
      <w:pPr>
        <w:spacing w:before="210" w:after="210"/>
        <w:rPr>
          <w:rFonts w:cs="Arial"/>
          <w:sz w:val="21"/>
        </w:rPr>
      </w:pPr>
      <w:r w:rsidRPr="005960F5">
        <w:rPr>
          <w:rFonts w:cs="Arial"/>
        </w:rPr>
        <w:t>4.      pooblasti revizorje ali izvedence za izvedbo podrobnega specializiranega pregleda ali preverjanja nadzorovanega subjekta,</w:t>
      </w:r>
    </w:p>
    <w:p w14:paraId="366198DE" w14:textId="77777777" w:rsidR="000317F7" w:rsidRPr="005960F5" w:rsidRDefault="00F06B25">
      <w:pPr>
        <w:spacing w:before="210" w:after="210"/>
        <w:rPr>
          <w:rFonts w:cs="Arial"/>
          <w:sz w:val="21"/>
        </w:rPr>
      </w:pPr>
      <w:r w:rsidRPr="005960F5">
        <w:rPr>
          <w:rFonts w:cs="Arial"/>
        </w:rPr>
        <w:t>5.      opravi pregled poslovanja ali preiskavo na kraju samem oziroma na krajih, ki so stanovanjski prostori fizičnih oseb, določeni kot njihov sedež oziroma poslovni prostor,</w:t>
      </w:r>
    </w:p>
    <w:p w14:paraId="5932548A" w14:textId="10B972FC" w:rsidR="000317F7" w:rsidRPr="005960F5" w:rsidRDefault="00F06B25">
      <w:pPr>
        <w:spacing w:before="210" w:after="210"/>
        <w:rPr>
          <w:rFonts w:cs="Arial"/>
          <w:sz w:val="21"/>
        </w:rPr>
      </w:pPr>
      <w:r w:rsidRPr="005960F5">
        <w:rPr>
          <w:rFonts w:cs="Arial"/>
        </w:rPr>
        <w:t>6.      vstopa v prostore pravnih oseb, da bi zasegla dokumente in druge podatke v katerikoli obliki, kadar obstaja utemeljen sum, da so lahko dokumenti in drugi podatki, povezani s predmetom pregleda poslovanja ali preiskave, pomembni za dokazovanje kršitev tega zakona,</w:t>
      </w:r>
      <w:r w:rsidR="00B17B71" w:rsidRPr="005960F5">
        <w:rPr>
          <w:rFonts w:cs="Arial"/>
        </w:rPr>
        <w:t xml:space="preserve"> </w:t>
      </w:r>
      <w:r w:rsidRPr="005960F5">
        <w:rPr>
          <w:rFonts w:cs="Arial"/>
        </w:rPr>
        <w:t>Uredbe 600/2014/EU,</w:t>
      </w:r>
      <w:r w:rsidR="00B17B71" w:rsidRPr="005960F5">
        <w:rPr>
          <w:rFonts w:cs="Arial"/>
        </w:rPr>
        <w:t xml:space="preserve"> </w:t>
      </w:r>
      <w:r w:rsidRPr="005960F5">
        <w:rPr>
          <w:rFonts w:cs="Arial"/>
        </w:rPr>
        <w:t>Uredbe 2016/1011/EU</w:t>
      </w:r>
      <w:r w:rsidR="00B17B71" w:rsidRPr="005960F5">
        <w:t xml:space="preserve"> </w:t>
      </w:r>
      <w:r w:rsidRPr="005960F5">
        <w:rPr>
          <w:rFonts w:cs="Arial"/>
        </w:rPr>
        <w:t>ali drugih predpisov,</w:t>
      </w:r>
    </w:p>
    <w:p w14:paraId="7AE20E71" w14:textId="77777777" w:rsidR="000317F7" w:rsidRPr="005960F5" w:rsidRDefault="00F06B25">
      <w:pPr>
        <w:spacing w:before="210" w:after="210"/>
        <w:rPr>
          <w:rFonts w:cs="Arial"/>
          <w:sz w:val="21"/>
        </w:rPr>
      </w:pPr>
      <w:r w:rsidRPr="005960F5">
        <w:rPr>
          <w:rFonts w:cs="Arial"/>
        </w:rPr>
        <w:lastRenderedPageBreak/>
        <w:t>7.      od katerekoli osebe zahteva dokumentacijo o velikosti in namenu njenih pozicij ali izpostavljenosti v izvedenih finančnih instrumentih na blago ter o njenih sredstvih ali obveznostih na osnovnem trgu blaga,</w:t>
      </w:r>
    </w:p>
    <w:p w14:paraId="4D50FCDC" w14:textId="77777777" w:rsidR="000317F7" w:rsidRPr="005960F5" w:rsidRDefault="00F06B25">
      <w:pPr>
        <w:spacing w:before="210" w:after="210"/>
        <w:rPr>
          <w:rFonts w:cs="Arial"/>
          <w:sz w:val="21"/>
        </w:rPr>
      </w:pPr>
      <w:r w:rsidRPr="005960F5">
        <w:rPr>
          <w:rFonts w:cs="Arial"/>
        </w:rPr>
        <w:t>8.      zahteva, da katerakoli oseba sprejme ukrepe za zmanjšanje velikosti pozicije ali izpostavljenosti v izvedenih finančnih instrumentih na blago,</w:t>
      </w:r>
    </w:p>
    <w:p w14:paraId="37016ED8" w14:textId="77777777" w:rsidR="000317F7" w:rsidRPr="005960F5" w:rsidRDefault="00F06B25">
      <w:pPr>
        <w:spacing w:before="210" w:after="210"/>
        <w:rPr>
          <w:rFonts w:cs="Arial"/>
          <w:sz w:val="21"/>
        </w:rPr>
      </w:pPr>
      <w:r w:rsidRPr="005960F5">
        <w:rPr>
          <w:rFonts w:cs="Arial"/>
        </w:rPr>
        <w:t>9.      omeji, da katerakoli oseba sklene posel z izvedenim finančnim instrumentom na blago, z uvedbo omejitev na velikost pozicije, ki jo lahko ima ta oseba,</w:t>
      </w:r>
    </w:p>
    <w:p w14:paraId="4D063606" w14:textId="77777777" w:rsidR="000317F7" w:rsidRPr="005960F5" w:rsidRDefault="00F06B25">
      <w:pPr>
        <w:spacing w:before="210" w:after="210"/>
        <w:rPr>
          <w:rFonts w:cs="Arial"/>
          <w:sz w:val="21"/>
        </w:rPr>
      </w:pPr>
      <w:r w:rsidRPr="005960F5">
        <w:rPr>
          <w:rFonts w:cs="Arial"/>
        </w:rPr>
        <w:t>10.   odredi ukrepe, ki so potrebni, da osebe, ki morajo ravnati v skladu s tem zakonom ali predpisi, za nadzor nad katerimi je pristojna agencija, tako tudi ravnajo,</w:t>
      </w:r>
    </w:p>
    <w:p w14:paraId="0253710E" w14:textId="77777777" w:rsidR="000317F7" w:rsidRPr="005960F5" w:rsidRDefault="00F06B25">
      <w:pPr>
        <w:spacing w:before="210" w:after="210"/>
        <w:rPr>
          <w:rFonts w:cs="Arial"/>
          <w:sz w:val="21"/>
        </w:rPr>
      </w:pPr>
      <w:r w:rsidRPr="005960F5">
        <w:rPr>
          <w:rFonts w:cs="Arial"/>
        </w:rPr>
        <w:t>11.   od telekomunikacijskih operaterjev zahteva zapise podatkovnih prenosov, če obstajajo utemeljeni razlogi za sum, da je oseba kršila določbe tega zakona ali drugih predpisov, za nadzor nad katerimi je pristojna agencija, in je verjetno, da se bodo odkrili dokazi, ki so pomembni za postopek nadzora, ob upoštevanju predpisov, ki posebej urejajo tak ukrep,</w:t>
      </w:r>
    </w:p>
    <w:p w14:paraId="5624D6A3" w14:textId="169654D2" w:rsidR="000317F7" w:rsidRPr="005960F5" w:rsidRDefault="00F06B25">
      <w:pPr>
        <w:spacing w:before="210" w:after="210"/>
        <w:rPr>
          <w:rFonts w:cs="Arial"/>
          <w:sz w:val="21"/>
        </w:rPr>
      </w:pPr>
      <w:r w:rsidRPr="005960F5">
        <w:rPr>
          <w:rFonts w:cs="Arial"/>
        </w:rPr>
        <w:t>12.   začasno prepove oglaševanje ali prodajo finančnih instrumentov ali strukturiranih finančnih produktov, če so izpolnjeni pogoji iz 40. do 42. člena</w:t>
      </w:r>
      <w:r w:rsidR="00B17B71" w:rsidRPr="005960F5">
        <w:rPr>
          <w:rFonts w:cs="Arial"/>
        </w:rPr>
        <w:t xml:space="preserve"> </w:t>
      </w:r>
      <w:r w:rsidRPr="005960F5">
        <w:rPr>
          <w:rFonts w:cs="Arial"/>
        </w:rPr>
        <w:t>Uredbe 600/2014/EU</w:t>
      </w:r>
      <w:r w:rsidR="00B17B71" w:rsidRPr="005960F5">
        <w:t xml:space="preserve"> </w:t>
      </w:r>
      <w:r w:rsidRPr="005960F5">
        <w:rPr>
          <w:rFonts w:cs="Arial"/>
        </w:rPr>
        <w:t>ali če borznoposredniška družba ni izpolnila obveznosti iz 233. člena tega zakona,</w:t>
      </w:r>
    </w:p>
    <w:p w14:paraId="5E4B2007" w14:textId="77777777" w:rsidR="000317F7" w:rsidRPr="005960F5" w:rsidRDefault="00F06B25">
      <w:pPr>
        <w:spacing w:before="210" w:after="210"/>
        <w:rPr>
          <w:rFonts w:cs="Arial"/>
          <w:sz w:val="21"/>
        </w:rPr>
      </w:pPr>
      <w:r w:rsidRPr="005960F5">
        <w:rPr>
          <w:rFonts w:cs="Arial"/>
        </w:rPr>
        <w:t>13.   začasno prepove borznoposredniški družbi članstvo ali udeležbo na mestih trgovanja,</w:t>
      </w:r>
    </w:p>
    <w:p w14:paraId="0318A435" w14:textId="042AAC77" w:rsidR="000317F7" w:rsidRPr="005960F5" w:rsidRDefault="00F06B25">
      <w:pPr>
        <w:spacing w:before="210" w:after="210"/>
        <w:rPr>
          <w:rFonts w:cs="Arial"/>
          <w:sz w:val="21"/>
        </w:rPr>
      </w:pPr>
      <w:r w:rsidRPr="005960F5">
        <w:rPr>
          <w:rFonts w:cs="Arial"/>
        </w:rPr>
        <w:t>14.   zahteva začasno prenehanje vsakršnega ravnanja, ki je po njeni oceni v nasprotju s tem zakonom,</w:t>
      </w:r>
      <w:r w:rsidR="00B17B71" w:rsidRPr="005960F5">
        <w:rPr>
          <w:rFonts w:cs="Arial"/>
        </w:rPr>
        <w:t xml:space="preserve"> </w:t>
      </w:r>
      <w:r w:rsidRPr="005960F5">
        <w:rPr>
          <w:rFonts w:cs="Arial"/>
        </w:rPr>
        <w:t>Uredbo 600/2014/EU,</w:t>
      </w:r>
      <w:r w:rsidR="00B17B71" w:rsidRPr="005960F5">
        <w:rPr>
          <w:rFonts w:cs="Arial"/>
        </w:rPr>
        <w:t xml:space="preserve"> </w:t>
      </w:r>
      <w:r w:rsidRPr="005960F5">
        <w:rPr>
          <w:rFonts w:cs="Arial"/>
        </w:rPr>
        <w:t>Uredbo 2016/1011/EU</w:t>
      </w:r>
      <w:r w:rsidR="00B17B71" w:rsidRPr="005960F5">
        <w:t xml:space="preserve"> </w:t>
      </w:r>
      <w:r w:rsidRPr="005960F5">
        <w:rPr>
          <w:rFonts w:cs="Arial"/>
        </w:rPr>
        <w:t>ali drugimi predpisi,</w:t>
      </w:r>
    </w:p>
    <w:p w14:paraId="63603BCD" w14:textId="7EC930EB" w:rsidR="000317F7" w:rsidRPr="005960F5" w:rsidRDefault="00F06B25">
      <w:pPr>
        <w:spacing w:before="210" w:after="210"/>
        <w:rPr>
          <w:rFonts w:cs="Arial"/>
          <w:sz w:val="21"/>
        </w:rPr>
      </w:pPr>
      <w:r w:rsidRPr="005960F5">
        <w:rPr>
          <w:rFonts w:cs="Arial"/>
        </w:rPr>
        <w:t>15.   izvede postopek in izreče globo, v skladu s tem zakonom za kršitev tega zakona,</w:t>
      </w:r>
      <w:r w:rsidR="00B17B71" w:rsidRPr="005960F5">
        <w:rPr>
          <w:rFonts w:cs="Arial"/>
        </w:rPr>
        <w:t xml:space="preserve"> </w:t>
      </w:r>
      <w:r w:rsidRPr="005960F5">
        <w:rPr>
          <w:rFonts w:cs="Arial"/>
        </w:rPr>
        <w:t>Uredbe 600/2014/EU</w:t>
      </w:r>
      <w:r w:rsidR="00B17B71" w:rsidRPr="005960F5">
        <w:t xml:space="preserve"> </w:t>
      </w:r>
      <w:r w:rsidRPr="005960F5">
        <w:rPr>
          <w:rFonts w:cs="Arial"/>
        </w:rPr>
        <w:t>ali</w:t>
      </w:r>
      <w:r w:rsidR="00B17B71" w:rsidRPr="005960F5">
        <w:rPr>
          <w:rFonts w:cs="Arial"/>
        </w:rPr>
        <w:t xml:space="preserve"> </w:t>
      </w:r>
      <w:r w:rsidRPr="005960F5">
        <w:rPr>
          <w:rFonts w:cs="Arial"/>
        </w:rPr>
        <w:t>Uredbe 2016/1011/EU, ali za nesodelovanje v preiskavi ali pri pregledu poslovanja, ali v primeru neupoštevanja oziroma neizvršitve nadzornih zahtev agencije,</w:t>
      </w:r>
    </w:p>
    <w:p w14:paraId="7DE30A4D" w14:textId="77777777" w:rsidR="000317F7" w:rsidRPr="005960F5" w:rsidRDefault="00F06B25">
      <w:pPr>
        <w:spacing w:before="210" w:after="210"/>
        <w:rPr>
          <w:rFonts w:cs="Arial"/>
          <w:sz w:val="21"/>
        </w:rPr>
      </w:pPr>
      <w:r w:rsidRPr="005960F5">
        <w:rPr>
          <w:rFonts w:cs="Arial"/>
        </w:rPr>
        <w:t>16.   zahteva povrnitev finančne koristi, pridobljene na podlagi kršitve, in sicer v višini dodatnega dobička ali preprečene izgube, kadar ju je mogoče opredeliti,</w:t>
      </w:r>
    </w:p>
    <w:p w14:paraId="0A0F3339" w14:textId="77777777" w:rsidR="000317F7" w:rsidRPr="005960F5" w:rsidRDefault="00F06B25">
      <w:pPr>
        <w:spacing w:before="210" w:after="210"/>
        <w:rPr>
          <w:rFonts w:cs="Arial"/>
          <w:sz w:val="21"/>
        </w:rPr>
      </w:pPr>
      <w:r w:rsidRPr="005960F5">
        <w:rPr>
          <w:rFonts w:cs="Arial"/>
        </w:rPr>
        <w:t>17.   zahteva začasno zamrznitev ali odvzem premoženja,</w:t>
      </w:r>
    </w:p>
    <w:p w14:paraId="042CBFF1" w14:textId="77777777" w:rsidR="000317F7" w:rsidRPr="005960F5" w:rsidRDefault="00F06B25">
      <w:pPr>
        <w:spacing w:before="210" w:after="210"/>
        <w:rPr>
          <w:rFonts w:cs="Arial"/>
          <w:sz w:val="21"/>
        </w:rPr>
      </w:pPr>
      <w:r w:rsidRPr="005960F5">
        <w:rPr>
          <w:rFonts w:cs="Arial"/>
        </w:rPr>
        <w:t>18.   začasno prepove opravljanje poklicne dejavnosti oziroma odvzame ali začasno odvzame dovoljenje ali registracijo za opravljanje dejavnosti,</w:t>
      </w:r>
    </w:p>
    <w:p w14:paraId="43CC36CD" w14:textId="77777777" w:rsidR="000317F7" w:rsidRPr="005960F5" w:rsidRDefault="00F06B25">
      <w:pPr>
        <w:spacing w:before="210" w:after="210"/>
        <w:rPr>
          <w:rFonts w:cs="Arial"/>
          <w:sz w:val="21"/>
        </w:rPr>
      </w:pPr>
      <w:r w:rsidRPr="005960F5">
        <w:rPr>
          <w:rFonts w:cs="Arial"/>
        </w:rPr>
        <w:t>19.   pooblaščena oseba opravi navidezni nakup storitve ali produkta tako, da se oseba po opravljanem nakupu izkaže s pooblastilom, če se tako lahko ugotovijo znaki kršitve predpisov iz prvega odstavka 232. člena tega zakona oziroma podatki o kršitelju.</w:t>
      </w:r>
    </w:p>
    <w:p w14:paraId="0C5F1D6F" w14:textId="22220524" w:rsidR="000317F7" w:rsidRPr="005960F5" w:rsidRDefault="00F06B25">
      <w:pPr>
        <w:spacing w:before="210" w:after="210"/>
        <w:rPr>
          <w:rFonts w:cs="Arial"/>
          <w:sz w:val="21"/>
        </w:rPr>
      </w:pPr>
      <w:r w:rsidRPr="005960F5">
        <w:rPr>
          <w:rFonts w:cs="Arial"/>
        </w:rPr>
        <w:t>(9) Za ukrepa iz sedmega odstavka tega člena, 6. in 11. točke prejšnjega odstavka se smiselno uporablja 427. člen, za ukrepa iz 17. in 18. točke prejšnjega odstavka pa 428. člen tega zakona. Pri smiselni uporabi 427. in 428. člena tega zakona se namesto sklicevanja na</w:t>
      </w:r>
      <w:r w:rsidR="00B17B71" w:rsidRPr="005960F5">
        <w:rPr>
          <w:rFonts w:cs="Arial"/>
        </w:rPr>
        <w:t xml:space="preserve"> </w:t>
      </w:r>
      <w:r w:rsidRPr="005960F5">
        <w:rPr>
          <w:rFonts w:cs="Arial"/>
        </w:rPr>
        <w:t>Uredbo 596/2014/EU</w:t>
      </w:r>
      <w:r w:rsidR="00B17B71" w:rsidRPr="005960F5">
        <w:t xml:space="preserve"> </w:t>
      </w:r>
      <w:r w:rsidRPr="005960F5">
        <w:rPr>
          <w:rFonts w:cs="Arial"/>
        </w:rPr>
        <w:t>uporabi sklicevanje na ta zakon,</w:t>
      </w:r>
      <w:r w:rsidR="00B17B71" w:rsidRPr="005960F5">
        <w:rPr>
          <w:rFonts w:cs="Arial"/>
        </w:rPr>
        <w:t xml:space="preserve"> </w:t>
      </w:r>
      <w:r w:rsidRPr="005960F5">
        <w:rPr>
          <w:rFonts w:cs="Arial"/>
        </w:rPr>
        <w:t>Uredbo 600/2014/EU</w:t>
      </w:r>
      <w:r w:rsidR="00B17B71" w:rsidRPr="005960F5">
        <w:t xml:space="preserve"> </w:t>
      </w:r>
      <w:r w:rsidRPr="005960F5">
        <w:rPr>
          <w:rFonts w:cs="Arial"/>
        </w:rPr>
        <w:t>ali</w:t>
      </w:r>
      <w:r w:rsidR="00B17B71" w:rsidRPr="005960F5">
        <w:rPr>
          <w:rFonts w:cs="Arial"/>
        </w:rPr>
        <w:t xml:space="preserve"> </w:t>
      </w:r>
      <w:r w:rsidRPr="005960F5">
        <w:rPr>
          <w:rFonts w:cs="Arial"/>
        </w:rPr>
        <w:t>Uredbo 2016/1011/EU.</w:t>
      </w:r>
    </w:p>
    <w:p w14:paraId="37F8DF53" w14:textId="5A9128D8" w:rsidR="000317F7" w:rsidRPr="005960F5" w:rsidRDefault="00F06B25">
      <w:pPr>
        <w:spacing w:before="210" w:after="210"/>
        <w:rPr>
          <w:rFonts w:cs="Arial"/>
          <w:sz w:val="21"/>
        </w:rPr>
      </w:pPr>
      <w:r w:rsidRPr="005960F5">
        <w:rPr>
          <w:rFonts w:cs="Arial"/>
        </w:rPr>
        <w:t>(10) Za izpolnitev nalog pristojnega organa iz</w:t>
      </w:r>
      <w:r w:rsidR="00B17B71" w:rsidRPr="005960F5">
        <w:rPr>
          <w:rFonts w:cs="Arial"/>
        </w:rPr>
        <w:t xml:space="preserve"> </w:t>
      </w:r>
      <w:r w:rsidRPr="005960F5">
        <w:rPr>
          <w:rFonts w:cs="Arial"/>
        </w:rPr>
        <w:t>Uredbe 2016/1011/EU</w:t>
      </w:r>
      <w:r w:rsidR="00B17B71" w:rsidRPr="005960F5">
        <w:t xml:space="preserve"> </w:t>
      </w:r>
      <w:r w:rsidRPr="005960F5">
        <w:rPr>
          <w:rFonts w:cs="Arial"/>
        </w:rPr>
        <w:t>ima agencija tudi naslednja nadzorna pooblastila:</w:t>
      </w:r>
    </w:p>
    <w:p w14:paraId="619C4F3D" w14:textId="3156B46E" w:rsidR="000317F7" w:rsidRPr="005960F5" w:rsidRDefault="00F06B25">
      <w:pPr>
        <w:spacing w:before="210" w:after="210"/>
        <w:rPr>
          <w:rFonts w:cs="Arial"/>
          <w:sz w:val="21"/>
        </w:rPr>
      </w:pPr>
      <w:r w:rsidRPr="005960F5">
        <w:rPr>
          <w:rFonts w:cs="Arial"/>
        </w:rPr>
        <w:t xml:space="preserve">1.      zahteva lahko informacije od katerekoli osebe, ki sodeluje pri zagotavljanju referenčne vrednosti in prispevanju podatkov zanjo, vključno od ponudnikov storitev, ki so jim bile funkcije, storitve ali dejavnosti pri </w:t>
      </w:r>
      <w:r w:rsidRPr="005960F5">
        <w:rPr>
          <w:rFonts w:cs="Arial"/>
        </w:rPr>
        <w:lastRenderedPageBreak/>
        <w:t>zagotavljanju referenčnih vrednosti prenesene v zunanje izvajanje v skladu z</w:t>
      </w:r>
      <w:r w:rsidR="00B17B71" w:rsidRPr="005960F5">
        <w:rPr>
          <w:rFonts w:cs="Arial"/>
        </w:rPr>
        <w:t xml:space="preserve"> </w:t>
      </w:r>
      <w:r w:rsidRPr="005960F5">
        <w:rPr>
          <w:rFonts w:cs="Arial"/>
        </w:rPr>
        <w:t>Uredbo 2016/1011/EU, ter od njihovih naročnikov, po potrebi lahko te osebe tudi povabi na zaslišanje in jih zasliši, da bi pridobila informacije,</w:t>
      </w:r>
    </w:p>
    <w:p w14:paraId="4498BA11" w14:textId="77777777" w:rsidR="000317F7" w:rsidRPr="005960F5" w:rsidRDefault="00F06B25">
      <w:pPr>
        <w:spacing w:before="210" w:after="210"/>
        <w:rPr>
          <w:rFonts w:cs="Arial"/>
          <w:sz w:val="21"/>
        </w:rPr>
      </w:pPr>
      <w:r w:rsidRPr="005960F5">
        <w:rPr>
          <w:rFonts w:cs="Arial"/>
        </w:rPr>
        <w:t>2.      v zvezi z referenčnimi vrednostmi za blago lahko po potrebi zahteva informacije od prispevajočih oseb na povezanih promptnih trgih, v skladu s standardiziranimi oblikami in poročili o poslih, ter neposreden dostop do sistemov trgovanja,</w:t>
      </w:r>
    </w:p>
    <w:p w14:paraId="3226EF06" w14:textId="77777777" w:rsidR="000317F7" w:rsidRPr="005960F5" w:rsidRDefault="00F06B25">
      <w:pPr>
        <w:spacing w:before="210" w:after="210"/>
        <w:rPr>
          <w:rFonts w:cs="Arial"/>
          <w:sz w:val="21"/>
        </w:rPr>
      </w:pPr>
      <w:r w:rsidRPr="005960F5">
        <w:rPr>
          <w:rFonts w:cs="Arial"/>
        </w:rPr>
        <w:t>3.      sprejme vse potrebne ukrepe, s katerimi zagotovi, da je javnost pravilno obveščena o zagotavljanju referenčne vrednosti, vključno z zahtevo, da ustrezen upravljavec ali oseba, ki je objavila ali razširila podatke o referenčni vrednosti, ali oba objavita popravljeno izjavo o preteklih prispevkih k referenčni vrednosti ali številčne podatke o referenčni vrednosti.</w:t>
      </w:r>
    </w:p>
    <w:p w14:paraId="1AAC92A6" w14:textId="4283CF11" w:rsidR="000317F7" w:rsidRPr="005960F5" w:rsidRDefault="00F06B25">
      <w:pPr>
        <w:spacing w:before="210" w:after="210"/>
        <w:rPr>
          <w:rFonts w:cs="Arial"/>
          <w:sz w:val="21"/>
        </w:rPr>
      </w:pPr>
      <w:r w:rsidRPr="005960F5">
        <w:rPr>
          <w:rFonts w:cs="Arial"/>
        </w:rPr>
        <w:t>(11) Vsi ukrepi in sankcije, ki jih izreče ali naloži agencija v zvezi s kršitvami tega zakona,</w:t>
      </w:r>
      <w:r w:rsidR="00B17B71" w:rsidRPr="005960F5">
        <w:rPr>
          <w:rFonts w:cs="Arial"/>
        </w:rPr>
        <w:t xml:space="preserve"> </w:t>
      </w:r>
      <w:r w:rsidRPr="005960F5">
        <w:rPr>
          <w:rFonts w:cs="Arial"/>
        </w:rPr>
        <w:t>Uredbe 600/2014/EU</w:t>
      </w:r>
      <w:r w:rsidR="00B17B71" w:rsidRPr="005960F5">
        <w:t xml:space="preserve"> </w:t>
      </w:r>
      <w:r w:rsidRPr="005960F5">
        <w:rPr>
          <w:rFonts w:cs="Arial"/>
        </w:rPr>
        <w:t>ali</w:t>
      </w:r>
      <w:r w:rsidR="00B17B71" w:rsidRPr="005960F5">
        <w:rPr>
          <w:rFonts w:cs="Arial"/>
        </w:rPr>
        <w:t xml:space="preserve"> </w:t>
      </w:r>
      <w:r w:rsidRPr="005960F5">
        <w:rPr>
          <w:rFonts w:cs="Arial"/>
        </w:rPr>
        <w:t>Uredbe 2016/1011/EU, morajo biti učinkoviti pri odpravi kršitev, odvračilni glede nadaljnjih kršitev ter sorazmerni vrsti in obsegu ugotovljene kršitve. Agencija pri odločanju glede vrste in obsega izrečenih ukrepov ali naloženih sankcij upošteva vse pomembne okoliščine.</w:t>
      </w:r>
    </w:p>
    <w:p w14:paraId="69829922" w14:textId="77777777" w:rsidR="000317F7" w:rsidRPr="005960F5" w:rsidRDefault="00F06B25">
      <w:pPr>
        <w:spacing w:before="210" w:after="210"/>
        <w:rPr>
          <w:rFonts w:cs="Arial"/>
          <w:sz w:val="21"/>
        </w:rPr>
      </w:pPr>
      <w:r w:rsidRPr="005960F5">
        <w:rPr>
          <w:rFonts w:cs="Arial"/>
        </w:rPr>
        <w:t>(12) Ne glede na prvi do tretji odstavek tega člena se 310. in 311. člen ZBan-3 uporabljata izključno za nadzor nad 6. poglavjem tega zakona.</w:t>
      </w:r>
    </w:p>
    <w:p w14:paraId="52399B58" w14:textId="77777777" w:rsidR="000317F7" w:rsidRPr="005960F5" w:rsidRDefault="00F06B25">
      <w:pPr>
        <w:spacing w:before="210" w:after="210"/>
        <w:rPr>
          <w:rFonts w:cs="Arial"/>
          <w:sz w:val="21"/>
        </w:rPr>
      </w:pPr>
      <w:r w:rsidRPr="005960F5">
        <w:rPr>
          <w:rFonts w:cs="Arial"/>
        </w:rPr>
        <w:t>(13) Agencija pri opravljanju nadzora iz prvega do tretjega odstavka tega člena osebne podatke obdeluje v skladu z zakonom, ki ureja varstvo osebnih podatkov.</w:t>
      </w:r>
    </w:p>
    <w:p w14:paraId="070971B0" w14:textId="77777777" w:rsidR="000317F7" w:rsidRDefault="00F06B25">
      <w:pPr>
        <w:spacing w:before="210" w:after="210"/>
        <w:rPr>
          <w:rFonts w:cs="Arial"/>
        </w:rPr>
      </w:pPr>
      <w:r w:rsidRPr="005960F5">
        <w:rPr>
          <w:rFonts w:cs="Arial"/>
        </w:rPr>
        <w:t>(14) Agencija lahko z odredbo zahteva, da borznoposredniška družba ali upravljalni organ izvede dodatne dejavnosti ali postopke za odpravljanje ugotovljenih kršitev v borznoposredniški družbi, če je mogoče pričakovati, da se bo s temi ukrepi zagotovilo učinkovitejše odpravljanje ugotovljenih kršitev, vzpostavilo poslovanje borznoposredniške družbe v skladu s tem zakonom ali preprečil nastanek kršitve predpisov iz prvega odstavka 232. člena tega zakona, ki imajo ali bi lahko imele pomembne učinke na varno in skrbno upravljanje borznoposredniške družbe.</w:t>
      </w:r>
    </w:p>
    <w:p w14:paraId="5140EB53" w14:textId="77777777" w:rsidR="00A25314" w:rsidRPr="004324ED" w:rsidRDefault="00A25314" w:rsidP="004324ED">
      <w:pPr>
        <w:pStyle w:val="center"/>
        <w:spacing w:before="210" w:after="210"/>
        <w:rPr>
          <w:rFonts w:cs="Arial"/>
          <w:b/>
          <w:sz w:val="21"/>
        </w:rPr>
      </w:pPr>
      <w:r w:rsidRPr="004324ED">
        <w:rPr>
          <w:rFonts w:cs="Arial"/>
          <w:b/>
          <w:sz w:val="21"/>
        </w:rPr>
        <w:t>357.a člen</w:t>
      </w:r>
    </w:p>
    <w:p w14:paraId="4290BF78" w14:textId="77777777" w:rsidR="00A25314" w:rsidRPr="004324ED" w:rsidRDefault="00A25314" w:rsidP="004324ED">
      <w:pPr>
        <w:pStyle w:val="center"/>
        <w:spacing w:before="210" w:after="210"/>
        <w:rPr>
          <w:rFonts w:cs="Arial"/>
          <w:b/>
          <w:sz w:val="21"/>
        </w:rPr>
      </w:pPr>
      <w:r w:rsidRPr="004324ED">
        <w:rPr>
          <w:rFonts w:cs="Arial"/>
          <w:b/>
          <w:sz w:val="21"/>
        </w:rPr>
        <w:t>(posredovanje informacij v evropsko enotno točko dostopa)</w:t>
      </w:r>
    </w:p>
    <w:p w14:paraId="460E4326" w14:textId="77777777" w:rsidR="00A25314" w:rsidRPr="00A25314" w:rsidRDefault="00A25314" w:rsidP="00A25314">
      <w:pPr>
        <w:spacing w:before="210" w:after="210"/>
        <w:rPr>
          <w:rFonts w:cs="Arial"/>
        </w:rPr>
      </w:pPr>
      <w:r w:rsidRPr="00A25314">
        <w:rPr>
          <w:rFonts w:cs="Arial"/>
        </w:rPr>
        <w:t>(1) Agencija je organ za zbiranje podatkov, kot je opredeljen v 2. točki 2. člena Uredbe 2023/2859/EU, za informacije iz desetega odstavka 322. člena, osmega odstavka 326. člena, četrtega odstavka 368. člena in tretjega odstavka 406. člena tega zakona ter zagotavlja, da so te informacije dostopne v evropski enotni točki dostopa, vzpostavljeni na podlagi prvega odstavka 1. člena Uredbe 2023/2859/EU.</w:t>
      </w:r>
    </w:p>
    <w:p w14:paraId="2C32D981" w14:textId="77777777" w:rsidR="00A25314" w:rsidRPr="00A25314" w:rsidRDefault="00A25314" w:rsidP="00A25314">
      <w:pPr>
        <w:spacing w:before="210" w:after="210"/>
        <w:rPr>
          <w:rFonts w:cs="Arial"/>
        </w:rPr>
      </w:pPr>
      <w:r w:rsidRPr="00A25314">
        <w:rPr>
          <w:rFonts w:cs="Arial"/>
        </w:rPr>
        <w:t>(2) Informacije iz prejšnjega odstavka so skladne z naslednjimi zahtevami:</w:t>
      </w:r>
    </w:p>
    <w:p w14:paraId="35CEF564" w14:textId="77777777" w:rsidR="00A25314" w:rsidRPr="00A25314" w:rsidRDefault="00A25314" w:rsidP="00A25314">
      <w:pPr>
        <w:spacing w:before="210" w:after="210"/>
        <w:rPr>
          <w:rFonts w:cs="Arial"/>
        </w:rPr>
      </w:pPr>
      <w:r w:rsidRPr="00A25314">
        <w:rPr>
          <w:rFonts w:cs="Arial"/>
        </w:rPr>
        <w:t>1. predložene so v formatu, ki omogoča izvoz podatkov, kot je opredeljen v 3. točki 2. člena Uredbe 2023/2859/EU, ali, kadar to zahtevajo predpisi, v strojno berljivem formatu, kot je opredeljen v 4. točki 2. člena Uredbe 2023/2859/EU;</w:t>
      </w:r>
    </w:p>
    <w:p w14:paraId="5FA8DAC3" w14:textId="77777777" w:rsidR="00A25314" w:rsidRPr="00A25314" w:rsidRDefault="00A25314" w:rsidP="00A25314">
      <w:pPr>
        <w:spacing w:before="210" w:after="210"/>
        <w:rPr>
          <w:rFonts w:cs="Arial"/>
        </w:rPr>
      </w:pPr>
      <w:r w:rsidRPr="00A25314">
        <w:rPr>
          <w:rFonts w:cs="Arial"/>
        </w:rPr>
        <w:t>2. vsebujejo naslednje metapodatke:</w:t>
      </w:r>
    </w:p>
    <w:p w14:paraId="6BDD5815" w14:textId="77777777" w:rsidR="00A25314" w:rsidRPr="00A25314" w:rsidRDefault="00A25314" w:rsidP="00A25314">
      <w:pPr>
        <w:spacing w:before="210" w:after="210"/>
        <w:rPr>
          <w:rFonts w:cs="Arial"/>
        </w:rPr>
      </w:pPr>
      <w:r w:rsidRPr="00A25314">
        <w:rPr>
          <w:rFonts w:cs="Arial"/>
        </w:rPr>
        <w:t>– vsa imena družbe, na katero se informacije nanašajo;</w:t>
      </w:r>
    </w:p>
    <w:p w14:paraId="25891764" w14:textId="77777777" w:rsidR="00A25314" w:rsidRPr="00A25314" w:rsidRDefault="00A25314" w:rsidP="00A25314">
      <w:pPr>
        <w:spacing w:before="210" w:after="210"/>
        <w:rPr>
          <w:rFonts w:cs="Arial"/>
        </w:rPr>
      </w:pPr>
      <w:r w:rsidRPr="00A25314">
        <w:rPr>
          <w:rFonts w:cs="Arial"/>
        </w:rPr>
        <w:t>– enolično mednarodno identifikacijsko številko (LEI-koda) družbe, kot je določena na podlagi b) točke četrtega odstavka 7. člena Uredbe 2023/2859/EU;</w:t>
      </w:r>
    </w:p>
    <w:p w14:paraId="17531140" w14:textId="77777777" w:rsidR="00A25314" w:rsidRPr="00A25314" w:rsidRDefault="00A25314" w:rsidP="00A25314">
      <w:pPr>
        <w:spacing w:before="210" w:after="210"/>
        <w:rPr>
          <w:rFonts w:cs="Arial"/>
        </w:rPr>
      </w:pPr>
      <w:r w:rsidRPr="00A25314">
        <w:rPr>
          <w:rFonts w:cs="Arial"/>
        </w:rPr>
        <w:lastRenderedPageBreak/>
        <w:t>– velikost družbe po kategorijah, kot so določene na podlagi d) točke četrtega odstavka 7. člena Uredbe 2023/2859/EU;</w:t>
      </w:r>
    </w:p>
    <w:p w14:paraId="68C98762" w14:textId="77777777" w:rsidR="00A25314" w:rsidRPr="00A25314" w:rsidRDefault="00A25314" w:rsidP="00A25314">
      <w:pPr>
        <w:spacing w:before="210" w:after="210"/>
        <w:rPr>
          <w:rFonts w:cs="Arial"/>
        </w:rPr>
      </w:pPr>
      <w:r w:rsidRPr="00A25314">
        <w:rPr>
          <w:rFonts w:cs="Arial"/>
        </w:rPr>
        <w:t>– vrsto informacij glede na razvrstitev na podlagi c) točke četrtega odstavka 7. člena Uredbe 2023/2859/EU;</w:t>
      </w:r>
    </w:p>
    <w:p w14:paraId="165BB137" w14:textId="77777777" w:rsidR="00A25314" w:rsidRPr="00A25314" w:rsidRDefault="00A25314" w:rsidP="00A25314">
      <w:pPr>
        <w:spacing w:before="210" w:after="210"/>
        <w:rPr>
          <w:rFonts w:cs="Arial"/>
        </w:rPr>
      </w:pPr>
      <w:r w:rsidRPr="00A25314">
        <w:rPr>
          <w:rFonts w:cs="Arial"/>
        </w:rPr>
        <w:t>– oznako, ali informacije vsebujejo osebne podatke.</w:t>
      </w:r>
    </w:p>
    <w:p w14:paraId="56AA530F" w14:textId="77777777" w:rsidR="00A25314" w:rsidRPr="00A25314" w:rsidRDefault="00A25314" w:rsidP="00A25314">
      <w:pPr>
        <w:spacing w:before="210" w:after="210"/>
        <w:rPr>
          <w:rFonts w:cs="Arial"/>
        </w:rPr>
      </w:pPr>
      <w:r w:rsidRPr="00A25314">
        <w:rPr>
          <w:rFonts w:cs="Arial"/>
        </w:rPr>
        <w:t>(3) Družbe, ki poročajo v skladu s prvim odstavkom tega člena, imajo enolično mednarodno identifikacijsko številko (LEI-koda), kot je določena na podlagi b) točke četrtega odstavka 7. člena Uredbe 2023/2859/EU.</w:t>
      </w:r>
    </w:p>
    <w:p w14:paraId="5F415C9C" w14:textId="77777777" w:rsidR="00A25314" w:rsidRPr="00A25314" w:rsidRDefault="00A25314" w:rsidP="00A25314">
      <w:pPr>
        <w:spacing w:before="210" w:after="210"/>
        <w:rPr>
          <w:rFonts w:cs="Arial"/>
        </w:rPr>
      </w:pPr>
      <w:r w:rsidRPr="00A25314">
        <w:rPr>
          <w:rFonts w:cs="Arial"/>
        </w:rPr>
        <w:t>(4) Agencija zagotovi, da so informacije, ki jih objavi v skladu s šestim odstavkom 322. člena, 357. členom in petim odstavkom 422. člena tega zakona, dostopne v evropski enotni točki dostopa, vzpostavljeni na podlagi prvega odstavka 1. člena Uredbe 2023/2859/EU.</w:t>
      </w:r>
    </w:p>
    <w:p w14:paraId="698AB7AB" w14:textId="77777777" w:rsidR="00A25314" w:rsidRPr="00A25314" w:rsidRDefault="00A25314" w:rsidP="00A25314">
      <w:pPr>
        <w:spacing w:before="210" w:after="210"/>
        <w:rPr>
          <w:rFonts w:cs="Arial"/>
        </w:rPr>
      </w:pPr>
      <w:r w:rsidRPr="00A25314">
        <w:rPr>
          <w:rFonts w:cs="Arial"/>
        </w:rPr>
        <w:t>(5) Informacije iz prejšnjega odstavka so skladne z naslednjimi zahtevami:</w:t>
      </w:r>
    </w:p>
    <w:p w14:paraId="09B503A6" w14:textId="77777777" w:rsidR="00A25314" w:rsidRPr="00A25314" w:rsidRDefault="00A25314" w:rsidP="00A25314">
      <w:pPr>
        <w:spacing w:before="210" w:after="210"/>
        <w:rPr>
          <w:rFonts w:cs="Arial"/>
        </w:rPr>
      </w:pPr>
      <w:r w:rsidRPr="00A25314">
        <w:rPr>
          <w:rFonts w:cs="Arial"/>
        </w:rPr>
        <w:t>1. predložene so v formatu, ki omogoča izvoz podatkov, kot je opredeljen v 3. točki 2. člena Uredbe 2023/2859/EU;</w:t>
      </w:r>
    </w:p>
    <w:p w14:paraId="0059B9B2" w14:textId="77777777" w:rsidR="00A25314" w:rsidRPr="00A25314" w:rsidRDefault="00A25314" w:rsidP="00A25314">
      <w:pPr>
        <w:spacing w:before="210" w:after="210"/>
        <w:rPr>
          <w:rFonts w:cs="Arial"/>
        </w:rPr>
      </w:pPr>
      <w:r w:rsidRPr="00A25314">
        <w:rPr>
          <w:rFonts w:cs="Arial"/>
        </w:rPr>
        <w:t>2. vsebujejo naslednje metapodatke:</w:t>
      </w:r>
    </w:p>
    <w:p w14:paraId="0D359298" w14:textId="77777777" w:rsidR="00A25314" w:rsidRPr="00A25314" w:rsidRDefault="00A25314" w:rsidP="00A25314">
      <w:pPr>
        <w:spacing w:before="210" w:after="210"/>
        <w:rPr>
          <w:rFonts w:cs="Arial"/>
        </w:rPr>
      </w:pPr>
      <w:r w:rsidRPr="00A25314">
        <w:rPr>
          <w:rFonts w:cs="Arial"/>
        </w:rPr>
        <w:t>– vsa imena družbe, na katero se informacije nanašajo;</w:t>
      </w:r>
    </w:p>
    <w:p w14:paraId="5B459C26" w14:textId="77777777" w:rsidR="00A25314" w:rsidRPr="00A25314" w:rsidRDefault="00A25314" w:rsidP="00A25314">
      <w:pPr>
        <w:spacing w:before="210" w:after="210"/>
        <w:rPr>
          <w:rFonts w:cs="Arial"/>
        </w:rPr>
      </w:pPr>
      <w:r w:rsidRPr="00A25314">
        <w:rPr>
          <w:rFonts w:cs="Arial"/>
        </w:rPr>
        <w:t>– če obstaja, enolično mednarodno identifikacijsko številko (LEI-koda) družbe, kot je določena na podlagi b) točke četrtega odstavka 7. člena Uredbe 2023/2859/EU;</w:t>
      </w:r>
    </w:p>
    <w:p w14:paraId="1884383D" w14:textId="77777777" w:rsidR="00A25314" w:rsidRPr="00A25314" w:rsidRDefault="00A25314" w:rsidP="00A25314">
      <w:pPr>
        <w:spacing w:before="210" w:after="210"/>
        <w:rPr>
          <w:rFonts w:cs="Arial"/>
        </w:rPr>
      </w:pPr>
      <w:r w:rsidRPr="00A25314">
        <w:rPr>
          <w:rFonts w:cs="Arial"/>
        </w:rPr>
        <w:t>– vrsto informacij glede na razvrstitev na podlagi c) točke četrtega odstavka 7. člena Uredbe 2023/2859/EU;</w:t>
      </w:r>
    </w:p>
    <w:p w14:paraId="236E2992" w14:textId="77777777" w:rsidR="00A25314" w:rsidRPr="00A25314" w:rsidRDefault="00A25314" w:rsidP="00A25314">
      <w:pPr>
        <w:spacing w:before="210" w:after="210"/>
        <w:rPr>
          <w:rFonts w:cs="Arial"/>
        </w:rPr>
      </w:pPr>
      <w:r w:rsidRPr="00A25314">
        <w:rPr>
          <w:rFonts w:cs="Arial"/>
        </w:rPr>
        <w:t>– oznako, ali informacije vsebujejo osebne podatke.</w:t>
      </w:r>
    </w:p>
    <w:p w14:paraId="372E7C67" w14:textId="543D7C5C" w:rsidR="00A25314" w:rsidRDefault="00A25314" w:rsidP="00A25314">
      <w:pPr>
        <w:spacing w:before="210" w:after="210"/>
        <w:rPr>
          <w:rFonts w:cs="Arial"/>
        </w:rPr>
      </w:pPr>
      <w:r w:rsidRPr="00A25314">
        <w:rPr>
          <w:rFonts w:cs="Arial"/>
        </w:rPr>
        <w:t>(6) Informacije, ki jih agencija predloži ESMA na podlagi tretjega odstavka 197. člena in tretjega odstavka 319. člena tega zakona, so skladne z zahtevami iz prejšnjega odstavka.</w:t>
      </w:r>
    </w:p>
    <w:p w14:paraId="105B23F0" w14:textId="77777777" w:rsidR="000317F7" w:rsidRPr="005960F5" w:rsidRDefault="00F06B25">
      <w:pPr>
        <w:pStyle w:val="center"/>
        <w:spacing w:before="210" w:after="210"/>
        <w:rPr>
          <w:rFonts w:cs="Arial"/>
          <w:b/>
          <w:sz w:val="21"/>
        </w:rPr>
      </w:pPr>
      <w:r w:rsidRPr="005960F5">
        <w:rPr>
          <w:rFonts w:cs="Arial"/>
          <w:b/>
          <w:sz w:val="21"/>
        </w:rPr>
        <w:t>362. člen</w:t>
      </w:r>
    </w:p>
    <w:p w14:paraId="137E6E1B" w14:textId="77777777" w:rsidR="000317F7" w:rsidRPr="005960F5" w:rsidRDefault="00F06B25">
      <w:pPr>
        <w:pStyle w:val="center"/>
        <w:spacing w:before="210" w:after="210"/>
        <w:rPr>
          <w:rFonts w:cs="Arial"/>
          <w:b/>
          <w:sz w:val="21"/>
        </w:rPr>
      </w:pPr>
      <w:r w:rsidRPr="005960F5">
        <w:rPr>
          <w:rFonts w:cs="Arial"/>
          <w:b/>
          <w:sz w:val="21"/>
        </w:rPr>
        <w:t>(predpisi o borzi in borznem trgu)</w:t>
      </w:r>
    </w:p>
    <w:p w14:paraId="7452B2F5" w14:textId="77777777" w:rsidR="000317F7" w:rsidRPr="005960F5" w:rsidRDefault="00F06B25">
      <w:pPr>
        <w:spacing w:before="210" w:after="210"/>
        <w:rPr>
          <w:rFonts w:cs="Arial"/>
          <w:sz w:val="21"/>
        </w:rPr>
      </w:pPr>
      <w:r w:rsidRPr="005960F5">
        <w:rPr>
          <w:rFonts w:cs="Arial"/>
        </w:rPr>
        <w:t>Agencija predpiše:</w:t>
      </w:r>
    </w:p>
    <w:p w14:paraId="23A86734" w14:textId="77777777" w:rsidR="000317F7" w:rsidRPr="005960F5" w:rsidRDefault="00F06B25">
      <w:pPr>
        <w:spacing w:before="210" w:after="210"/>
        <w:rPr>
          <w:rFonts w:cs="Arial"/>
          <w:sz w:val="21"/>
        </w:rPr>
      </w:pPr>
      <w:r w:rsidRPr="005960F5">
        <w:rPr>
          <w:rFonts w:cs="Arial"/>
        </w:rPr>
        <w:t>1.      podrobnejše organizacijske zahteve za upravljanje borznega trga,</w:t>
      </w:r>
    </w:p>
    <w:p w14:paraId="0E8BF5A8" w14:textId="77777777" w:rsidR="000317F7" w:rsidRPr="005960F5" w:rsidRDefault="00F06B25">
      <w:pPr>
        <w:spacing w:before="210" w:after="210"/>
        <w:rPr>
          <w:rFonts w:cs="Arial"/>
          <w:sz w:val="21"/>
        </w:rPr>
      </w:pPr>
      <w:r w:rsidRPr="005960F5">
        <w:rPr>
          <w:rFonts w:cs="Arial"/>
        </w:rPr>
        <w:t>2.      podrobnejše pogoje za uvrstitev vrednostnih papirjev v uradno borzno kotacijo, zlasti glede:</w:t>
      </w:r>
    </w:p>
    <w:p w14:paraId="2A5BF79D" w14:textId="77777777" w:rsidR="000317F7" w:rsidRPr="005960F5" w:rsidRDefault="00F06B25">
      <w:pPr>
        <w:spacing w:before="210" w:after="210"/>
        <w:rPr>
          <w:rFonts w:cs="Arial"/>
          <w:sz w:val="21"/>
        </w:rPr>
      </w:pPr>
      <w:r w:rsidRPr="005960F5">
        <w:rPr>
          <w:rFonts w:cs="Arial"/>
        </w:rPr>
        <w:t>-  predvidene tržne kapitalizacije delnic,</w:t>
      </w:r>
    </w:p>
    <w:p w14:paraId="253703C0" w14:textId="77777777" w:rsidR="000317F7" w:rsidRPr="005960F5" w:rsidRDefault="00F06B25">
      <w:pPr>
        <w:spacing w:before="210" w:after="210"/>
        <w:rPr>
          <w:rFonts w:cs="Arial"/>
          <w:sz w:val="21"/>
        </w:rPr>
      </w:pPr>
      <w:r w:rsidRPr="005960F5">
        <w:rPr>
          <w:rFonts w:cs="Arial"/>
        </w:rPr>
        <w:t>-  izjeme iz drugega odstavka 401. člena tega zakona,</w:t>
      </w:r>
    </w:p>
    <w:p w14:paraId="4A979BB0" w14:textId="77777777" w:rsidR="000317F7" w:rsidRPr="005960F5" w:rsidRDefault="00F06B25">
      <w:pPr>
        <w:spacing w:before="210" w:after="210"/>
        <w:rPr>
          <w:rFonts w:cs="Arial"/>
          <w:sz w:val="21"/>
        </w:rPr>
      </w:pPr>
      <w:r w:rsidRPr="005960F5">
        <w:rPr>
          <w:rFonts w:cs="Arial"/>
        </w:rPr>
        <w:t xml:space="preserve">-  ustrezne razpršitve </w:t>
      </w:r>
      <w:proofErr w:type="spellStart"/>
      <w:r w:rsidRPr="005960F5">
        <w:rPr>
          <w:rFonts w:cs="Arial"/>
        </w:rPr>
        <w:t>imetništva</w:t>
      </w:r>
      <w:proofErr w:type="spellEnd"/>
      <w:r w:rsidRPr="005960F5">
        <w:rPr>
          <w:rFonts w:cs="Arial"/>
        </w:rPr>
        <w:t xml:space="preserve"> delnic in</w:t>
      </w:r>
    </w:p>
    <w:p w14:paraId="353C9EF5" w14:textId="77777777" w:rsidR="000317F7" w:rsidRPr="005960F5" w:rsidRDefault="00F06B25">
      <w:pPr>
        <w:spacing w:before="210" w:after="210"/>
        <w:rPr>
          <w:rFonts w:cs="Arial"/>
          <w:sz w:val="21"/>
        </w:rPr>
      </w:pPr>
      <w:r w:rsidRPr="005960F5">
        <w:rPr>
          <w:rFonts w:cs="Arial"/>
        </w:rPr>
        <w:t>-  izjeme iz petega odstavka 402. člena tega zakona,</w:t>
      </w:r>
    </w:p>
    <w:p w14:paraId="71AAE5AF" w14:textId="77777777" w:rsidR="000317F7" w:rsidRPr="005960F5" w:rsidRDefault="00F06B25">
      <w:pPr>
        <w:spacing w:before="210" w:after="210"/>
        <w:rPr>
          <w:rFonts w:cs="Arial"/>
          <w:sz w:val="21"/>
        </w:rPr>
      </w:pPr>
      <w:r w:rsidRPr="005960F5">
        <w:rPr>
          <w:rFonts w:cs="Arial"/>
        </w:rPr>
        <w:t>3.      način in vsebino obvestil in objav iz 399. in 406. člena tega zakona,</w:t>
      </w:r>
    </w:p>
    <w:p w14:paraId="443A4BC2" w14:textId="77777777" w:rsidR="000317F7" w:rsidRPr="005960F5" w:rsidRDefault="00F06B25">
      <w:pPr>
        <w:spacing w:before="210" w:after="210"/>
        <w:rPr>
          <w:rFonts w:cs="Arial"/>
          <w:sz w:val="21"/>
        </w:rPr>
      </w:pPr>
      <w:r w:rsidRPr="005960F5">
        <w:rPr>
          <w:rFonts w:cs="Arial"/>
        </w:rPr>
        <w:lastRenderedPageBreak/>
        <w:t>4.      način in vsebino obvestil iz 412. ter 413. člena in prvega odstavka 415. člena tega zakona.</w:t>
      </w:r>
    </w:p>
    <w:p w14:paraId="0B791B96" w14:textId="77777777" w:rsidR="000317F7" w:rsidRPr="005960F5" w:rsidRDefault="00F06B25">
      <w:pPr>
        <w:pStyle w:val="center"/>
        <w:spacing w:before="210" w:after="210"/>
        <w:rPr>
          <w:rFonts w:cs="Arial"/>
          <w:b/>
          <w:sz w:val="21"/>
        </w:rPr>
      </w:pPr>
      <w:r w:rsidRPr="005960F5">
        <w:rPr>
          <w:rFonts w:cs="Arial"/>
          <w:b/>
          <w:sz w:val="21"/>
        </w:rPr>
        <w:t>401. člen</w:t>
      </w:r>
    </w:p>
    <w:p w14:paraId="4023EF42" w14:textId="77777777" w:rsidR="000317F7" w:rsidRPr="005960F5" w:rsidRDefault="00F06B25">
      <w:pPr>
        <w:pStyle w:val="center"/>
        <w:spacing w:before="210" w:after="210"/>
        <w:rPr>
          <w:rFonts w:cs="Arial"/>
          <w:b/>
          <w:sz w:val="21"/>
        </w:rPr>
      </w:pPr>
      <w:r w:rsidRPr="005960F5">
        <w:rPr>
          <w:rFonts w:cs="Arial"/>
          <w:b/>
          <w:sz w:val="21"/>
        </w:rPr>
        <w:t>(dodatni pogoji za uvrstitev delnic v uradno borzno kotacijo)</w:t>
      </w:r>
    </w:p>
    <w:p w14:paraId="3D9E7F6F" w14:textId="77777777" w:rsidR="000317F7" w:rsidRPr="005960F5" w:rsidRDefault="00F06B25">
      <w:pPr>
        <w:spacing w:before="210" w:after="210"/>
        <w:rPr>
          <w:rFonts w:cs="Arial"/>
          <w:sz w:val="21"/>
        </w:rPr>
      </w:pPr>
      <w:r w:rsidRPr="005960F5">
        <w:rPr>
          <w:rFonts w:cs="Arial"/>
        </w:rPr>
        <w:t>(1) V uradno borzno kotacijo se lahko uvrstijo samo delnice, katerih izdajatelj je objavil letno poročilo za zadnja tri poslovna leta v skladu s predpisi države sedeža izdajatelja.</w:t>
      </w:r>
    </w:p>
    <w:p w14:paraId="048B919B" w14:textId="77777777" w:rsidR="000317F7" w:rsidRPr="005960F5" w:rsidRDefault="00F06B25">
      <w:pPr>
        <w:spacing w:before="210" w:after="210"/>
        <w:rPr>
          <w:rFonts w:cs="Arial"/>
          <w:sz w:val="21"/>
        </w:rPr>
      </w:pPr>
      <w:r w:rsidRPr="005960F5">
        <w:rPr>
          <w:rFonts w:cs="Arial"/>
        </w:rPr>
        <w:t>(2) Ne glede na prejšnji odstavek se v uradno borzno kotacijo izjemoma lahko uvrstijo tudi delnice, glede katerih pogoj iz prejšnjega odstavka ni izpolnjen, če so vlagateljem na drug način zagotovljene informacije, ki jih potrebujejo za poučeno oceno izdajatelja in delnic.</w:t>
      </w:r>
    </w:p>
    <w:p w14:paraId="795D9756" w14:textId="77777777" w:rsidR="000317F7" w:rsidRPr="005960F5" w:rsidRDefault="00F06B25">
      <w:pPr>
        <w:spacing w:before="210" w:after="210"/>
        <w:rPr>
          <w:rFonts w:cs="Arial"/>
          <w:sz w:val="21"/>
        </w:rPr>
      </w:pPr>
      <w:r w:rsidRPr="005960F5">
        <w:rPr>
          <w:rFonts w:cs="Arial"/>
        </w:rPr>
        <w:t>(3) Delnice se v uradno borzno kotacijo uvrsti, če sta izpolnjena tudi naslednja dodatna pogoja:</w:t>
      </w:r>
    </w:p>
    <w:p w14:paraId="1683A8A5" w14:textId="77777777" w:rsidR="000317F7" w:rsidRPr="005960F5" w:rsidRDefault="00F06B25">
      <w:pPr>
        <w:spacing w:before="210" w:after="210"/>
        <w:rPr>
          <w:rFonts w:cs="Arial"/>
          <w:sz w:val="21"/>
        </w:rPr>
      </w:pPr>
      <w:r w:rsidRPr="005960F5">
        <w:rPr>
          <w:rFonts w:cs="Arial"/>
        </w:rPr>
        <w:t>1.      pred uvrstitvijo v uradno borzno kotacijo je potekel rok za vpis in vplačilo delnic, če je prej potekal postopek njihove prodaje javnosti,</w:t>
      </w:r>
    </w:p>
    <w:p w14:paraId="53E972B8" w14:textId="77777777" w:rsidR="000317F7" w:rsidRPr="005960F5" w:rsidRDefault="00F06B25">
      <w:pPr>
        <w:spacing w:before="210" w:after="210"/>
        <w:rPr>
          <w:rFonts w:cs="Arial"/>
          <w:sz w:val="21"/>
        </w:rPr>
      </w:pPr>
      <w:r w:rsidRPr="005960F5">
        <w:rPr>
          <w:rFonts w:cs="Arial"/>
        </w:rPr>
        <w:t xml:space="preserve">2.      </w:t>
      </w:r>
      <w:proofErr w:type="spellStart"/>
      <w:r w:rsidRPr="005960F5">
        <w:rPr>
          <w:rFonts w:cs="Arial"/>
        </w:rPr>
        <w:t>imetništvo</w:t>
      </w:r>
      <w:proofErr w:type="spellEnd"/>
      <w:r w:rsidRPr="005960F5">
        <w:rPr>
          <w:rFonts w:cs="Arial"/>
        </w:rPr>
        <w:t xml:space="preserve"> delnic je ustrezno razpršeno v javnosti.</w:t>
      </w:r>
    </w:p>
    <w:p w14:paraId="3DE2E033" w14:textId="77777777" w:rsidR="000317F7" w:rsidRPr="005960F5" w:rsidRDefault="00F06B25">
      <w:pPr>
        <w:spacing w:before="210" w:after="210"/>
        <w:rPr>
          <w:rFonts w:cs="Arial"/>
          <w:sz w:val="21"/>
        </w:rPr>
      </w:pPr>
      <w:r w:rsidRPr="005960F5">
        <w:rPr>
          <w:rFonts w:cs="Arial"/>
        </w:rPr>
        <w:t>(4) Zahteva za uvrstitev delnic v uradno borzno kotacijo se nanaša na celotno količino že izdanih delnic istega razreda.</w:t>
      </w:r>
    </w:p>
    <w:p w14:paraId="43BFD8D2" w14:textId="77777777" w:rsidR="000317F7" w:rsidRPr="005960F5" w:rsidRDefault="00F06B25">
      <w:pPr>
        <w:pStyle w:val="center"/>
        <w:spacing w:before="210" w:after="210"/>
        <w:rPr>
          <w:rFonts w:cs="Arial"/>
          <w:b/>
          <w:sz w:val="21"/>
        </w:rPr>
      </w:pPr>
      <w:r w:rsidRPr="005960F5">
        <w:rPr>
          <w:rFonts w:cs="Arial"/>
          <w:b/>
          <w:sz w:val="21"/>
        </w:rPr>
        <w:t>426. člen</w:t>
      </w:r>
    </w:p>
    <w:p w14:paraId="31EDD764" w14:textId="77777777" w:rsidR="000317F7" w:rsidRPr="005960F5" w:rsidRDefault="00F06B25">
      <w:pPr>
        <w:pStyle w:val="center"/>
        <w:spacing w:before="210" w:after="210"/>
        <w:rPr>
          <w:rFonts w:cs="Arial"/>
          <w:b/>
          <w:sz w:val="21"/>
        </w:rPr>
      </w:pPr>
      <w:r w:rsidRPr="005960F5">
        <w:rPr>
          <w:rFonts w:cs="Arial"/>
          <w:b/>
          <w:sz w:val="21"/>
        </w:rPr>
        <w:t>(preiskovalni in nadzorni ukrepi agencije)</w:t>
      </w:r>
    </w:p>
    <w:p w14:paraId="0C6CEEC6" w14:textId="51EF5D8C" w:rsidR="000317F7" w:rsidRPr="005960F5" w:rsidRDefault="00F06B25">
      <w:pPr>
        <w:spacing w:before="210" w:after="210"/>
        <w:rPr>
          <w:rFonts w:cs="Arial"/>
          <w:sz w:val="21"/>
        </w:rPr>
      </w:pPr>
      <w:r w:rsidRPr="005960F5">
        <w:rPr>
          <w:rFonts w:cs="Arial"/>
        </w:rPr>
        <w:t>(1) Agencija za dosego namena nadzora iz 424. člena tega zakona uporabi ukrepe iz drugega odstavka 23. člena</w:t>
      </w:r>
      <w:r w:rsidR="00B17B71" w:rsidRPr="005960F5">
        <w:rPr>
          <w:rFonts w:cs="Arial"/>
        </w:rPr>
        <w:t xml:space="preserve"> </w:t>
      </w:r>
      <w:r w:rsidRPr="005960F5">
        <w:rPr>
          <w:rFonts w:cs="Arial"/>
        </w:rPr>
        <w:t>Uredbe 596/2014/EU. Če ta zakon ne določa drugače, se ukrepi iz drugega odstavka 23. člena</w:t>
      </w:r>
      <w:r w:rsidR="00B17B71" w:rsidRPr="005960F5">
        <w:rPr>
          <w:rFonts w:cs="Arial"/>
        </w:rPr>
        <w:t xml:space="preserve"> </w:t>
      </w:r>
      <w:r w:rsidRPr="005960F5">
        <w:rPr>
          <w:rFonts w:cs="Arial"/>
        </w:rPr>
        <w:t>Uredbe 596/2014/EU</w:t>
      </w:r>
      <w:r w:rsidR="00B17B71" w:rsidRPr="005960F5">
        <w:t xml:space="preserve"> </w:t>
      </w:r>
      <w:r w:rsidRPr="005960F5">
        <w:rPr>
          <w:rFonts w:cs="Arial"/>
        </w:rPr>
        <w:t>izvedejo v skladu z ZIN.</w:t>
      </w:r>
    </w:p>
    <w:p w14:paraId="4A10D46E" w14:textId="65DA6BC3" w:rsidR="000317F7" w:rsidRPr="005960F5" w:rsidRDefault="00F06B25">
      <w:pPr>
        <w:spacing w:before="210" w:after="210"/>
        <w:rPr>
          <w:rFonts w:cs="Arial"/>
          <w:sz w:val="21"/>
        </w:rPr>
      </w:pPr>
      <w:r w:rsidRPr="005960F5">
        <w:rPr>
          <w:rFonts w:cs="Arial"/>
        </w:rPr>
        <w:t>(2) Če agencija pri nadzoru ugotovi kršitev določb</w:t>
      </w:r>
      <w:r w:rsidR="00B17B71" w:rsidRPr="005960F5">
        <w:rPr>
          <w:rFonts w:cs="Arial"/>
        </w:rPr>
        <w:t xml:space="preserve"> </w:t>
      </w:r>
      <w:r w:rsidRPr="005960F5">
        <w:rPr>
          <w:rFonts w:cs="Arial"/>
        </w:rPr>
        <w:t>Uredbe 596/2014/EU, navedenih v (a) točki prvega odstavka 30. člena</w:t>
      </w:r>
      <w:r w:rsidR="00B17B71" w:rsidRPr="005960F5">
        <w:rPr>
          <w:rFonts w:cs="Arial"/>
        </w:rPr>
        <w:t xml:space="preserve"> </w:t>
      </w:r>
      <w:r w:rsidRPr="005960F5">
        <w:rPr>
          <w:rFonts w:cs="Arial"/>
        </w:rPr>
        <w:t>Uredbe 596/2014/EU, oziroma da nadzorovani subjekt ne sodeluje ali neskladno ravna v preiskavi, pregledu poslovanja ali ne upošteva agencije, kadar ta ravna v skladu z drugim odstavkom 23. člena</w:t>
      </w:r>
      <w:r w:rsidR="00B17B71" w:rsidRPr="005960F5">
        <w:rPr>
          <w:rFonts w:cs="Arial"/>
        </w:rPr>
        <w:t xml:space="preserve"> </w:t>
      </w:r>
      <w:r w:rsidRPr="005960F5">
        <w:rPr>
          <w:rFonts w:cs="Arial"/>
        </w:rPr>
        <w:t>Uredbe 596/2014/EU, izreče ukrepe nadzora iz (a) do (g) točke drugega odstavka 30. člena</w:t>
      </w:r>
      <w:r w:rsidR="00B17B71" w:rsidRPr="005960F5">
        <w:rPr>
          <w:rFonts w:cs="Arial"/>
        </w:rPr>
        <w:t xml:space="preserve"> </w:t>
      </w:r>
      <w:r w:rsidRPr="005960F5">
        <w:rPr>
          <w:rFonts w:cs="Arial"/>
        </w:rPr>
        <w:t>Uredbe 596/2014/EU</w:t>
      </w:r>
      <w:r w:rsidR="00B17B71" w:rsidRPr="005960F5">
        <w:t xml:space="preserve"> </w:t>
      </w:r>
      <w:r w:rsidRPr="005960F5">
        <w:rPr>
          <w:rFonts w:cs="Arial"/>
        </w:rPr>
        <w:t>in globe iz 540. člena tega zakona.</w:t>
      </w:r>
    </w:p>
    <w:p w14:paraId="02B26A23" w14:textId="77F8E7D8" w:rsidR="000317F7" w:rsidRPr="005960F5" w:rsidRDefault="00F06B25">
      <w:pPr>
        <w:spacing w:before="210" w:after="210"/>
        <w:rPr>
          <w:rFonts w:cs="Arial"/>
          <w:sz w:val="21"/>
        </w:rPr>
      </w:pPr>
      <w:r w:rsidRPr="005960F5">
        <w:rPr>
          <w:rFonts w:cs="Arial"/>
        </w:rPr>
        <w:t>(3) Agencija pri določanju ukrepov nadzora in določanju višine glob upošteva vse ustrezne okoliščine kršitve tako, da se z izrečenimi ukrepi zagotovi učinkovita odprava kršitev in preprečijo nadaljnja ravnanja ali opustitve, ki pomenijo kršitev</w:t>
      </w:r>
      <w:r w:rsidR="00B17B71" w:rsidRPr="005960F5">
        <w:rPr>
          <w:rFonts w:cs="Arial"/>
        </w:rPr>
        <w:t xml:space="preserve"> </w:t>
      </w:r>
      <w:r w:rsidRPr="005960F5">
        <w:rPr>
          <w:rFonts w:cs="Arial"/>
        </w:rPr>
        <w:t>Uredbe 596/2014/EU. Agencija pri tem upošteva zlasti:</w:t>
      </w:r>
    </w:p>
    <w:p w14:paraId="119E82F4" w14:textId="77777777" w:rsidR="000317F7" w:rsidRPr="005960F5" w:rsidRDefault="00F06B25">
      <w:pPr>
        <w:spacing w:before="210" w:after="210"/>
        <w:rPr>
          <w:rFonts w:cs="Arial"/>
          <w:sz w:val="21"/>
        </w:rPr>
      </w:pPr>
      <w:r w:rsidRPr="005960F5">
        <w:rPr>
          <w:rFonts w:cs="Arial"/>
        </w:rPr>
        <w:t>1.      resnost in trajanje kršitve;</w:t>
      </w:r>
    </w:p>
    <w:p w14:paraId="09129400" w14:textId="77777777" w:rsidR="000317F7" w:rsidRPr="005960F5" w:rsidRDefault="00F06B25">
      <w:pPr>
        <w:spacing w:before="210" w:after="210"/>
        <w:rPr>
          <w:rFonts w:cs="Arial"/>
          <w:sz w:val="21"/>
        </w:rPr>
      </w:pPr>
      <w:r w:rsidRPr="005960F5">
        <w:rPr>
          <w:rFonts w:cs="Arial"/>
        </w:rPr>
        <w:t>2.      stopnjo odgovornosti osebe, odgovorne za kršitev;</w:t>
      </w:r>
    </w:p>
    <w:p w14:paraId="28C487D0" w14:textId="77777777" w:rsidR="000317F7" w:rsidRPr="005960F5" w:rsidRDefault="00F06B25">
      <w:pPr>
        <w:spacing w:before="210" w:after="210"/>
        <w:rPr>
          <w:rFonts w:cs="Arial"/>
          <w:sz w:val="21"/>
        </w:rPr>
      </w:pPr>
      <w:r w:rsidRPr="005960F5">
        <w:rPr>
          <w:rFonts w:cs="Arial"/>
        </w:rPr>
        <w:t>3.      finančno stanje osebe, odgovorne za kršitev, kot se ugotovi na primer na podlagi skupnega prometa pravne osebe ali letnih prihodkov fizične osebe;</w:t>
      </w:r>
    </w:p>
    <w:p w14:paraId="169AF8CD" w14:textId="77777777" w:rsidR="000317F7" w:rsidRPr="005960F5" w:rsidRDefault="00F06B25">
      <w:pPr>
        <w:spacing w:before="210" w:after="210"/>
        <w:rPr>
          <w:rFonts w:cs="Arial"/>
          <w:sz w:val="21"/>
        </w:rPr>
      </w:pPr>
      <w:r w:rsidRPr="005960F5">
        <w:rPr>
          <w:rFonts w:cs="Arial"/>
        </w:rPr>
        <w:t>4.      obseg pridobljenega dobička ali preprečene izgube za osebo, odgovorno za kršitev, če ju je mogoče opredeliti;</w:t>
      </w:r>
    </w:p>
    <w:p w14:paraId="524799D4" w14:textId="77777777" w:rsidR="000317F7" w:rsidRPr="005960F5" w:rsidRDefault="00F06B25">
      <w:pPr>
        <w:spacing w:before="210" w:after="210"/>
        <w:rPr>
          <w:rFonts w:cs="Arial"/>
          <w:sz w:val="21"/>
        </w:rPr>
      </w:pPr>
      <w:r w:rsidRPr="005960F5">
        <w:rPr>
          <w:rFonts w:cs="Arial"/>
        </w:rPr>
        <w:lastRenderedPageBreak/>
        <w:t>5.      raven sodelovanja osebe, odgovorne za kršitev, z agencijo, pri čemer agencija ne upošteva vprašanja potrebe po vrnitvi pridobljenega dobička ali preprečene izgube na podlagi kršitve;</w:t>
      </w:r>
    </w:p>
    <w:p w14:paraId="1FE52D30" w14:textId="77777777" w:rsidR="000317F7" w:rsidRPr="005960F5" w:rsidRDefault="00F06B25">
      <w:pPr>
        <w:spacing w:before="210" w:after="210"/>
        <w:rPr>
          <w:rFonts w:cs="Arial"/>
          <w:sz w:val="21"/>
        </w:rPr>
      </w:pPr>
      <w:r w:rsidRPr="005960F5">
        <w:rPr>
          <w:rFonts w:cs="Arial"/>
        </w:rPr>
        <w:t>6.      prejšnje kršitve osebe, odgovorne za kršitev, in</w:t>
      </w:r>
    </w:p>
    <w:p w14:paraId="360355BE" w14:textId="77777777" w:rsidR="000317F7" w:rsidRPr="005960F5" w:rsidRDefault="00F06B25">
      <w:pPr>
        <w:spacing w:before="210" w:after="210"/>
        <w:rPr>
          <w:rFonts w:cs="Arial"/>
          <w:sz w:val="21"/>
        </w:rPr>
      </w:pPr>
      <w:r w:rsidRPr="005960F5">
        <w:rPr>
          <w:rFonts w:cs="Arial"/>
        </w:rPr>
        <w:t>7.      ukrepe, ki jih je oseba, odgovorna za kršitev, sprejela, da ne bi kršitve ponovila.</w:t>
      </w:r>
    </w:p>
    <w:p w14:paraId="38FD228E" w14:textId="77777777" w:rsidR="000317F7" w:rsidRPr="005960F5" w:rsidRDefault="00F06B25">
      <w:pPr>
        <w:pStyle w:val="center"/>
        <w:spacing w:before="210" w:after="210"/>
        <w:rPr>
          <w:rFonts w:cs="Arial"/>
          <w:b/>
          <w:sz w:val="21"/>
        </w:rPr>
      </w:pPr>
      <w:r w:rsidRPr="005960F5">
        <w:rPr>
          <w:rFonts w:cs="Arial"/>
          <w:b/>
          <w:sz w:val="21"/>
        </w:rPr>
        <w:t>516. člen</w:t>
      </w:r>
    </w:p>
    <w:p w14:paraId="622374D4" w14:textId="77777777" w:rsidR="000317F7" w:rsidRPr="005960F5" w:rsidRDefault="00F06B25">
      <w:pPr>
        <w:pStyle w:val="center"/>
        <w:spacing w:before="210" w:after="210"/>
        <w:rPr>
          <w:rFonts w:cs="Arial"/>
          <w:b/>
          <w:sz w:val="21"/>
        </w:rPr>
      </w:pPr>
      <w:r w:rsidRPr="005960F5">
        <w:rPr>
          <w:rFonts w:cs="Arial"/>
          <w:b/>
          <w:sz w:val="21"/>
        </w:rPr>
        <w:t>(posebna pravila za odločanje o zahtevi za izdajo dovoljenja za pridobitev kvalificiranega deleža)</w:t>
      </w:r>
    </w:p>
    <w:p w14:paraId="0545E1A7" w14:textId="77777777" w:rsidR="000317F7" w:rsidRPr="005960F5" w:rsidRDefault="00F06B25">
      <w:pPr>
        <w:spacing w:before="210" w:after="210"/>
        <w:rPr>
          <w:rFonts w:cs="Arial"/>
          <w:sz w:val="21"/>
        </w:rPr>
      </w:pPr>
      <w:r w:rsidRPr="005960F5">
        <w:rPr>
          <w:rFonts w:cs="Arial"/>
        </w:rPr>
        <w:t>(1) Ne glede na šesti odstavek 512. člena tega zakona agencija izda sklep o odpravi pomanjkljivosti zahteve za izdajo dovoljenja za pridobitev kvalificiranega deleža v dveh delovnih dneh po prejemu zahteve.</w:t>
      </w:r>
    </w:p>
    <w:p w14:paraId="64EE8813" w14:textId="77777777" w:rsidR="000317F7" w:rsidRPr="005960F5" w:rsidRDefault="00F06B25">
      <w:pPr>
        <w:spacing w:before="210" w:after="210"/>
        <w:rPr>
          <w:rFonts w:cs="Arial"/>
          <w:sz w:val="21"/>
        </w:rPr>
      </w:pPr>
      <w:r w:rsidRPr="005960F5">
        <w:rPr>
          <w:rFonts w:cs="Arial"/>
        </w:rPr>
        <w:t>(2) Agencija v dveh delovnih dneh vložniku zahteve izda potrdilo o prejemu popolne zahteve za izdajo dovoljenja za pridobitev kvalificiranega deleža. Rok iz prejšnjega stavka teče:</w:t>
      </w:r>
    </w:p>
    <w:p w14:paraId="2DE73AE3" w14:textId="77777777" w:rsidR="000317F7" w:rsidRPr="005960F5" w:rsidRDefault="00F06B25">
      <w:pPr>
        <w:spacing w:before="210" w:after="210"/>
        <w:rPr>
          <w:rFonts w:cs="Arial"/>
          <w:sz w:val="21"/>
        </w:rPr>
      </w:pPr>
      <w:r w:rsidRPr="005960F5">
        <w:rPr>
          <w:rFonts w:cs="Arial"/>
        </w:rPr>
        <w:t>1.      če agencija v roku iz prejšnjega odstavka ni izdala sklepa o odpravi pomanjkljivosti – od prejema zahteve,</w:t>
      </w:r>
    </w:p>
    <w:p w14:paraId="1ACAE538" w14:textId="77777777" w:rsidR="000317F7" w:rsidRPr="005960F5" w:rsidRDefault="00F06B25">
      <w:pPr>
        <w:spacing w:before="210" w:after="210"/>
        <w:rPr>
          <w:rFonts w:cs="Arial"/>
          <w:sz w:val="21"/>
        </w:rPr>
      </w:pPr>
      <w:r w:rsidRPr="005960F5">
        <w:rPr>
          <w:rFonts w:cs="Arial"/>
        </w:rPr>
        <w:t>2.      če je agencija v roku iz prejšnjega odstavka izdala sklep o odpravi pomanjkljivosti in je vložnik v roku, določenim s sklepom, zahtevo dopolnil oziroma popravil v skladu s tem sklepom – od prejema dopolnitve oziroma poprave zahteve.</w:t>
      </w:r>
    </w:p>
    <w:p w14:paraId="74C84525" w14:textId="77777777" w:rsidR="000317F7" w:rsidRPr="005960F5" w:rsidRDefault="00F06B25">
      <w:pPr>
        <w:spacing w:before="210" w:after="210"/>
        <w:rPr>
          <w:rFonts w:cs="Arial"/>
          <w:sz w:val="21"/>
        </w:rPr>
      </w:pPr>
      <w:r w:rsidRPr="005960F5">
        <w:rPr>
          <w:rFonts w:cs="Arial"/>
        </w:rPr>
        <w:t>(3) Ne glede na drugi odstavek 515. člena tega zakona agencija o zahtevi za izdajo dovoljenja za pridobitev kvalificiranega deleža odloči v 60 delovnih dneh. Rok teče, če:</w:t>
      </w:r>
    </w:p>
    <w:p w14:paraId="4211984C" w14:textId="77777777" w:rsidR="000317F7" w:rsidRPr="005960F5" w:rsidRDefault="00F06B25">
      <w:pPr>
        <w:spacing w:before="210" w:after="210"/>
        <w:rPr>
          <w:rFonts w:cs="Arial"/>
          <w:sz w:val="21"/>
        </w:rPr>
      </w:pPr>
      <w:r w:rsidRPr="005960F5">
        <w:rPr>
          <w:rFonts w:cs="Arial"/>
        </w:rPr>
        <w:t>1.      je agencija v roku iz prejšnjega odstavka izdala potrdilo – od izdaje potrdila,</w:t>
      </w:r>
    </w:p>
    <w:p w14:paraId="380C7F31" w14:textId="77777777" w:rsidR="000317F7" w:rsidRPr="005960F5" w:rsidRDefault="00F06B25">
      <w:pPr>
        <w:spacing w:before="210" w:after="210"/>
        <w:rPr>
          <w:rFonts w:cs="Arial"/>
          <w:sz w:val="21"/>
        </w:rPr>
      </w:pPr>
      <w:r w:rsidRPr="005960F5">
        <w:rPr>
          <w:rFonts w:cs="Arial"/>
        </w:rPr>
        <w:t>2.      agencija v roku iz prejšnjega odstavka ni izdala potrdila – od poteka roka za izdajo potrdila iz prejšnjega odstavka.</w:t>
      </w:r>
    </w:p>
    <w:p w14:paraId="52783DA3" w14:textId="77777777" w:rsidR="000317F7" w:rsidRPr="005960F5" w:rsidRDefault="00F06B25">
      <w:pPr>
        <w:spacing w:before="210" w:after="210"/>
        <w:rPr>
          <w:rFonts w:cs="Arial"/>
          <w:sz w:val="21"/>
        </w:rPr>
      </w:pPr>
      <w:r w:rsidRPr="005960F5">
        <w:rPr>
          <w:rFonts w:cs="Arial"/>
        </w:rPr>
        <w:t>(4) Agencija v potrdilu iz drugega odstavka tega člena navede dan, s katerim poteče rok iz prejšnjega odstavka.</w:t>
      </w:r>
    </w:p>
    <w:p w14:paraId="69E170F3" w14:textId="77777777" w:rsidR="000317F7" w:rsidRPr="005960F5" w:rsidRDefault="00F06B25">
      <w:pPr>
        <w:spacing w:before="210" w:after="210"/>
        <w:rPr>
          <w:rFonts w:cs="Arial"/>
          <w:sz w:val="21"/>
        </w:rPr>
      </w:pPr>
      <w:r w:rsidRPr="005960F5">
        <w:rPr>
          <w:rFonts w:cs="Arial"/>
        </w:rPr>
        <w:t>(5) V postopku odločanja o zahtevi za pridobitev kvalificiranega deleža se ne uporabljajo 2. točka prvega odstavka, drugi odstavek in 2. točka tretjega odstavka 513. člena in četrti odstavek 515. člena tega zakona.</w:t>
      </w:r>
    </w:p>
    <w:p w14:paraId="08B71936" w14:textId="77777777" w:rsidR="000317F7" w:rsidRPr="005960F5" w:rsidRDefault="00F06B25">
      <w:pPr>
        <w:spacing w:before="210" w:after="210"/>
        <w:rPr>
          <w:rFonts w:cs="Arial"/>
          <w:sz w:val="21"/>
        </w:rPr>
      </w:pPr>
      <w:r w:rsidRPr="005960F5">
        <w:rPr>
          <w:rFonts w:cs="Arial"/>
        </w:rPr>
        <w:t>(6) Agencija lahko od vložnika zahteva, da predloži dodatne informacije ali dokumente, potrebne za presojo primernosti bodočega kvalificiranega imetnika (v nadaljnjem besedilu: zahteva za dodatne informacije ali dokumente), če tako zahtevo izda najpozneje 50. delovni dan po poteku roka za izdajo potrdila iz drugega odstavka tega člena.</w:t>
      </w:r>
    </w:p>
    <w:p w14:paraId="734ED48D" w14:textId="77777777" w:rsidR="000317F7" w:rsidRPr="005960F5" w:rsidRDefault="00F06B25">
      <w:pPr>
        <w:spacing w:before="210" w:after="210"/>
        <w:rPr>
          <w:rFonts w:cs="Arial"/>
          <w:sz w:val="21"/>
        </w:rPr>
      </w:pPr>
      <w:r w:rsidRPr="005960F5">
        <w:rPr>
          <w:rFonts w:cs="Arial"/>
        </w:rPr>
        <w:t>(7) Če agencija izda zahtevo za dodatne informacije ali dokumente v skladu s prejšnjim odstavkom, se tek roka iz tretjega odstavka tega člena zadrži za čas od izdaje zahteve za dodatne informacije ali dokumente do dneva, ko vložnik predloži dodatne informacije ali dokumente, vendar največ za 20 delovnih dni od izdaje prve zahteve. Agencija lahko po prejemu informacij in dokumentov na podlagi prve zahteve v skladu s prejšnjim odstavkom zahteva še dodatne informacije ali dokumente, vendar druga in naslednje zahteve agencije za dodatne informacije ali dokumente ne zadržijo teka roka iz tretjega odstavka tega člena.</w:t>
      </w:r>
    </w:p>
    <w:p w14:paraId="323D1E4F" w14:textId="77777777" w:rsidR="000317F7" w:rsidRPr="005960F5" w:rsidRDefault="00F06B25">
      <w:pPr>
        <w:spacing w:before="210" w:after="210"/>
        <w:rPr>
          <w:rFonts w:cs="Arial"/>
          <w:sz w:val="21"/>
        </w:rPr>
      </w:pPr>
      <w:r w:rsidRPr="005960F5">
        <w:rPr>
          <w:rFonts w:cs="Arial"/>
        </w:rPr>
        <w:lastRenderedPageBreak/>
        <w:t>(8) Ne glede na prejšnji odstavek lahko agencija s prvo zahtevo za dodatne informacije ali dokumente odloči, da se tek roka iz tretjega odstavka tega člena zadrži za več kot 20 delovnih dni, vendar največ za 30 delovnih dni od izdaje te zahteve, če:</w:t>
      </w:r>
    </w:p>
    <w:p w14:paraId="6DC0848E" w14:textId="77777777" w:rsidR="000317F7" w:rsidRPr="005960F5" w:rsidRDefault="00F06B25">
      <w:pPr>
        <w:spacing w:before="210" w:after="210"/>
        <w:rPr>
          <w:rFonts w:cs="Arial"/>
          <w:sz w:val="21"/>
        </w:rPr>
      </w:pPr>
      <w:r w:rsidRPr="005960F5">
        <w:rPr>
          <w:rFonts w:cs="Arial"/>
        </w:rPr>
        <w:t>1.      je bodoči kvalificirani imetnik oseba tretje države ali</w:t>
      </w:r>
    </w:p>
    <w:p w14:paraId="0DAA1CD9" w14:textId="77777777" w:rsidR="000317F7" w:rsidRPr="005960F5" w:rsidRDefault="00F06B25">
      <w:pPr>
        <w:spacing w:before="210" w:after="210"/>
        <w:rPr>
          <w:rFonts w:cs="Arial"/>
          <w:sz w:val="21"/>
        </w:rPr>
      </w:pPr>
      <w:r w:rsidRPr="005960F5">
        <w:rPr>
          <w:rFonts w:cs="Arial"/>
        </w:rPr>
        <w:t>2.      bodoči kvalificirani imetnik nima položaja kreditne institucije, investicijskega podjetja, družbe za upravljanje, kolektivnega naložbenega podjema, zavarovalnice ali pozavarovalnice.</w:t>
      </w:r>
    </w:p>
    <w:p w14:paraId="52215B9E" w14:textId="77777777" w:rsidR="000317F7" w:rsidRPr="005960F5" w:rsidRDefault="00F06B25">
      <w:pPr>
        <w:spacing w:before="210" w:after="210"/>
        <w:rPr>
          <w:rFonts w:cs="Arial"/>
          <w:sz w:val="21"/>
        </w:rPr>
      </w:pPr>
      <w:r w:rsidRPr="005960F5">
        <w:rPr>
          <w:rFonts w:cs="Arial"/>
        </w:rPr>
        <w:t>(9) Agencija vložniku zahteve v dveh delovnih dneh po prejemu dodatnih informacij ali dokumentov na podlagi zahteve iz šestega odstavka tega člena izda potrdilo o prejemu teh dodatnih informacij ali dokumentov. V potrdilu o prejemu dodatnih informacij ali dokumentov na podlagi prve zahteve iz šestega odstavka tega člena je naveden dan, s katerim poteče rok iz tretjega odstavka tega člena ob upoštevanju njegovega zadržanja po sedmem ali osmem odstavku tega člena.</w:t>
      </w:r>
    </w:p>
    <w:p w14:paraId="64C48B5F" w14:textId="77777777" w:rsidR="000317F7" w:rsidRPr="005960F5" w:rsidRDefault="00F06B25">
      <w:pPr>
        <w:spacing w:before="210" w:after="210"/>
        <w:rPr>
          <w:rFonts w:cs="Arial"/>
          <w:sz w:val="21"/>
        </w:rPr>
      </w:pPr>
      <w:r w:rsidRPr="005960F5">
        <w:rPr>
          <w:rFonts w:cs="Arial"/>
        </w:rPr>
        <w:t>(10) Če agencija zavrne zahtevo za izdajo dovoljenja za pridobitev kvalificiranega deleža, v dveh delovnih dneh po sprejetju te odločitve in do poteka roka iz tretjega odstavka tega člena, ob upoštevanju morebitnega zadržanja po sedmem ali osmem odstavku tega člena, izda in odpravi pisni odpravek odločbe o zavrnitvi zahteve za izdajo dovoljenja za pridobitev kvalificiranega dovoljenja.</w:t>
      </w:r>
    </w:p>
    <w:p w14:paraId="6323A695" w14:textId="77777777" w:rsidR="000317F7" w:rsidRPr="005960F5" w:rsidRDefault="00F06B25">
      <w:pPr>
        <w:spacing w:before="210" w:after="210"/>
        <w:rPr>
          <w:rFonts w:cs="Arial"/>
          <w:sz w:val="21"/>
        </w:rPr>
      </w:pPr>
      <w:r w:rsidRPr="005960F5">
        <w:rPr>
          <w:rFonts w:cs="Arial"/>
        </w:rPr>
        <w:t>(11) Če agencija do poteka roka iz tretjega odstavka tega člena ob upoštevanju morebitnega zadržanja po sedmem ali osmem odstavku tega člena ne izda in odpravi pisnega odpravka odločbe o zavrnitvi ali zavrženju zahteve za dovoljenje za pridobitev kvalificiranega deleža, se šteje, da je z dnem, s katerim poteče ta rok, izdala dovoljenje za pridobitev kvalificiranega deleža, za katerega je kvalificirani imetnik zahteval izdajo tega dovoljenja.</w:t>
      </w:r>
    </w:p>
    <w:p w14:paraId="69BA919F" w14:textId="77777777" w:rsidR="000317F7" w:rsidRPr="005960F5" w:rsidRDefault="00F06B25">
      <w:pPr>
        <w:spacing w:before="210" w:after="210"/>
        <w:rPr>
          <w:rFonts w:cs="Arial"/>
          <w:sz w:val="21"/>
        </w:rPr>
      </w:pPr>
      <w:r w:rsidRPr="005960F5">
        <w:rPr>
          <w:rFonts w:cs="Arial"/>
        </w:rPr>
        <w:t>(12) V primeru iz prejšnjega odstavka agencija na zahtevo kvalificiranega imetnika izda ugotovitveno odločbo, s katero ugotovi, da je dovoljenje izdano, v osmih dneh od prejema zahteve za izdajo te ugotovitvene odločbe.</w:t>
      </w:r>
    </w:p>
    <w:p w14:paraId="35716564" w14:textId="77777777" w:rsidR="000317F7" w:rsidRPr="005960F5" w:rsidRDefault="00F06B25">
      <w:pPr>
        <w:spacing w:before="210" w:after="210"/>
        <w:rPr>
          <w:rFonts w:cs="Arial"/>
          <w:sz w:val="21"/>
        </w:rPr>
      </w:pPr>
      <w:r w:rsidRPr="005960F5">
        <w:rPr>
          <w:rFonts w:cs="Arial"/>
        </w:rPr>
        <w:t>(13) Ne glede na prvi odstavek 488. člena ZTFI agencija na svojih javnih spletnih straneh objavi izvleček odločbe o zavrnitvi zahteve za izdajo dovoljenja za pridobitev kvalificiranega deleža s povzetkom razlogov za tako odločitev, če tako zahteva vložnik te zahteve.</w:t>
      </w:r>
    </w:p>
    <w:p w14:paraId="5A4B84FE" w14:textId="77777777" w:rsidR="000317F7" w:rsidRPr="005960F5" w:rsidRDefault="00F06B25">
      <w:pPr>
        <w:pStyle w:val="center"/>
        <w:spacing w:before="210" w:after="210"/>
        <w:rPr>
          <w:rFonts w:cs="Arial"/>
          <w:b/>
          <w:sz w:val="21"/>
        </w:rPr>
      </w:pPr>
      <w:r w:rsidRPr="005960F5">
        <w:rPr>
          <w:rFonts w:cs="Arial"/>
          <w:b/>
          <w:sz w:val="21"/>
        </w:rPr>
        <w:t>531. člen</w:t>
      </w:r>
    </w:p>
    <w:p w14:paraId="1E39F20C" w14:textId="77777777" w:rsidR="000317F7" w:rsidRPr="005960F5" w:rsidRDefault="00F06B25">
      <w:pPr>
        <w:pStyle w:val="center"/>
        <w:spacing w:before="210" w:after="210"/>
        <w:rPr>
          <w:rFonts w:cs="Arial"/>
          <w:b/>
          <w:sz w:val="21"/>
        </w:rPr>
      </w:pPr>
      <w:r w:rsidRPr="005960F5">
        <w:rPr>
          <w:rFonts w:cs="Arial"/>
          <w:b/>
          <w:sz w:val="21"/>
        </w:rPr>
        <w:t>(kršitve 7. poglavja tega zakona)</w:t>
      </w:r>
    </w:p>
    <w:p w14:paraId="30076DCF" w14:textId="77777777" w:rsidR="000317F7" w:rsidRPr="005960F5" w:rsidRDefault="00F06B25">
      <w:pPr>
        <w:spacing w:before="210" w:after="210"/>
        <w:rPr>
          <w:rFonts w:cs="Arial"/>
          <w:sz w:val="21"/>
        </w:rPr>
      </w:pPr>
      <w:r w:rsidRPr="005960F5">
        <w:rPr>
          <w:rFonts w:cs="Arial"/>
        </w:rPr>
        <w:t>(1) Z globo od 25.000 do 250.000 eurov se za prekršek kaznuje borznoposredniška družba, kreditna družba, banka ali odvisni borznoposredniški zastopnik, ki je pravna oseba, z globo od 80.000 do 500.000 eurov pa borznoposredniška družba ali banka, ki se po ZGD-1 šteje za srednjo ali veliko gospodarsko družbo, če:</w:t>
      </w:r>
    </w:p>
    <w:p w14:paraId="280C6190" w14:textId="77777777" w:rsidR="000317F7" w:rsidRPr="005960F5" w:rsidRDefault="00F06B25">
      <w:pPr>
        <w:spacing w:before="210" w:after="210"/>
        <w:rPr>
          <w:rFonts w:cs="Arial"/>
          <w:sz w:val="21"/>
        </w:rPr>
      </w:pPr>
      <w:r w:rsidRPr="005960F5">
        <w:rPr>
          <w:rFonts w:cs="Arial"/>
        </w:rPr>
        <w:t>1.      ne obvesti svojih strank, da se telefonski pogovori, ki vodijo ali lahko vodijo k prejemu naročila stranke za trgovanje, beležijo, ali če sprejme, posreduje ali izvrši naročilo za trgovanje stranke brez podaje obvestila o beleženju teh pogovorov (četrti in peti odstavek 238. člena);</w:t>
      </w:r>
    </w:p>
    <w:p w14:paraId="7E079019" w14:textId="77777777" w:rsidR="000317F7" w:rsidRPr="005960F5" w:rsidRDefault="00F06B25">
      <w:pPr>
        <w:spacing w:before="210" w:after="210"/>
        <w:rPr>
          <w:rFonts w:cs="Arial"/>
          <w:sz w:val="21"/>
        </w:rPr>
      </w:pPr>
      <w:r w:rsidRPr="005960F5">
        <w:rPr>
          <w:rFonts w:cs="Arial"/>
        </w:rPr>
        <w:t>2.      pisno ne zabeleži naročil stranke, ki so bila oddana v osebnem pogovoru v skladu s šestim odstavkom 238. člena tega zakona;</w:t>
      </w:r>
    </w:p>
    <w:p w14:paraId="03301788" w14:textId="77777777" w:rsidR="000317F7" w:rsidRPr="005960F5" w:rsidRDefault="00F06B25">
      <w:pPr>
        <w:spacing w:before="210" w:after="210"/>
        <w:rPr>
          <w:rFonts w:cs="Arial"/>
          <w:sz w:val="21"/>
        </w:rPr>
      </w:pPr>
      <w:r w:rsidRPr="005960F5">
        <w:rPr>
          <w:rFonts w:cs="Arial"/>
        </w:rPr>
        <w:t>3.      razpolaga s finančnimi instrumenti v svojem imenu in za račun ali v imenu in za račun strank v nasprotju z 239. členom tega zakona;</w:t>
      </w:r>
    </w:p>
    <w:p w14:paraId="6703670A" w14:textId="77777777" w:rsidR="000317F7" w:rsidRPr="005960F5" w:rsidRDefault="00F06B25">
      <w:pPr>
        <w:spacing w:before="210" w:after="210"/>
        <w:rPr>
          <w:rFonts w:cs="Arial"/>
          <w:sz w:val="21"/>
        </w:rPr>
      </w:pPr>
      <w:r w:rsidRPr="005960F5">
        <w:rPr>
          <w:rFonts w:cs="Arial"/>
        </w:rPr>
        <w:lastRenderedPageBreak/>
        <w:t>4.      razpolaga z denarnim dobroimetjem svojih strank v nasprotju z 240. členom tega zakona;</w:t>
      </w:r>
    </w:p>
    <w:p w14:paraId="0894D20A" w14:textId="77777777" w:rsidR="000317F7" w:rsidRPr="005960F5" w:rsidRDefault="00F06B25">
      <w:pPr>
        <w:spacing w:before="210" w:after="210"/>
        <w:rPr>
          <w:rFonts w:cs="Arial"/>
          <w:sz w:val="21"/>
        </w:rPr>
      </w:pPr>
      <w:r w:rsidRPr="005960F5">
        <w:rPr>
          <w:rFonts w:cs="Arial"/>
        </w:rPr>
        <w:t>5.      z neprofesionalno stranko sklene dogovor o prenosu lastninske pravice v zavarovanje zaradi zavarovanja obstoječega ali bodočega, dejanskega, mogočega ali pričakovanega dolga (241. člen);</w:t>
      </w:r>
    </w:p>
    <w:p w14:paraId="504A8739" w14:textId="77777777" w:rsidR="000317F7" w:rsidRPr="005960F5" w:rsidRDefault="00F06B25">
      <w:pPr>
        <w:spacing w:before="210" w:after="210"/>
        <w:rPr>
          <w:rFonts w:cs="Arial"/>
          <w:sz w:val="21"/>
        </w:rPr>
      </w:pPr>
      <w:r w:rsidRPr="005960F5">
        <w:rPr>
          <w:rFonts w:cs="Arial"/>
        </w:rPr>
        <w:t>6.      na zahtevo agencije ne dokaže, da fizične osebe, ki v imenu borznoposredniške družbe, kreditne družbe ali banke opravljajo investicijsko svetovanje ali dajejo strankam informacije o finančnih instrumentih, investicijskih storitvah in poslih ter pomožnih investicijskih storitvah, razpolagajo z ustreznim znanjem in so usposobljene za izpolnitev zahtev do strank iz oddelka 7.2. tega zakona (tretji odstavek 250. člena);</w:t>
      </w:r>
    </w:p>
    <w:p w14:paraId="56327B62" w14:textId="77777777" w:rsidR="000317F7" w:rsidRPr="005960F5" w:rsidRDefault="00F06B25">
      <w:pPr>
        <w:spacing w:before="210" w:after="210"/>
        <w:rPr>
          <w:rFonts w:cs="Arial"/>
          <w:sz w:val="21"/>
        </w:rPr>
      </w:pPr>
      <w:r w:rsidRPr="005960F5">
        <w:rPr>
          <w:rFonts w:cs="Arial"/>
        </w:rPr>
        <w:t>7.      glede dajanja ali objavljanja informacij strankam oziroma objavljanja tržnih sporočil ne ravna v skladu s prvim do osmim odstavkom 251. člena tega zakona;</w:t>
      </w:r>
    </w:p>
    <w:p w14:paraId="69B44B18" w14:textId="77777777" w:rsidR="000317F7" w:rsidRPr="005960F5" w:rsidRDefault="00F06B25">
      <w:pPr>
        <w:spacing w:before="210" w:after="210"/>
        <w:rPr>
          <w:rFonts w:cs="Arial"/>
          <w:sz w:val="21"/>
        </w:rPr>
      </w:pPr>
      <w:r w:rsidRPr="005960F5">
        <w:rPr>
          <w:rFonts w:cs="Arial"/>
        </w:rPr>
        <w:t>8.      opravlja neodvisno investicijsko svetovanje za stranko in ne ravna v skladu z enajstim odstavkom 251. člena tega zakona;</w:t>
      </w:r>
    </w:p>
    <w:p w14:paraId="44B1D885" w14:textId="77777777" w:rsidR="000317F7" w:rsidRPr="005960F5" w:rsidRDefault="00F06B25">
      <w:pPr>
        <w:spacing w:before="210" w:after="210"/>
        <w:rPr>
          <w:rFonts w:cs="Arial"/>
          <w:sz w:val="21"/>
        </w:rPr>
      </w:pPr>
      <w:r w:rsidRPr="005960F5">
        <w:rPr>
          <w:rFonts w:cs="Arial"/>
        </w:rPr>
        <w:t>9.      pri opravljanju storitev gospodarjenja s finančnimi instrumenti sprejme ali obdrži provizije, spodbude ali katerekoli druge denarne ali nedenarne koristi v zvezi z opravljanjem te investicijske storitve za stranke (dvanajsti odstavek 251. člena);</w:t>
      </w:r>
    </w:p>
    <w:p w14:paraId="75CC495E" w14:textId="77777777" w:rsidR="000317F7" w:rsidRPr="005960F5" w:rsidRDefault="00F06B25">
      <w:pPr>
        <w:spacing w:before="210" w:after="210"/>
        <w:rPr>
          <w:rFonts w:cs="Arial"/>
          <w:sz w:val="21"/>
        </w:rPr>
      </w:pPr>
      <w:r w:rsidRPr="005960F5">
        <w:rPr>
          <w:rFonts w:cs="Arial"/>
        </w:rPr>
        <w:t>10.   nagrajuje ali ocenjuje uspešnost zaposlenih v nasprotju z obveznostjo varovanja interesov strank (sedemnajsti odstavek 251. člena);</w:t>
      </w:r>
    </w:p>
    <w:p w14:paraId="3927A04C" w14:textId="77777777" w:rsidR="000317F7" w:rsidRPr="005960F5" w:rsidRDefault="00F06B25">
      <w:pPr>
        <w:spacing w:before="210" w:after="210"/>
        <w:rPr>
          <w:rFonts w:cs="Arial"/>
          <w:sz w:val="21"/>
        </w:rPr>
      </w:pPr>
      <w:r w:rsidRPr="005960F5">
        <w:rPr>
          <w:rFonts w:cs="Arial"/>
        </w:rPr>
        <w:t>11.   ponuja investicijsko storitev in posel skupaj z neko drugo storitvijo ali produktom, kot del paketa ali kot pogoj za isti dogovor oziroma paket in ne ravna v skladu z osemnajstim odstavkom 251. člena tega zakona;</w:t>
      </w:r>
    </w:p>
    <w:p w14:paraId="403D54E8" w14:textId="77777777" w:rsidR="000317F7" w:rsidRPr="005960F5" w:rsidRDefault="00F06B25">
      <w:pPr>
        <w:spacing w:before="210" w:after="210"/>
        <w:rPr>
          <w:rFonts w:cs="Arial"/>
          <w:sz w:val="21"/>
        </w:rPr>
      </w:pPr>
      <w:r w:rsidRPr="005960F5">
        <w:rPr>
          <w:rFonts w:cs="Arial"/>
        </w:rPr>
        <w:t>12.   pri opravljanju investicijskih storitev in poslov ter pomožnih investicijskih storitev ne ravna vestno, pošteno in z ustrezno profesionalno skrbnostjo ter ne varuje interesov strank (252. člen);</w:t>
      </w:r>
    </w:p>
    <w:p w14:paraId="0BEF2532" w14:textId="77777777" w:rsidR="000317F7" w:rsidRPr="005960F5" w:rsidRDefault="00F06B25">
      <w:pPr>
        <w:spacing w:before="210" w:after="210"/>
        <w:rPr>
          <w:rFonts w:cs="Arial"/>
          <w:sz w:val="21"/>
        </w:rPr>
      </w:pPr>
      <w:r w:rsidRPr="005960F5">
        <w:rPr>
          <w:rFonts w:cs="Arial"/>
        </w:rPr>
        <w:t>13.   glede finančnih instrumentov, ki jih ta ponuja ali priporoča svojim strankam na način iz 253. člena tega zakona, ne ravna v skladu z zahtevami iz 253. člena tega zakona;</w:t>
      </w:r>
    </w:p>
    <w:p w14:paraId="7072ABA1" w14:textId="77777777" w:rsidR="000317F7" w:rsidRPr="005960F5" w:rsidRDefault="00F06B25">
      <w:pPr>
        <w:spacing w:before="210" w:after="210"/>
        <w:rPr>
          <w:rFonts w:cs="Arial"/>
          <w:sz w:val="21"/>
        </w:rPr>
      </w:pPr>
      <w:r w:rsidRPr="005960F5">
        <w:rPr>
          <w:rFonts w:cs="Arial"/>
        </w:rPr>
        <w:t>14.   od stranke oziroma morebitne stranke v okviru opravljanja storitve investicijskega svetovanja ali gospodarjenja s finančnimi instrumenti ne pridobi informacij v skladu s prvim odstavkom 254. člena tega zakona,</w:t>
      </w:r>
    </w:p>
    <w:p w14:paraId="7A2F2FBA" w14:textId="77777777" w:rsidR="000317F7" w:rsidRPr="005960F5" w:rsidRDefault="00F06B25">
      <w:pPr>
        <w:spacing w:before="210" w:after="210"/>
        <w:rPr>
          <w:rFonts w:cs="Arial"/>
          <w:sz w:val="21"/>
        </w:rPr>
      </w:pPr>
      <w:r w:rsidRPr="005960F5">
        <w:rPr>
          <w:rFonts w:cs="Arial"/>
        </w:rPr>
        <w:t>15.   stranki priporoča paket storitev ali produktov v nasprotju z drugim ali četrtim odstavkom 254. člena tega zakona,</w:t>
      </w:r>
    </w:p>
    <w:p w14:paraId="7F46F6AA" w14:textId="77777777" w:rsidR="000317F7" w:rsidRPr="005960F5" w:rsidRDefault="00F06B25">
      <w:pPr>
        <w:spacing w:before="210" w:after="210"/>
        <w:rPr>
          <w:rFonts w:cs="Arial"/>
          <w:sz w:val="21"/>
        </w:rPr>
      </w:pPr>
      <w:r w:rsidRPr="005960F5">
        <w:rPr>
          <w:rFonts w:cs="Arial"/>
        </w:rPr>
        <w:t>16.   v primerih, ki jih določa ta zakon, ne sklene pisne pogodbe o opravljanju posameznih vrst investicijskih storitev in poslov ali pomožnih investicijskih storitev oziroma pogodba ne vsebuje določb o vsebini vseh medsebojnih pravic in obveznosti pogodbenih strank (prvi in drugi odstavek 257. člena);</w:t>
      </w:r>
    </w:p>
    <w:p w14:paraId="6071E0F3" w14:textId="77777777" w:rsidR="000317F7" w:rsidRPr="005960F5" w:rsidRDefault="00F06B25">
      <w:pPr>
        <w:spacing w:before="210" w:after="210"/>
        <w:rPr>
          <w:rFonts w:cs="Arial"/>
          <w:sz w:val="21"/>
        </w:rPr>
      </w:pPr>
      <w:r w:rsidRPr="005960F5">
        <w:rPr>
          <w:rFonts w:cs="Arial"/>
        </w:rPr>
        <w:t>17.   stranki ne poroča o opravljenih storitvah, ki jih je opravila zanjo oziroma ne predloži izjave o primernosti v skladu z 258. členom tega zakona;</w:t>
      </w:r>
    </w:p>
    <w:p w14:paraId="0BCFBA99" w14:textId="77777777" w:rsidR="000317F7" w:rsidRPr="005960F5" w:rsidRDefault="00F06B25">
      <w:pPr>
        <w:spacing w:before="210" w:after="210"/>
        <w:rPr>
          <w:rFonts w:cs="Arial"/>
          <w:sz w:val="21"/>
        </w:rPr>
      </w:pPr>
      <w:r w:rsidRPr="005960F5">
        <w:rPr>
          <w:rFonts w:cs="Arial"/>
        </w:rPr>
        <w:t>18.   stranki, katere naročilo je posredovala borznoposredniški družbi prejemnici naročila, ni podala ustreznih priporočil, pojasnil ali nasvetov v zvezi s storitvami in posli, glede katerih je posredovala naročilo (tretji in četrti odstavek 260. člena);</w:t>
      </w:r>
    </w:p>
    <w:p w14:paraId="3B363DC6" w14:textId="77777777" w:rsidR="000317F7" w:rsidRPr="005960F5" w:rsidRDefault="00F06B25">
      <w:pPr>
        <w:spacing w:before="210" w:after="210"/>
        <w:rPr>
          <w:rFonts w:cs="Arial"/>
          <w:sz w:val="21"/>
        </w:rPr>
      </w:pPr>
      <w:r w:rsidRPr="005960F5">
        <w:rPr>
          <w:rFonts w:cs="Arial"/>
        </w:rPr>
        <w:t>19.   ne izvrši naročila stranke po najugodnejšimi pogoji za stranko v skladu s prvim do petim odstavkom 267. člena tega zakona;</w:t>
      </w:r>
    </w:p>
    <w:p w14:paraId="2AECA5A1" w14:textId="77777777" w:rsidR="000317F7" w:rsidRPr="005960F5" w:rsidRDefault="00F06B25">
      <w:pPr>
        <w:spacing w:before="210" w:after="210"/>
        <w:rPr>
          <w:rFonts w:cs="Arial"/>
          <w:sz w:val="21"/>
        </w:rPr>
      </w:pPr>
      <w:r w:rsidRPr="005960F5">
        <w:rPr>
          <w:rFonts w:cs="Arial"/>
        </w:rPr>
        <w:lastRenderedPageBreak/>
        <w:t>20.   ne vzpostavi in izvaja sistema in postopkov, ki omogočajo učinkovito izpolnjevanje obveznosti, določenih v 267. členu tega zakona (prvi odstavek 268. člena);</w:t>
      </w:r>
    </w:p>
    <w:p w14:paraId="539ADD04" w14:textId="77777777" w:rsidR="000317F7" w:rsidRPr="005960F5" w:rsidRDefault="00F06B25">
      <w:pPr>
        <w:spacing w:before="210" w:after="210"/>
        <w:rPr>
          <w:rFonts w:cs="Arial"/>
          <w:sz w:val="21"/>
        </w:rPr>
      </w:pPr>
      <w:r w:rsidRPr="005960F5">
        <w:rPr>
          <w:rFonts w:cs="Arial"/>
        </w:rPr>
        <w:t>21.   ne vzpostavi in uresničuje politike izvrševanja naročil strank oziroma stranke ne seznani s politiko izvrševanja naročil oziroma od stranke ne pridobi predhodnega soglasja k politiki izvrševanja naročil v skladu z drugim, tretjim in četrtim odstavkom 268. člena tega zakona;</w:t>
      </w:r>
    </w:p>
    <w:p w14:paraId="771DBFE3" w14:textId="77777777" w:rsidR="000317F7" w:rsidRPr="005960F5" w:rsidRDefault="00F06B25">
      <w:pPr>
        <w:spacing w:before="210" w:after="210"/>
        <w:rPr>
          <w:rFonts w:cs="Arial"/>
          <w:sz w:val="21"/>
        </w:rPr>
      </w:pPr>
      <w:r w:rsidRPr="005960F5">
        <w:rPr>
          <w:rFonts w:cs="Arial"/>
        </w:rPr>
        <w:t>22.   stranke ne opozori, da politika izvrševanja naročil strank določa možnost izvršitve teh naročil zunaj mest trgovanja oziroma je izvršitev naročila stranke opravila zunaj mesta trgovanja in za to prej ni dobila izrecnega soglasja stranke (prvi in drugi odstavek 269. člena);</w:t>
      </w:r>
    </w:p>
    <w:p w14:paraId="4B5754B6" w14:textId="77777777" w:rsidR="000317F7" w:rsidRPr="005960F5" w:rsidRDefault="00F06B25">
      <w:pPr>
        <w:spacing w:before="210" w:after="210"/>
        <w:rPr>
          <w:rFonts w:cs="Arial"/>
          <w:sz w:val="21"/>
        </w:rPr>
      </w:pPr>
      <w:r w:rsidRPr="005960F5">
        <w:rPr>
          <w:rFonts w:cs="Arial"/>
        </w:rPr>
        <w:t>23.   ne spremlja učinkovitosti sistema in postopkov ter politike izvrševanja naročil, da bi se ugotovile in odpravile pomanjkljivosti teh ukrepov oziroma politik v skladu s prvim odstavkom 270. člena tega zakona;</w:t>
      </w:r>
    </w:p>
    <w:p w14:paraId="70599DA9" w14:textId="77777777" w:rsidR="000317F7" w:rsidRPr="005960F5" w:rsidRDefault="00F06B25">
      <w:pPr>
        <w:spacing w:before="210" w:after="210"/>
        <w:rPr>
          <w:rFonts w:cs="Arial"/>
          <w:sz w:val="21"/>
        </w:rPr>
      </w:pPr>
      <w:r w:rsidRPr="005960F5">
        <w:rPr>
          <w:rFonts w:cs="Arial"/>
        </w:rPr>
        <w:t>24.   strank ne obvesti o vsaki spremembi sistema in postopkov ter politike izvrševanja naročil v skladu z drugim odstavkom 270. člena tega zakona;</w:t>
      </w:r>
    </w:p>
    <w:p w14:paraId="39024A8A" w14:textId="77777777" w:rsidR="000317F7" w:rsidRPr="005960F5" w:rsidRDefault="00F06B25">
      <w:pPr>
        <w:spacing w:before="210" w:after="210"/>
        <w:rPr>
          <w:rFonts w:cs="Arial"/>
          <w:sz w:val="21"/>
        </w:rPr>
      </w:pPr>
      <w:r w:rsidRPr="005960F5">
        <w:rPr>
          <w:rFonts w:cs="Arial"/>
        </w:rPr>
        <w:t>25.   ne izvaja obveznosti glede izvrševanja naročil strank v skladu s tretjim odstavkom 270. člena tega zakona;</w:t>
      </w:r>
    </w:p>
    <w:p w14:paraId="27F26A93" w14:textId="77777777" w:rsidR="000317F7" w:rsidRPr="005960F5" w:rsidRDefault="00F06B25">
      <w:pPr>
        <w:spacing w:before="210" w:after="210"/>
        <w:rPr>
          <w:rFonts w:cs="Arial"/>
          <w:sz w:val="21"/>
        </w:rPr>
      </w:pPr>
      <w:r w:rsidRPr="005960F5">
        <w:rPr>
          <w:rFonts w:cs="Arial"/>
        </w:rPr>
        <w:t>26.   s stranko ne sklene pogodbe o gospodarjenju z vrednostnimi papirji v pisni obliki (drugi odstavek 281. člena);</w:t>
      </w:r>
    </w:p>
    <w:p w14:paraId="19EF4619" w14:textId="77777777" w:rsidR="000317F7" w:rsidRPr="005960F5" w:rsidRDefault="00F06B25">
      <w:pPr>
        <w:spacing w:before="210" w:after="210"/>
        <w:rPr>
          <w:rFonts w:cs="Arial"/>
          <w:sz w:val="21"/>
        </w:rPr>
      </w:pPr>
      <w:r w:rsidRPr="005960F5">
        <w:rPr>
          <w:rFonts w:cs="Arial"/>
        </w:rPr>
        <w:t>27.   se nematerializirani vrednostni papirji ali finančni instrumenti ne prenesejo na račun stranke v skladu z 285. členom tega zakona;</w:t>
      </w:r>
    </w:p>
    <w:p w14:paraId="0B60E582" w14:textId="77777777" w:rsidR="000317F7" w:rsidRPr="005960F5" w:rsidRDefault="00F06B25">
      <w:pPr>
        <w:spacing w:before="210" w:after="210"/>
        <w:rPr>
          <w:rFonts w:cs="Arial"/>
          <w:sz w:val="21"/>
        </w:rPr>
      </w:pPr>
      <w:r w:rsidRPr="005960F5">
        <w:rPr>
          <w:rFonts w:cs="Arial"/>
        </w:rPr>
        <w:t>28.   zneska kupnine oziroma neizkoriščenega predujma ne nakaže v skladu z 286. členom tega zakona ali ga uporablja v nasprotju s tem členom;</w:t>
      </w:r>
    </w:p>
    <w:p w14:paraId="1F515716" w14:textId="77777777" w:rsidR="000317F7" w:rsidRPr="005960F5" w:rsidRDefault="00F06B25">
      <w:pPr>
        <w:spacing w:before="210" w:after="210"/>
        <w:rPr>
          <w:rFonts w:cs="Arial"/>
          <w:sz w:val="21"/>
        </w:rPr>
      </w:pPr>
      <w:r w:rsidRPr="005960F5">
        <w:rPr>
          <w:rFonts w:cs="Arial"/>
        </w:rPr>
        <w:t>29.   svojih vrednostnih papirjev ne vodi na hišnem računu (prvi in tretji odstavek 295. člena);</w:t>
      </w:r>
    </w:p>
    <w:p w14:paraId="0E86BCF0" w14:textId="77777777" w:rsidR="000317F7" w:rsidRPr="005960F5" w:rsidRDefault="00F06B25">
      <w:pPr>
        <w:spacing w:before="210" w:after="210"/>
        <w:rPr>
          <w:rFonts w:cs="Arial"/>
          <w:sz w:val="21"/>
        </w:rPr>
      </w:pPr>
      <w:r w:rsidRPr="005960F5">
        <w:rPr>
          <w:rFonts w:cs="Arial"/>
        </w:rPr>
        <w:t>30.   na hišni račun prenese vrednostne papirje, katerih imetniki so stranke oziroma jih je pridobila na račun stranke (drugi odstavek 295. člena);</w:t>
      </w:r>
    </w:p>
    <w:p w14:paraId="620B03C6" w14:textId="77777777" w:rsidR="000317F7" w:rsidRPr="005960F5" w:rsidRDefault="00F06B25">
      <w:pPr>
        <w:spacing w:before="210" w:after="210"/>
        <w:rPr>
          <w:rFonts w:cs="Arial"/>
          <w:sz w:val="21"/>
        </w:rPr>
      </w:pPr>
      <w:r w:rsidRPr="005960F5">
        <w:rPr>
          <w:rFonts w:cs="Arial"/>
        </w:rPr>
        <w:t>31.   vnese nalog stranke za prenos nematerializiranih vrednostnih papirjev oziroma nalog za vpis pravic tretjih na nematerializiranih vrednostnih papirjih brez ustreznega pisnega naloga te stranke (prvi odstavek 298. člena);</w:t>
      </w:r>
    </w:p>
    <w:p w14:paraId="5B9CB2CC" w14:textId="77777777" w:rsidR="000317F7" w:rsidRPr="005960F5" w:rsidRDefault="00F06B25">
      <w:pPr>
        <w:spacing w:before="210" w:after="210"/>
        <w:rPr>
          <w:rFonts w:cs="Arial"/>
          <w:sz w:val="21"/>
        </w:rPr>
      </w:pPr>
      <w:r w:rsidRPr="005960F5">
        <w:rPr>
          <w:rFonts w:cs="Arial"/>
        </w:rPr>
        <w:t>32.   ne vnaša nalogov za prenose med računi imetnika oziroma za vpis pravic tretjih na vrednostnih papirjih tega imetnika po vrstnem redu prejema nalogov v skladu s 300. členom tega zakona;</w:t>
      </w:r>
    </w:p>
    <w:p w14:paraId="25841D38" w14:textId="77777777" w:rsidR="000317F7" w:rsidRPr="005960F5" w:rsidRDefault="00F06B25">
      <w:pPr>
        <w:spacing w:before="210" w:after="210"/>
        <w:rPr>
          <w:rFonts w:cs="Arial"/>
          <w:sz w:val="21"/>
        </w:rPr>
      </w:pPr>
      <w:r w:rsidRPr="005960F5">
        <w:rPr>
          <w:rFonts w:cs="Arial"/>
        </w:rPr>
        <w:t>33.   vrednostnih papirjev stranke, izdanih kot pisne listine, ne hrani na način iz 303. člena tega zakona;</w:t>
      </w:r>
    </w:p>
    <w:p w14:paraId="5861B067" w14:textId="77777777" w:rsidR="000317F7" w:rsidRPr="005960F5" w:rsidRDefault="00F06B25">
      <w:pPr>
        <w:spacing w:before="210" w:after="210"/>
        <w:rPr>
          <w:rFonts w:cs="Arial"/>
          <w:sz w:val="21"/>
        </w:rPr>
      </w:pPr>
      <w:r w:rsidRPr="005960F5">
        <w:rPr>
          <w:rFonts w:cs="Arial"/>
        </w:rPr>
        <w:t>34.   vodi denarni račun strank v nasprotju s 307. členom tega zakona;</w:t>
      </w:r>
    </w:p>
    <w:p w14:paraId="36B94F10" w14:textId="77777777" w:rsidR="000317F7" w:rsidRPr="005960F5" w:rsidRDefault="00F06B25">
      <w:pPr>
        <w:spacing w:before="210" w:after="210"/>
        <w:rPr>
          <w:rFonts w:cs="Arial"/>
          <w:sz w:val="21"/>
        </w:rPr>
      </w:pPr>
      <w:r w:rsidRPr="005960F5">
        <w:rPr>
          <w:rFonts w:cs="Arial"/>
        </w:rPr>
        <w:t>35.   sporoči zaupne podatke o posamezni stranki tretjim osebam oziroma jih uporabi sama ali omogoči, da bi jih uporabile tretje osebe (310. člen);</w:t>
      </w:r>
    </w:p>
    <w:p w14:paraId="7E1AE503" w14:textId="77777777" w:rsidR="000317F7" w:rsidRPr="005960F5" w:rsidRDefault="00F06B25">
      <w:pPr>
        <w:spacing w:before="210" w:after="210"/>
        <w:rPr>
          <w:rFonts w:cs="Arial"/>
          <w:sz w:val="21"/>
        </w:rPr>
      </w:pPr>
      <w:r w:rsidRPr="005960F5">
        <w:rPr>
          <w:rFonts w:cs="Arial"/>
        </w:rPr>
        <w:t>36.   ne zagotavlja učinkovitega varovanja zaupnih podatkov in varovanja pred njihovo morebitno zlorabo v skladu s 313. členom tega zakona.</w:t>
      </w:r>
    </w:p>
    <w:p w14:paraId="68D099E0" w14:textId="77777777" w:rsidR="000317F7" w:rsidRPr="005960F5" w:rsidRDefault="00F06B25">
      <w:pPr>
        <w:spacing w:before="210" w:after="210"/>
        <w:rPr>
          <w:rFonts w:cs="Arial"/>
          <w:sz w:val="21"/>
        </w:rPr>
      </w:pPr>
      <w:r w:rsidRPr="005960F5">
        <w:rPr>
          <w:rFonts w:cs="Arial"/>
        </w:rPr>
        <w:t>(2)</w:t>
      </w:r>
      <w:r w:rsidRPr="005960F5">
        <w:rPr>
          <w:rFonts w:cs="Arial"/>
          <w:b/>
        </w:rPr>
        <w:t>(črtan)</w:t>
      </w:r>
    </w:p>
    <w:p w14:paraId="25AC14E5" w14:textId="77777777" w:rsidR="000317F7" w:rsidRPr="005960F5" w:rsidRDefault="00F06B25">
      <w:pPr>
        <w:spacing w:before="210" w:after="210"/>
        <w:rPr>
          <w:rFonts w:cs="Arial"/>
          <w:sz w:val="21"/>
        </w:rPr>
      </w:pPr>
      <w:r w:rsidRPr="005960F5">
        <w:rPr>
          <w:rFonts w:cs="Arial"/>
        </w:rPr>
        <w:lastRenderedPageBreak/>
        <w:t xml:space="preserve">(3) Če je narava storjenega prekrška iz prvega odstavka tega člena posebno huda zaradi višine povzročene škode oziroma višine pridobljene protipravne premoženjske koristi ali zaradi storilčevega naklepa oziroma njegovega namena koristoljubnosti, se oseba iz prvega odstavka tega člena ali sistematični </w:t>
      </w:r>
      <w:proofErr w:type="spellStart"/>
      <w:r w:rsidRPr="005960F5">
        <w:rPr>
          <w:rFonts w:cs="Arial"/>
        </w:rPr>
        <w:t>internalizator</w:t>
      </w:r>
      <w:proofErr w:type="spellEnd"/>
      <w:r w:rsidRPr="005960F5">
        <w:rPr>
          <w:rFonts w:cs="Arial"/>
        </w:rPr>
        <w:t xml:space="preserve"> kaznuje z globo v višini do:</w:t>
      </w:r>
    </w:p>
    <w:p w14:paraId="55AA6BF5" w14:textId="77777777" w:rsidR="000317F7" w:rsidRPr="005960F5" w:rsidRDefault="00F06B25">
      <w:pPr>
        <w:spacing w:before="210" w:after="210"/>
        <w:rPr>
          <w:rFonts w:cs="Arial"/>
          <w:sz w:val="21"/>
        </w:rPr>
      </w:pPr>
      <w:r w:rsidRPr="005960F5">
        <w:rPr>
          <w:rFonts w:cs="Arial"/>
        </w:rPr>
        <w:t>1.      10 % skupnega letnega prometa glede na zadnje razpoložljive letne računovodske izkaze, ki jih je odobril pristojni organ družbe, oziroma skupnega letnega prometa ali ustrezne vrste prihodka, ki izhaja iz zadnje razpoložljive konsolidirane letne bilance, ki jo je odobril pristojni organ matične družbe, če pravna oseba pripravi konsolidirane računovodske izkaze na podlagi ZGD-1, ali</w:t>
      </w:r>
    </w:p>
    <w:p w14:paraId="05FC7CE2" w14:textId="77777777" w:rsidR="000317F7" w:rsidRPr="005960F5" w:rsidRDefault="00F06B25">
      <w:pPr>
        <w:spacing w:before="210" w:after="210"/>
        <w:rPr>
          <w:rFonts w:cs="Arial"/>
          <w:sz w:val="21"/>
        </w:rPr>
      </w:pPr>
      <w:r w:rsidRPr="005960F5">
        <w:rPr>
          <w:rFonts w:cs="Arial"/>
        </w:rPr>
        <w:t>2.      dvakratnega zneska dobička, pridobljenega s kršitvijo, ali izgube, preprečene s kršitvijo, kadar ju je mogoče opredeliti, če ta znesek presega znesek iz prejšnje točke.</w:t>
      </w:r>
    </w:p>
    <w:p w14:paraId="424FACA3" w14:textId="77777777" w:rsidR="000317F7" w:rsidRPr="005960F5" w:rsidRDefault="00F06B25">
      <w:pPr>
        <w:spacing w:before="210" w:after="210"/>
        <w:rPr>
          <w:rFonts w:cs="Arial"/>
          <w:sz w:val="21"/>
        </w:rPr>
      </w:pPr>
      <w:r w:rsidRPr="005960F5">
        <w:rPr>
          <w:rFonts w:cs="Arial"/>
        </w:rPr>
        <w:t>(4) Član uprave osebe iz prvega odstavka tega člena, ki stori prekršek iz prvega ali drugega odstavka tega člena, se za prekršek kaznuje z globo v višini od 2.500 eurov do 10.000 eurov.</w:t>
      </w:r>
    </w:p>
    <w:p w14:paraId="059ECE72" w14:textId="77777777" w:rsidR="000317F7" w:rsidRPr="005960F5" w:rsidRDefault="00F06B25">
      <w:pPr>
        <w:spacing w:before="210" w:after="210"/>
        <w:rPr>
          <w:rFonts w:cs="Arial"/>
          <w:sz w:val="21"/>
        </w:rPr>
      </w:pPr>
      <w:r w:rsidRPr="005960F5">
        <w:rPr>
          <w:rFonts w:cs="Arial"/>
        </w:rPr>
        <w:t>(5) Član nadzornega sveta osebe iz prvega odstavka tega člena, ki stori prekršek iz prvega ali drugega odstavka tega člena, se za prekršek kaznuje z globo v višini od 2.500 eurov do 10.000 eurov.</w:t>
      </w:r>
    </w:p>
    <w:p w14:paraId="3862AE1A" w14:textId="77777777" w:rsidR="000317F7" w:rsidRPr="005960F5" w:rsidRDefault="00F06B25">
      <w:pPr>
        <w:spacing w:before="210" w:after="210"/>
        <w:rPr>
          <w:rFonts w:cs="Arial"/>
          <w:sz w:val="21"/>
        </w:rPr>
      </w:pPr>
      <w:r w:rsidRPr="005960F5">
        <w:rPr>
          <w:rFonts w:cs="Arial"/>
        </w:rPr>
        <w:t>(6) Če je narava storjenega prekrška iz četrtega ali petega odstavka tega člena posebno huda zaradi višine povzročene škode oziroma višine pridobljene protipravne premoženjske koristi ali zaradi storilčevega naklepa oziroma njegovega namena koristoljubnosti, se član uprave ali nadzornega sveta osebe iz prvega odstavka tega člena kaznuje z globo do višine 5.000.000 eurov.</w:t>
      </w:r>
    </w:p>
    <w:p w14:paraId="3CBDE83F" w14:textId="77777777" w:rsidR="000317F7" w:rsidRPr="005960F5" w:rsidRDefault="00F06B25">
      <w:pPr>
        <w:spacing w:before="210" w:after="210"/>
        <w:rPr>
          <w:rFonts w:cs="Arial"/>
          <w:sz w:val="21"/>
        </w:rPr>
      </w:pPr>
      <w:r w:rsidRPr="005960F5">
        <w:rPr>
          <w:rFonts w:cs="Arial"/>
        </w:rPr>
        <w:t>(7) Odgovorna oseba osebe iz prvega odstavka tega člena, ki ni član uprave ali nadzornega sveta borznoposredniške družbe, kreditne družbe ali banke, se za prekršek iz prvega ali drugega odstavka tega člena kaznuje z globo od 800 do 10.000 eurov. Če je narava storjenega prekrška iz prejšnjega stavka posebno huda zaradi višine povzročene škode oziroma višine pridobljene protipravne premoženjske koristi ali zaradi storilčevega naklepa oziroma njegovega namena koristoljubnosti, se odgovorna oseba osebe iz prvega odstavka tega člena kaznuje z globo od 2.500 do 30.000 eurov.</w:t>
      </w:r>
    </w:p>
    <w:p w14:paraId="5C8399B1" w14:textId="77777777" w:rsidR="000317F7" w:rsidRPr="005960F5" w:rsidRDefault="00F06B25">
      <w:pPr>
        <w:pStyle w:val="center"/>
        <w:spacing w:before="210" w:after="210"/>
        <w:rPr>
          <w:rFonts w:cs="Arial"/>
          <w:b/>
          <w:sz w:val="21"/>
        </w:rPr>
      </w:pPr>
      <w:r w:rsidRPr="005960F5">
        <w:rPr>
          <w:rFonts w:cs="Arial"/>
          <w:b/>
          <w:sz w:val="21"/>
        </w:rPr>
        <w:t>540. člen</w:t>
      </w:r>
    </w:p>
    <w:p w14:paraId="3FAC0F37" w14:textId="303A1FFF" w:rsidR="000317F7" w:rsidRPr="005960F5" w:rsidRDefault="00F06B25">
      <w:pPr>
        <w:pStyle w:val="center"/>
        <w:spacing w:before="210" w:after="210"/>
        <w:rPr>
          <w:rFonts w:cs="Arial"/>
          <w:b/>
          <w:sz w:val="21"/>
        </w:rPr>
      </w:pPr>
      <w:r w:rsidRPr="005960F5">
        <w:rPr>
          <w:rFonts w:cs="Arial"/>
          <w:b/>
          <w:sz w:val="21"/>
        </w:rPr>
        <w:t>(kršitve</w:t>
      </w:r>
      <w:r w:rsidR="00B17B71" w:rsidRPr="005960F5">
        <w:rPr>
          <w:rFonts w:cs="Arial"/>
          <w:b/>
          <w:sz w:val="21"/>
        </w:rPr>
        <w:t xml:space="preserve"> </w:t>
      </w:r>
      <w:r w:rsidRPr="005960F5">
        <w:rPr>
          <w:rFonts w:cs="Arial"/>
          <w:b/>
          <w:sz w:val="21"/>
        </w:rPr>
        <w:t>Uredbe 596/2014/EU)</w:t>
      </w:r>
    </w:p>
    <w:p w14:paraId="46D08ABF" w14:textId="77777777" w:rsidR="000317F7" w:rsidRPr="005960F5" w:rsidRDefault="00F06B25">
      <w:pPr>
        <w:spacing w:before="210" w:after="210"/>
        <w:rPr>
          <w:rFonts w:cs="Arial"/>
          <w:sz w:val="21"/>
        </w:rPr>
      </w:pPr>
      <w:r w:rsidRPr="005960F5">
        <w:rPr>
          <w:rFonts w:cs="Arial"/>
        </w:rPr>
        <w:t>(1) Z globo od 25.000 do 250.000 eurov se za prekršek kaznuje pravna oseba ali izdajatelj, z globo od 80.000 do 500.000 eurov pa pravna oseba, ki se po ZGD-1 šteje za srednjo ali veliko gospodarsko družbo, če:</w:t>
      </w:r>
    </w:p>
    <w:p w14:paraId="49678C17" w14:textId="78388AFF" w:rsidR="000317F7" w:rsidRPr="005960F5" w:rsidRDefault="00F06B25">
      <w:pPr>
        <w:spacing w:before="210" w:after="210"/>
        <w:rPr>
          <w:rFonts w:cs="Arial"/>
          <w:sz w:val="21"/>
        </w:rPr>
      </w:pPr>
      <w:r w:rsidRPr="005960F5">
        <w:rPr>
          <w:rFonts w:cs="Arial"/>
        </w:rPr>
        <w:t>1.      v nasprotju s 14. členom</w:t>
      </w:r>
      <w:r w:rsidR="00B17B71" w:rsidRPr="005960F5">
        <w:rPr>
          <w:rFonts w:cs="Arial"/>
        </w:rPr>
        <w:t xml:space="preserve"> </w:t>
      </w:r>
      <w:r w:rsidRPr="005960F5">
        <w:rPr>
          <w:rFonts w:cs="Arial"/>
        </w:rPr>
        <w:t>Uredbe 596/2014/EU</w:t>
      </w:r>
      <w:r w:rsidR="00B17B71" w:rsidRPr="005960F5">
        <w:t xml:space="preserve"> </w:t>
      </w:r>
      <w:r w:rsidRPr="005960F5">
        <w:rPr>
          <w:rFonts w:cs="Arial"/>
        </w:rPr>
        <w:t>trguje ali poskuša trgovati na podlagi notranjih informacij s finančnim instrumentom, za katerega se uporablja</w:t>
      </w:r>
      <w:r w:rsidR="00B17B71" w:rsidRPr="005960F5">
        <w:rPr>
          <w:rFonts w:cs="Arial"/>
        </w:rPr>
        <w:t xml:space="preserve"> </w:t>
      </w:r>
      <w:r w:rsidRPr="005960F5">
        <w:rPr>
          <w:rFonts w:cs="Arial"/>
        </w:rPr>
        <w:t>Uredba 596/2014/EU, ki pa ni uvrščen na organiziran trg v Republiki Sloveniji ali v vsaj eni državi članici Evropske unije ali za katerega ni bil vložen predlog za uvrstitev na tak trg;</w:t>
      </w:r>
    </w:p>
    <w:p w14:paraId="24762BDE" w14:textId="7912D479" w:rsidR="000317F7" w:rsidRPr="005960F5" w:rsidRDefault="00F06B25">
      <w:pPr>
        <w:spacing w:before="210" w:after="210"/>
        <w:rPr>
          <w:rFonts w:cs="Arial"/>
          <w:sz w:val="21"/>
        </w:rPr>
      </w:pPr>
      <w:r w:rsidRPr="005960F5">
        <w:rPr>
          <w:rFonts w:cs="Arial"/>
        </w:rPr>
        <w:t>2.      v nasprotju s 14. členom</w:t>
      </w:r>
      <w:r w:rsidR="00B17B71" w:rsidRPr="005960F5">
        <w:rPr>
          <w:rFonts w:cs="Arial"/>
        </w:rPr>
        <w:t xml:space="preserve"> </w:t>
      </w:r>
      <w:r w:rsidRPr="005960F5">
        <w:rPr>
          <w:rFonts w:cs="Arial"/>
        </w:rPr>
        <w:t>Uredbe 596/2014/EU</w:t>
      </w:r>
      <w:r w:rsidR="00B17B71" w:rsidRPr="005960F5">
        <w:t xml:space="preserve"> </w:t>
      </w:r>
      <w:r w:rsidRPr="005960F5">
        <w:rPr>
          <w:rFonts w:cs="Arial"/>
        </w:rPr>
        <w:t>trguje ali poskuša trgovati s pravico ali blagom, ki ni finančni instrument, a se zanj uporablja</w:t>
      </w:r>
      <w:r w:rsidR="00B17B71" w:rsidRPr="005960F5">
        <w:rPr>
          <w:rFonts w:cs="Arial"/>
        </w:rPr>
        <w:t xml:space="preserve"> </w:t>
      </w:r>
      <w:r w:rsidRPr="005960F5">
        <w:rPr>
          <w:rFonts w:cs="Arial"/>
        </w:rPr>
        <w:t>Uredba 596/2014/EU;</w:t>
      </w:r>
    </w:p>
    <w:p w14:paraId="647DB17F" w14:textId="0C5B2EDE" w:rsidR="000317F7" w:rsidRPr="005960F5" w:rsidRDefault="00F06B25">
      <w:pPr>
        <w:spacing w:before="210" w:after="210"/>
        <w:rPr>
          <w:rFonts w:cs="Arial"/>
          <w:sz w:val="21"/>
        </w:rPr>
      </w:pPr>
      <w:r w:rsidRPr="005960F5">
        <w:rPr>
          <w:rFonts w:cs="Arial"/>
        </w:rPr>
        <w:t>3.      v nasprotju s 14. členom</w:t>
      </w:r>
      <w:r w:rsidR="00B17B71" w:rsidRPr="005960F5">
        <w:rPr>
          <w:rFonts w:cs="Arial"/>
        </w:rPr>
        <w:t xml:space="preserve"> </w:t>
      </w:r>
      <w:r w:rsidRPr="005960F5">
        <w:rPr>
          <w:rFonts w:cs="Arial"/>
        </w:rPr>
        <w:t>Uredbe 596/2014/EU</w:t>
      </w:r>
      <w:r w:rsidR="00B17B71" w:rsidRPr="005960F5">
        <w:t xml:space="preserve"> </w:t>
      </w:r>
      <w:r w:rsidRPr="005960F5">
        <w:rPr>
          <w:rFonts w:cs="Arial"/>
        </w:rPr>
        <w:t>drugi osebi priporoča ali jo napeljuje k trgovanju na podlagi notranjih informacij s finančnim instrumentom, za katerega se uporablja</w:t>
      </w:r>
      <w:r w:rsidR="00B17B71" w:rsidRPr="005960F5">
        <w:rPr>
          <w:rFonts w:cs="Arial"/>
        </w:rPr>
        <w:t xml:space="preserve"> </w:t>
      </w:r>
      <w:r w:rsidRPr="005960F5">
        <w:rPr>
          <w:rFonts w:cs="Arial"/>
        </w:rPr>
        <w:t>Uredba 596/2014/EU, ki pa ni uvrščen na organiziran trg v Republiki Sloveniji ali v vsaj eni državi članici Evropske unije ali za katerega ni bil vložen predlog za uvrstitev na tak trg;</w:t>
      </w:r>
    </w:p>
    <w:p w14:paraId="450F4AC6" w14:textId="32C77A26" w:rsidR="000317F7" w:rsidRPr="005960F5" w:rsidRDefault="00F06B25">
      <w:pPr>
        <w:spacing w:before="210" w:after="210"/>
        <w:rPr>
          <w:rFonts w:cs="Arial"/>
          <w:sz w:val="21"/>
        </w:rPr>
      </w:pPr>
      <w:r w:rsidRPr="005960F5">
        <w:rPr>
          <w:rFonts w:cs="Arial"/>
        </w:rPr>
        <w:lastRenderedPageBreak/>
        <w:t>4.      v nasprotju s 14. členom</w:t>
      </w:r>
      <w:r w:rsidR="00B17B71" w:rsidRPr="005960F5">
        <w:rPr>
          <w:rFonts w:cs="Arial"/>
        </w:rPr>
        <w:t xml:space="preserve"> </w:t>
      </w:r>
      <w:r w:rsidRPr="005960F5">
        <w:rPr>
          <w:rFonts w:cs="Arial"/>
        </w:rPr>
        <w:t>Uredbe 596/2014/EU</w:t>
      </w:r>
      <w:r w:rsidR="00B17B71" w:rsidRPr="005960F5">
        <w:t xml:space="preserve"> </w:t>
      </w:r>
      <w:r w:rsidRPr="005960F5">
        <w:rPr>
          <w:rFonts w:cs="Arial"/>
        </w:rPr>
        <w:t>drugi osebi priporoča ali jo napeljuje k trgovanju ali poskusu trgovati s pravico ali blagom, ki ni finančni instrument, a se zanj uporablja</w:t>
      </w:r>
      <w:r w:rsidR="00B17B71" w:rsidRPr="005960F5">
        <w:rPr>
          <w:rFonts w:cs="Arial"/>
        </w:rPr>
        <w:t xml:space="preserve"> </w:t>
      </w:r>
      <w:r w:rsidRPr="005960F5">
        <w:rPr>
          <w:rFonts w:cs="Arial"/>
        </w:rPr>
        <w:t>Uredba 596/2014/EU;</w:t>
      </w:r>
    </w:p>
    <w:p w14:paraId="76B46E82" w14:textId="399B17D1" w:rsidR="000317F7" w:rsidRPr="005960F5" w:rsidRDefault="00F06B25">
      <w:pPr>
        <w:spacing w:before="210" w:after="210"/>
        <w:rPr>
          <w:rFonts w:cs="Arial"/>
          <w:sz w:val="21"/>
        </w:rPr>
      </w:pPr>
      <w:r w:rsidRPr="005960F5">
        <w:rPr>
          <w:rFonts w:cs="Arial"/>
        </w:rPr>
        <w:t>5.      izvaja ali poskuša izvajati tržno manipulacijo v nasprotju s 15. členom</w:t>
      </w:r>
      <w:r w:rsidR="00B17B71" w:rsidRPr="005960F5">
        <w:rPr>
          <w:rFonts w:cs="Arial"/>
        </w:rPr>
        <w:t xml:space="preserve"> </w:t>
      </w:r>
      <w:r w:rsidRPr="005960F5">
        <w:rPr>
          <w:rFonts w:cs="Arial"/>
        </w:rPr>
        <w:t>Uredbe 596/2014/EU, pri čemer se tržna manipulacija ali njen poskus nanaša na pogodbo, ki ni pogodba o finančnem instrumentu, ali na trgovanje s pravico, ki ni finančni instrument, če se za to pogodbo, pravico ali blago uporablja</w:t>
      </w:r>
      <w:r w:rsidR="00B17B71" w:rsidRPr="005960F5">
        <w:rPr>
          <w:rFonts w:cs="Arial"/>
        </w:rPr>
        <w:t xml:space="preserve"> </w:t>
      </w:r>
      <w:r w:rsidRPr="005960F5">
        <w:rPr>
          <w:rFonts w:cs="Arial"/>
        </w:rPr>
        <w:t>Uredba 596/2014/EU;</w:t>
      </w:r>
    </w:p>
    <w:p w14:paraId="0300769A" w14:textId="28E62F2B" w:rsidR="000317F7" w:rsidRPr="005960F5" w:rsidRDefault="00F06B25">
      <w:pPr>
        <w:spacing w:before="210" w:after="210"/>
        <w:rPr>
          <w:rFonts w:cs="Arial"/>
          <w:sz w:val="21"/>
        </w:rPr>
      </w:pPr>
      <w:r w:rsidRPr="005960F5">
        <w:rPr>
          <w:rFonts w:cs="Arial"/>
        </w:rPr>
        <w:t>6.      ne vzpostavi in vzdržuje učinkovite ureditve, sistema in postopkov za izpolnjevanje zahtev iz prvega in drugega odstavka 16. člena</w:t>
      </w:r>
      <w:r w:rsidR="00B17B71" w:rsidRPr="005960F5">
        <w:rPr>
          <w:rFonts w:cs="Arial"/>
        </w:rPr>
        <w:t xml:space="preserve"> </w:t>
      </w:r>
      <w:r w:rsidRPr="005960F5">
        <w:rPr>
          <w:rFonts w:cs="Arial"/>
        </w:rPr>
        <w:t>Uredbe 596/2014/EU</w:t>
      </w:r>
      <w:r w:rsidR="00E11D2B">
        <w:rPr>
          <w:rFonts w:cs="Arial"/>
        </w:rPr>
        <w:t xml:space="preserve"> </w:t>
      </w:r>
      <w:r w:rsidRPr="005960F5">
        <w:rPr>
          <w:rFonts w:cs="Arial"/>
        </w:rPr>
        <w:t>ter ne obvesti agencije v skladu s prvim in drugim odstavkom 16. člena</w:t>
      </w:r>
      <w:r w:rsidR="00B17B71" w:rsidRPr="005960F5">
        <w:rPr>
          <w:rFonts w:cs="Arial"/>
        </w:rPr>
        <w:t xml:space="preserve"> </w:t>
      </w:r>
      <w:r w:rsidRPr="005960F5">
        <w:rPr>
          <w:rFonts w:cs="Arial"/>
        </w:rPr>
        <w:t>Uredbe 596/2014/EU;</w:t>
      </w:r>
    </w:p>
    <w:p w14:paraId="43D2B1B6" w14:textId="446EA67F" w:rsidR="000317F7" w:rsidRPr="005960F5" w:rsidRDefault="00F06B25">
      <w:pPr>
        <w:spacing w:before="210" w:after="210"/>
        <w:rPr>
          <w:rFonts w:cs="Arial"/>
          <w:sz w:val="21"/>
        </w:rPr>
      </w:pPr>
      <w:r w:rsidRPr="005960F5">
        <w:rPr>
          <w:rFonts w:cs="Arial"/>
        </w:rPr>
        <w:t>7.      notranje informacije razkrije ali odloži njihovo objavo v nasprotju s prvim, drugim, četrtim, petim in osmim odstavkom 17. člena</w:t>
      </w:r>
      <w:r w:rsidR="00B17B71" w:rsidRPr="005960F5">
        <w:rPr>
          <w:rFonts w:cs="Arial"/>
        </w:rPr>
        <w:t xml:space="preserve"> </w:t>
      </w:r>
      <w:r w:rsidRPr="005960F5">
        <w:rPr>
          <w:rFonts w:cs="Arial"/>
        </w:rPr>
        <w:t>Uredbe 596/2014/EU;</w:t>
      </w:r>
    </w:p>
    <w:p w14:paraId="04F85CB4" w14:textId="15375970" w:rsidR="000317F7" w:rsidRPr="005960F5" w:rsidRDefault="00F06B25">
      <w:pPr>
        <w:spacing w:before="210" w:after="210"/>
        <w:rPr>
          <w:rFonts w:cs="Arial"/>
          <w:sz w:val="21"/>
        </w:rPr>
      </w:pPr>
      <w:r w:rsidRPr="005960F5">
        <w:rPr>
          <w:rFonts w:cs="Arial"/>
        </w:rPr>
        <w:t>8.      ne sestavi seznama oseb z dostopom do notranjih informacij oziroma sestavi seznam oseb z dostopom do notranjih informacij v nasprotju s prvim do šestim odstavkom 18. člena</w:t>
      </w:r>
      <w:r w:rsidR="00B17B71" w:rsidRPr="005960F5">
        <w:rPr>
          <w:rFonts w:cs="Arial"/>
        </w:rPr>
        <w:t xml:space="preserve"> </w:t>
      </w:r>
      <w:r w:rsidRPr="005960F5">
        <w:rPr>
          <w:rFonts w:cs="Arial"/>
        </w:rPr>
        <w:t>Uredbe 596/2014/EU;</w:t>
      </w:r>
    </w:p>
    <w:p w14:paraId="470917BE" w14:textId="403D0544" w:rsidR="000317F7" w:rsidRPr="005960F5" w:rsidRDefault="00F06B25">
      <w:pPr>
        <w:spacing w:before="210" w:after="210"/>
        <w:rPr>
          <w:rFonts w:cs="Arial"/>
          <w:sz w:val="21"/>
        </w:rPr>
      </w:pPr>
      <w:r w:rsidRPr="005960F5">
        <w:rPr>
          <w:rFonts w:cs="Arial"/>
        </w:rPr>
        <w:t>9.      ne izpolnjuje zahtev iz prvega, drugega, tretjega, petega, šestega, sedmega in enajstega odstavka 19. člena</w:t>
      </w:r>
      <w:r w:rsidR="00B17B71" w:rsidRPr="005960F5">
        <w:rPr>
          <w:rFonts w:cs="Arial"/>
        </w:rPr>
        <w:t xml:space="preserve"> </w:t>
      </w:r>
      <w:r w:rsidRPr="005960F5">
        <w:rPr>
          <w:rFonts w:cs="Arial"/>
        </w:rPr>
        <w:t>Uredbe 596/2014/EU;</w:t>
      </w:r>
    </w:p>
    <w:p w14:paraId="42E0B043" w14:textId="2FF6819D" w:rsidR="000317F7" w:rsidRPr="005960F5" w:rsidRDefault="00F06B25">
      <w:pPr>
        <w:spacing w:before="210" w:after="210"/>
        <w:rPr>
          <w:rFonts w:cs="Arial"/>
          <w:sz w:val="21"/>
        </w:rPr>
      </w:pPr>
      <w:r w:rsidRPr="005960F5">
        <w:rPr>
          <w:rFonts w:cs="Arial"/>
        </w:rPr>
        <w:t>10.   ustvarja ali razširja naložbena priporočila ali druge informacije v nasprotju s prvim odstavkom 20. člena</w:t>
      </w:r>
      <w:r w:rsidR="00B17B71" w:rsidRPr="005960F5">
        <w:rPr>
          <w:rFonts w:cs="Arial"/>
        </w:rPr>
        <w:t xml:space="preserve"> </w:t>
      </w:r>
      <w:r w:rsidRPr="005960F5">
        <w:rPr>
          <w:rFonts w:cs="Arial"/>
        </w:rPr>
        <w:t>Uredbe 596/2014/EU;</w:t>
      </w:r>
    </w:p>
    <w:p w14:paraId="40D6C4D2" w14:textId="5E4ECEDB" w:rsidR="000317F7" w:rsidRPr="005960F5" w:rsidRDefault="00F06B25">
      <w:pPr>
        <w:spacing w:before="210" w:after="210"/>
        <w:rPr>
          <w:rFonts w:cs="Arial"/>
          <w:sz w:val="21"/>
        </w:rPr>
      </w:pPr>
      <w:r w:rsidRPr="005960F5">
        <w:rPr>
          <w:rFonts w:cs="Arial"/>
        </w:rPr>
        <w:t>11.   agenciji ne pošlje poročil, pojasnil, podatkov in dokumentacije ali ji ne omogoči pregleda poslovanja v skladu z drugim odstavkom 23. člena</w:t>
      </w:r>
      <w:r w:rsidR="00B17B71" w:rsidRPr="005960F5">
        <w:rPr>
          <w:rFonts w:cs="Arial"/>
        </w:rPr>
        <w:t xml:space="preserve"> </w:t>
      </w:r>
      <w:r w:rsidRPr="005960F5">
        <w:rPr>
          <w:rFonts w:cs="Arial"/>
        </w:rPr>
        <w:t>Uredbe 596/2014/EU.</w:t>
      </w:r>
    </w:p>
    <w:p w14:paraId="0A4974E6" w14:textId="77777777" w:rsidR="000317F7" w:rsidRPr="005960F5" w:rsidRDefault="00F06B25">
      <w:pPr>
        <w:spacing w:before="210" w:after="210"/>
        <w:rPr>
          <w:rFonts w:cs="Arial"/>
          <w:sz w:val="21"/>
        </w:rPr>
      </w:pPr>
      <w:r w:rsidRPr="005960F5">
        <w:rPr>
          <w:rFonts w:cs="Arial"/>
        </w:rPr>
        <w:t>(2) Če je narava storjenega prekrška iz prejšnjega odstavka posebno huda zaradi višine povzročene škode oziroma višine pridobljene protipravne premoženjske koristi ali zaradi storilčevega naklepa oziroma njegovega namena koristoljubnosti, se pravna oseba kaznuje z globo v višini do:</w:t>
      </w:r>
    </w:p>
    <w:p w14:paraId="3F164F68" w14:textId="77777777" w:rsidR="000317F7" w:rsidRPr="005960F5" w:rsidRDefault="00F06B25">
      <w:pPr>
        <w:spacing w:before="210" w:after="210"/>
        <w:rPr>
          <w:rFonts w:cs="Arial"/>
          <w:sz w:val="21"/>
        </w:rPr>
      </w:pPr>
      <w:r w:rsidRPr="005960F5">
        <w:rPr>
          <w:rFonts w:cs="Arial"/>
        </w:rPr>
        <w:t>1.      15.000.000 eurov ali 15 % skupnega letnega prometa glede na zadnje razpoložljive računovodske izkaze, ki jih je odobril pristojni organ družbe, oziroma skupnega letnega prometa ali ustrezne vrste prihodka, ki izhaja iz zadnje razpoložljive konsolidirane letne bilance, ki jo je odobril pristojni organ matične družbe, če pravna oseba pripravi konsolidirane računovodske izkaze na podlagi ZGD-1, pri čemer se upošteva višji znesek, če gre za kršitev iz 1. do 5. točke prejšnjega odstavka, ali</w:t>
      </w:r>
    </w:p>
    <w:p w14:paraId="55F116EE" w14:textId="77777777" w:rsidR="000317F7" w:rsidRPr="005960F5" w:rsidRDefault="00F06B25">
      <w:pPr>
        <w:spacing w:before="210" w:after="210"/>
        <w:rPr>
          <w:rFonts w:cs="Arial"/>
          <w:sz w:val="21"/>
        </w:rPr>
      </w:pPr>
      <w:r w:rsidRPr="005960F5">
        <w:rPr>
          <w:rFonts w:cs="Arial"/>
        </w:rPr>
        <w:t>2.      2.500.000 eurov ali 2 % skupnega letnega prometa glede na zadnje razpoložljive računovodske izkaze, ki jih je odobril pristojni organ družbe, oziroma skupnega letnega prometa ali ustrezne vrste prihodka, ki izhaja iz zadnje razpoložljive konsolidirane letne bilance, ki jo je odobril pristojni organ matične družbe, če pravna oseba pripravi konsolidirane računovodske izkaze na podlagi ZGD-1, pri čemer se upošteva višji znesek, če gre za kršitev iz 6. ali 7. točke prejšnjega odstavka, ali</w:t>
      </w:r>
    </w:p>
    <w:p w14:paraId="1D09939C" w14:textId="77777777" w:rsidR="000317F7" w:rsidRPr="005960F5" w:rsidRDefault="00F06B25">
      <w:pPr>
        <w:spacing w:before="210" w:after="210"/>
        <w:rPr>
          <w:rFonts w:cs="Arial"/>
          <w:sz w:val="21"/>
        </w:rPr>
      </w:pPr>
      <w:r w:rsidRPr="005960F5">
        <w:rPr>
          <w:rFonts w:cs="Arial"/>
        </w:rPr>
        <w:t>3.      1.000.000 eurov, če gre za kršitev iz 8., 9. ali 10. točke prejšnjega odstavka, ali</w:t>
      </w:r>
    </w:p>
    <w:p w14:paraId="137097C6" w14:textId="77777777" w:rsidR="000317F7" w:rsidRPr="005960F5" w:rsidRDefault="00F06B25">
      <w:pPr>
        <w:spacing w:before="210" w:after="210"/>
        <w:rPr>
          <w:rFonts w:cs="Arial"/>
          <w:sz w:val="21"/>
        </w:rPr>
      </w:pPr>
      <w:r w:rsidRPr="005960F5">
        <w:rPr>
          <w:rFonts w:cs="Arial"/>
        </w:rPr>
        <w:t>4.      trikratnega zneska dobička, pridobljenega s kršitvijo, ali izgube, preprečene s kršitvijo, kadar ju je mogoče opredeliti, če ta znesek presega znesek iz 1., 2. oziroma 3. točke tega odstavka.</w:t>
      </w:r>
    </w:p>
    <w:p w14:paraId="617B4113" w14:textId="77777777" w:rsidR="000317F7" w:rsidRPr="005960F5" w:rsidRDefault="00F06B25">
      <w:pPr>
        <w:spacing w:before="210" w:after="210"/>
        <w:rPr>
          <w:rFonts w:cs="Arial"/>
          <w:sz w:val="21"/>
        </w:rPr>
      </w:pPr>
      <w:r w:rsidRPr="005960F5">
        <w:rPr>
          <w:rFonts w:cs="Arial"/>
        </w:rPr>
        <w:t>(3) Z globo od 400 do 150.000 eurov se za prekršek kaznuje podjetnik ali posameznik, ki samostojno opravlja dejavnost, ki stori prekršek iz prvega odstavka tega člena.</w:t>
      </w:r>
    </w:p>
    <w:p w14:paraId="507C4DF1" w14:textId="77777777" w:rsidR="000317F7" w:rsidRPr="005960F5" w:rsidRDefault="00F06B25">
      <w:pPr>
        <w:spacing w:before="210" w:after="210"/>
        <w:rPr>
          <w:rFonts w:cs="Arial"/>
          <w:sz w:val="21"/>
        </w:rPr>
      </w:pPr>
      <w:r w:rsidRPr="005960F5">
        <w:rPr>
          <w:rFonts w:cs="Arial"/>
        </w:rPr>
        <w:lastRenderedPageBreak/>
        <w:t>(4) Z globo od 800 do 10.000 eurov se za prekršek kaznuje odgovorna oseba pravne osebe, ki stori prekršek iz prvega odstavka tega člena, in odgovorna oseba podjetnika ali posameznika, ki samostojno opravlja dejavnost, ki stori prekršek iz prvega odstavka tega člena.</w:t>
      </w:r>
    </w:p>
    <w:p w14:paraId="4BC700CC" w14:textId="77777777" w:rsidR="000317F7" w:rsidRPr="005960F5" w:rsidRDefault="00F06B25">
      <w:pPr>
        <w:spacing w:before="210" w:after="210"/>
        <w:rPr>
          <w:rFonts w:cs="Arial"/>
          <w:sz w:val="21"/>
        </w:rPr>
      </w:pPr>
      <w:r w:rsidRPr="005960F5">
        <w:rPr>
          <w:rFonts w:cs="Arial"/>
        </w:rPr>
        <w:t>(5) Z globo od 400 do 5.000 eurov se za prekršek kaznuje posameznik, ki stori prekršek iz prvega odstavka tega člena.</w:t>
      </w:r>
    </w:p>
    <w:p w14:paraId="2C7681AE" w14:textId="77777777" w:rsidR="000317F7" w:rsidRPr="005960F5" w:rsidRDefault="00F06B25">
      <w:pPr>
        <w:spacing w:before="210" w:after="210"/>
        <w:rPr>
          <w:rFonts w:cs="Arial"/>
          <w:sz w:val="21"/>
        </w:rPr>
      </w:pPr>
      <w:r w:rsidRPr="005960F5">
        <w:rPr>
          <w:rFonts w:cs="Arial"/>
        </w:rPr>
        <w:t>(6) Če je narava storjenega prekrška iz tretjega, četrtega ali petega odstavka tega člena posebno huda zaradi višine povzročene škode oziroma višine pridobljene protipravne premoženjske koristi ali zaradi storilčevega naklepa oziroma njegovega namena koristoljubnosti, se oseba iz tretjega, četrtega ali petega odstavka tega člena kaznuje z globo do višine:</w:t>
      </w:r>
    </w:p>
    <w:p w14:paraId="5959B572" w14:textId="77777777" w:rsidR="000317F7" w:rsidRPr="005960F5" w:rsidRDefault="00F06B25">
      <w:pPr>
        <w:spacing w:before="210" w:after="210"/>
        <w:rPr>
          <w:rFonts w:cs="Arial"/>
          <w:sz w:val="21"/>
        </w:rPr>
      </w:pPr>
      <w:r w:rsidRPr="005960F5">
        <w:rPr>
          <w:rFonts w:cs="Arial"/>
        </w:rPr>
        <w:t>1.      5.000.000 eurov, če gre za kršitev iz 1. do 5. točke prvega odstavka tega člena, ali</w:t>
      </w:r>
    </w:p>
    <w:p w14:paraId="6192A9F5" w14:textId="77777777" w:rsidR="000317F7" w:rsidRPr="005960F5" w:rsidRDefault="00F06B25">
      <w:pPr>
        <w:spacing w:before="210" w:after="210"/>
        <w:rPr>
          <w:rFonts w:cs="Arial"/>
          <w:sz w:val="21"/>
        </w:rPr>
      </w:pPr>
      <w:r w:rsidRPr="005960F5">
        <w:rPr>
          <w:rFonts w:cs="Arial"/>
        </w:rPr>
        <w:t>2.      1.000.000 eurov, če gre za kršitev iz 6. ali 7. točke prvega odstavka tega člena, ali</w:t>
      </w:r>
    </w:p>
    <w:p w14:paraId="528F0A26" w14:textId="77777777" w:rsidR="000317F7" w:rsidRPr="005960F5" w:rsidRDefault="00F06B25">
      <w:pPr>
        <w:spacing w:before="210" w:after="210"/>
        <w:rPr>
          <w:rFonts w:cs="Arial"/>
          <w:sz w:val="21"/>
        </w:rPr>
      </w:pPr>
      <w:r w:rsidRPr="005960F5">
        <w:rPr>
          <w:rFonts w:cs="Arial"/>
        </w:rPr>
        <w:t>3.      500.000 eurov, če gre za kršitev iz 8., 9. ali 10. točke prvega odstavka tega člena, ali</w:t>
      </w:r>
    </w:p>
    <w:p w14:paraId="54852E18" w14:textId="77777777" w:rsidR="000317F7" w:rsidRPr="005960F5" w:rsidRDefault="00F06B25">
      <w:pPr>
        <w:spacing w:before="210" w:after="210"/>
        <w:rPr>
          <w:rFonts w:cs="Arial"/>
          <w:sz w:val="21"/>
        </w:rPr>
      </w:pPr>
      <w:r w:rsidRPr="005960F5">
        <w:rPr>
          <w:rFonts w:cs="Arial"/>
        </w:rPr>
        <w:t>4.      trikratnega zneska dobička, pridobljenega s kršitvijo, ali izgube, preprečene s kršitvijo, kadar ju je mogoče opredeliti, če ta znesek presega znesek iz 1., 2. oziroma 3. točke tega odstavka.</w:t>
      </w:r>
    </w:p>
    <w:p w14:paraId="144623D7" w14:textId="77777777" w:rsidR="000317F7" w:rsidRPr="005960F5" w:rsidRDefault="00F06B25">
      <w:pPr>
        <w:pStyle w:val="center"/>
        <w:spacing w:before="210" w:after="210"/>
        <w:rPr>
          <w:rFonts w:cs="Arial"/>
          <w:b/>
          <w:sz w:val="21"/>
        </w:rPr>
      </w:pPr>
      <w:r w:rsidRPr="005960F5">
        <w:rPr>
          <w:rFonts w:cs="Arial"/>
          <w:b/>
          <w:sz w:val="21"/>
        </w:rPr>
        <w:t>542. člen</w:t>
      </w:r>
    </w:p>
    <w:p w14:paraId="61D9AFC4" w14:textId="72B6C744" w:rsidR="000317F7" w:rsidRPr="005960F5" w:rsidRDefault="00F06B25">
      <w:pPr>
        <w:pStyle w:val="center"/>
        <w:spacing w:before="210" w:after="210"/>
        <w:rPr>
          <w:rFonts w:cs="Arial"/>
          <w:b/>
          <w:sz w:val="21"/>
        </w:rPr>
      </w:pPr>
      <w:r w:rsidRPr="005960F5">
        <w:rPr>
          <w:rFonts w:cs="Arial"/>
          <w:b/>
          <w:sz w:val="21"/>
        </w:rPr>
        <w:t>(kršitve</w:t>
      </w:r>
      <w:r w:rsidR="00B17B71" w:rsidRPr="005960F5">
        <w:rPr>
          <w:rFonts w:cs="Arial"/>
          <w:b/>
          <w:sz w:val="21"/>
        </w:rPr>
        <w:t xml:space="preserve"> </w:t>
      </w:r>
      <w:r w:rsidRPr="005960F5">
        <w:rPr>
          <w:rFonts w:cs="Arial"/>
          <w:b/>
          <w:sz w:val="21"/>
        </w:rPr>
        <w:t>Uredbe 2016/1011/EU)</w:t>
      </w:r>
    </w:p>
    <w:p w14:paraId="7738E909" w14:textId="77777777" w:rsidR="000317F7" w:rsidRPr="005960F5" w:rsidRDefault="00F06B25">
      <w:pPr>
        <w:spacing w:before="210" w:after="210"/>
        <w:rPr>
          <w:rFonts w:cs="Arial"/>
          <w:sz w:val="21"/>
        </w:rPr>
      </w:pPr>
      <w:r w:rsidRPr="005960F5">
        <w:rPr>
          <w:rFonts w:cs="Arial"/>
        </w:rPr>
        <w:t>(1) Z globo od 25.000 do 250.000 eurov se za prekršek kaznuje pravna oseba, z globo od 25.000 do 500.000 eurov pa pravna oseba, ki se po ZGD-1 šteje za srednjo ali veliko gospodarsko družbo, ki je:</w:t>
      </w:r>
    </w:p>
    <w:p w14:paraId="5D51019E" w14:textId="2CBD5D3A" w:rsidR="000317F7" w:rsidRPr="005960F5" w:rsidRDefault="00F06B25">
      <w:pPr>
        <w:spacing w:before="210" w:after="210"/>
        <w:rPr>
          <w:rFonts w:cs="Arial"/>
          <w:sz w:val="21"/>
        </w:rPr>
      </w:pPr>
      <w:r w:rsidRPr="005960F5">
        <w:rPr>
          <w:rFonts w:cs="Arial"/>
        </w:rPr>
        <w:t>1.      upravljavec referenčne vrednosti in nima vzpostavljene zanesljive ureditve upravljanja, ki vključuje jasno organizacijsko strukturo z natančno določenimi, preglednimi in doslednimi vlogami in odgovornostmi za vse osebe, ki so vključene v zagotavljanje referenčne vrednosti oziroma, ki v skladu s 4. členom</w:t>
      </w:r>
      <w:r w:rsidR="00B17B71" w:rsidRPr="005960F5">
        <w:rPr>
          <w:rFonts w:cs="Arial"/>
        </w:rPr>
        <w:t xml:space="preserve"> </w:t>
      </w:r>
      <w:r w:rsidRPr="005960F5">
        <w:rPr>
          <w:rFonts w:cs="Arial"/>
        </w:rPr>
        <w:t>Uredbe 2016/1011/</w:t>
      </w:r>
      <w:proofErr w:type="spellStart"/>
      <w:r w:rsidRPr="005960F5">
        <w:rPr>
          <w:rFonts w:cs="Arial"/>
        </w:rPr>
        <w:t>EUni</w:t>
      </w:r>
      <w:proofErr w:type="spellEnd"/>
      <w:r w:rsidRPr="005960F5">
        <w:rPr>
          <w:rFonts w:cs="Arial"/>
        </w:rPr>
        <w:t xml:space="preserve"> sprejel ustreznih ukrepov:</w:t>
      </w:r>
    </w:p>
    <w:p w14:paraId="07B7F447" w14:textId="77777777" w:rsidR="000317F7" w:rsidRPr="005960F5" w:rsidRDefault="00F06B25">
      <w:pPr>
        <w:spacing w:before="210" w:after="210"/>
        <w:rPr>
          <w:rFonts w:cs="Arial"/>
          <w:sz w:val="21"/>
        </w:rPr>
      </w:pPr>
      <w:r w:rsidRPr="005960F5">
        <w:rPr>
          <w:rFonts w:cs="Arial"/>
        </w:rPr>
        <w:t>-  za odkrivanje in preprečevanje ali obvladovanje navzkrižja interesov med njim, vključno z njegovimi poslovodji, uslužbenci ali drugo osebo, ki je neposredno ali posredno pod njegovim nadzorom, in prispevajočimi osebami ali uporabniki,</w:t>
      </w:r>
    </w:p>
    <w:p w14:paraId="3722EE28" w14:textId="77777777" w:rsidR="000317F7" w:rsidRPr="005960F5" w:rsidRDefault="00F06B25">
      <w:pPr>
        <w:spacing w:before="210" w:after="210"/>
        <w:rPr>
          <w:rFonts w:cs="Arial"/>
          <w:sz w:val="21"/>
        </w:rPr>
      </w:pPr>
      <w:r w:rsidRPr="005960F5">
        <w:rPr>
          <w:rFonts w:cs="Arial"/>
        </w:rPr>
        <w:t>-  za zagotovitev, da se presoja ali diskrecijska pravica v procesu določanja referenčnih vrednosti, kadar se ta zahteva, izvaja neodvisno in pošteno;</w:t>
      </w:r>
    </w:p>
    <w:p w14:paraId="52174E5F" w14:textId="1B6C7ABB" w:rsidR="000317F7" w:rsidRPr="005960F5" w:rsidRDefault="00F06B25">
      <w:pPr>
        <w:spacing w:before="210" w:after="210"/>
        <w:rPr>
          <w:rFonts w:cs="Arial"/>
          <w:sz w:val="21"/>
        </w:rPr>
      </w:pPr>
      <w:r w:rsidRPr="005960F5">
        <w:rPr>
          <w:rFonts w:cs="Arial"/>
        </w:rPr>
        <w:t>2.      upravljavec referenčne vrednosti in ne vzpostavi ter vzdržuje trajne in učinkovite funkcije nadzora oziroma ne zagotovi nadzora vseh vidikov zagotavljanja svojih referenčnih vrednosti v skladu s 5. členom</w:t>
      </w:r>
      <w:r w:rsidR="00B17B71" w:rsidRPr="005960F5">
        <w:rPr>
          <w:rFonts w:cs="Arial"/>
        </w:rPr>
        <w:t xml:space="preserve"> </w:t>
      </w:r>
      <w:r w:rsidRPr="005960F5">
        <w:rPr>
          <w:rFonts w:cs="Arial"/>
        </w:rPr>
        <w:t>Uredbe 2016/1011/EU;</w:t>
      </w:r>
    </w:p>
    <w:p w14:paraId="6326642F" w14:textId="659A6497" w:rsidR="000317F7" w:rsidRPr="005960F5" w:rsidRDefault="00F06B25">
      <w:pPr>
        <w:spacing w:before="210" w:after="210"/>
        <w:rPr>
          <w:rFonts w:cs="Arial"/>
          <w:sz w:val="21"/>
        </w:rPr>
      </w:pPr>
      <w:r w:rsidRPr="005960F5">
        <w:rPr>
          <w:rFonts w:cs="Arial"/>
        </w:rPr>
        <w:t>3.      upravljavec referenčne vrednosti in ne vzpostavi okvira kontrole v skladu s 6. členom</w:t>
      </w:r>
      <w:r w:rsidR="00B17B71" w:rsidRPr="005960F5">
        <w:rPr>
          <w:rFonts w:cs="Arial"/>
        </w:rPr>
        <w:t xml:space="preserve"> </w:t>
      </w:r>
      <w:r w:rsidRPr="005960F5">
        <w:rPr>
          <w:rFonts w:cs="Arial"/>
        </w:rPr>
        <w:t>Uredbe 2016/1011/EU;</w:t>
      </w:r>
    </w:p>
    <w:p w14:paraId="52DE3876" w14:textId="223BB989" w:rsidR="000317F7" w:rsidRPr="005960F5" w:rsidRDefault="00F06B25">
      <w:pPr>
        <w:spacing w:before="210" w:after="210"/>
        <w:rPr>
          <w:rFonts w:cs="Arial"/>
          <w:sz w:val="21"/>
        </w:rPr>
      </w:pPr>
      <w:r w:rsidRPr="005960F5">
        <w:rPr>
          <w:rFonts w:cs="Arial"/>
        </w:rPr>
        <w:t>4.      upravljavec referenčne vrednosti in ne vzpostavi okvira odgovornosti, ki obsega evidentiranje, revidiranje in pregledovanje ter pritožbeni proces in zagotavlja dokaze o skladnosti v skladu s 7. členom</w:t>
      </w:r>
      <w:r w:rsidR="00B17B71" w:rsidRPr="005960F5">
        <w:rPr>
          <w:rFonts w:cs="Arial"/>
        </w:rPr>
        <w:t xml:space="preserve"> </w:t>
      </w:r>
      <w:r w:rsidRPr="005960F5">
        <w:rPr>
          <w:rFonts w:cs="Arial"/>
        </w:rPr>
        <w:t>Uredbe 2016/1011/EU;</w:t>
      </w:r>
    </w:p>
    <w:p w14:paraId="3228FB75" w14:textId="69454FDF" w:rsidR="000317F7" w:rsidRPr="005960F5" w:rsidRDefault="00F06B25">
      <w:pPr>
        <w:spacing w:before="210" w:after="210"/>
        <w:rPr>
          <w:rFonts w:cs="Arial"/>
          <w:sz w:val="21"/>
        </w:rPr>
      </w:pPr>
      <w:r w:rsidRPr="005960F5">
        <w:rPr>
          <w:rFonts w:cs="Arial"/>
        </w:rPr>
        <w:lastRenderedPageBreak/>
        <w:t>5.      upravljavec referenčne vrednosti in ne vodi ali ne hrani podrobnih evidenc v skladu z 8. členom</w:t>
      </w:r>
      <w:r w:rsidR="00B17B71" w:rsidRPr="005960F5">
        <w:rPr>
          <w:rFonts w:cs="Arial"/>
        </w:rPr>
        <w:t xml:space="preserve"> </w:t>
      </w:r>
      <w:r w:rsidRPr="005960F5">
        <w:rPr>
          <w:rFonts w:cs="Arial"/>
        </w:rPr>
        <w:t>Uredbe 2016/1011/EU;</w:t>
      </w:r>
    </w:p>
    <w:p w14:paraId="69438341" w14:textId="4248B045" w:rsidR="000317F7" w:rsidRPr="005960F5" w:rsidRDefault="00F06B25">
      <w:pPr>
        <w:spacing w:before="210" w:after="210"/>
        <w:rPr>
          <w:rFonts w:cs="Arial"/>
          <w:sz w:val="21"/>
        </w:rPr>
      </w:pPr>
      <w:r w:rsidRPr="005960F5">
        <w:rPr>
          <w:rFonts w:cs="Arial"/>
        </w:rPr>
        <w:t>6.      upravljavec referenčne vrednosti in ne vzpostavi ter objavi mehanizma za sprejemanje in preiskovanje pritožb, vključno v zvezi s svojim procesom določanja referenčnih vrednosti, ter hrambo evidence o tem v skladu z 9. členom</w:t>
      </w:r>
      <w:r w:rsidR="00B17B71" w:rsidRPr="005960F5">
        <w:rPr>
          <w:rFonts w:cs="Arial"/>
        </w:rPr>
        <w:t xml:space="preserve"> </w:t>
      </w:r>
      <w:r w:rsidRPr="005960F5">
        <w:rPr>
          <w:rFonts w:cs="Arial"/>
        </w:rPr>
        <w:t>Uredbe 2016/1011/EU;</w:t>
      </w:r>
    </w:p>
    <w:p w14:paraId="5E0F46F4" w14:textId="2D557609" w:rsidR="000317F7" w:rsidRPr="005960F5" w:rsidRDefault="00F06B25">
      <w:pPr>
        <w:spacing w:before="210" w:after="210"/>
        <w:rPr>
          <w:rFonts w:cs="Arial"/>
          <w:sz w:val="21"/>
        </w:rPr>
      </w:pPr>
      <w:r w:rsidRPr="005960F5">
        <w:rPr>
          <w:rFonts w:cs="Arial"/>
        </w:rPr>
        <w:t>7.      upravljavec referenčne vrednosti in ne prenese funkcije zagotavljanja referenčne vrednosti v skladu z 10. členom</w:t>
      </w:r>
      <w:r w:rsidR="00B17B71" w:rsidRPr="005960F5">
        <w:rPr>
          <w:rFonts w:cs="Arial"/>
        </w:rPr>
        <w:t xml:space="preserve"> </w:t>
      </w:r>
      <w:r w:rsidRPr="005960F5">
        <w:rPr>
          <w:rFonts w:cs="Arial"/>
        </w:rPr>
        <w:t>Uredbe 2016/1011/EU;</w:t>
      </w:r>
    </w:p>
    <w:p w14:paraId="0B21DF87" w14:textId="5DD15FBC" w:rsidR="000317F7" w:rsidRPr="005960F5" w:rsidRDefault="00F06B25">
      <w:pPr>
        <w:spacing w:before="210" w:after="210"/>
        <w:rPr>
          <w:rFonts w:cs="Arial"/>
          <w:sz w:val="21"/>
        </w:rPr>
      </w:pPr>
      <w:r w:rsidRPr="005960F5">
        <w:rPr>
          <w:rFonts w:cs="Arial"/>
        </w:rPr>
        <w:t>8.      upravljavec referenčne vrednosti in za zagotavljanje referenčne vrednosti uporablja vhodne podatke, kadar referenčna vrednost ne temelji na vhodnih podatkih prispevajočih oseb, ki niso v skladu s točko a, b, c, e prvega odstavka 11. člena in drugim ter tretjim odstavkom 11. člena</w:t>
      </w:r>
      <w:r w:rsidR="00B17B71" w:rsidRPr="005960F5">
        <w:rPr>
          <w:rFonts w:cs="Arial"/>
        </w:rPr>
        <w:t xml:space="preserve"> </w:t>
      </w:r>
      <w:r w:rsidRPr="005960F5">
        <w:rPr>
          <w:rFonts w:cs="Arial"/>
        </w:rPr>
        <w:t>Uredbe 2016/1011/EU;</w:t>
      </w:r>
    </w:p>
    <w:p w14:paraId="2D88EC33" w14:textId="6E656C54" w:rsidR="000317F7" w:rsidRPr="005960F5" w:rsidRDefault="00F06B25">
      <w:pPr>
        <w:spacing w:before="210" w:after="210"/>
        <w:rPr>
          <w:rFonts w:cs="Arial"/>
          <w:sz w:val="21"/>
        </w:rPr>
      </w:pPr>
      <w:r w:rsidRPr="005960F5">
        <w:rPr>
          <w:rFonts w:cs="Arial"/>
        </w:rPr>
        <w:t>9.      upravljavec referenčne vrednosti, kadar referenčna vrednost temelji na vhodnih podatkih prispevajočih oseb, upravljavec ne pridobi vhodnih podatkov od zanesljive in reprezentativne skupine ali vzorca prispevajočih oseb za zagotovitev, da je referenčna vrednost, ki temelji na teh podatkih, zanesljiva ter predstavlja tržno ali gospodarsko stanje, ki naj bi se merilo z referenčno vrednostjo, kar ni v skladu s točko d prvega odstavka 11. člena</w:t>
      </w:r>
      <w:r w:rsidR="00B17B71" w:rsidRPr="005960F5">
        <w:rPr>
          <w:rFonts w:cs="Arial"/>
        </w:rPr>
        <w:t xml:space="preserve"> </w:t>
      </w:r>
      <w:r w:rsidRPr="005960F5">
        <w:rPr>
          <w:rFonts w:cs="Arial"/>
        </w:rPr>
        <w:t>Uredbe 2016/1011/EU;</w:t>
      </w:r>
    </w:p>
    <w:p w14:paraId="78DA362B" w14:textId="477897EB" w:rsidR="000317F7" w:rsidRPr="005960F5" w:rsidRDefault="00F06B25">
      <w:pPr>
        <w:spacing w:before="210" w:after="210"/>
        <w:rPr>
          <w:rFonts w:cs="Arial"/>
          <w:sz w:val="21"/>
        </w:rPr>
      </w:pPr>
      <w:r w:rsidRPr="005960F5">
        <w:rPr>
          <w:rFonts w:cs="Arial"/>
        </w:rPr>
        <w:t>10.   upravljavec referenčne vrednosti in ne razvije ali pri določanju referenčne vrednosti ne uporablja metodologije, ali ne sklene in objavi s tem povezanih sporazumov v skladu z 12. členom</w:t>
      </w:r>
      <w:r w:rsidR="00B17B71" w:rsidRPr="005960F5">
        <w:rPr>
          <w:rFonts w:cs="Arial"/>
        </w:rPr>
        <w:t xml:space="preserve"> </w:t>
      </w:r>
      <w:r w:rsidRPr="005960F5">
        <w:rPr>
          <w:rFonts w:cs="Arial"/>
        </w:rPr>
        <w:t>Uredbe 2016/1011/EU;</w:t>
      </w:r>
    </w:p>
    <w:p w14:paraId="665D010F" w14:textId="4429A8ED" w:rsidR="000317F7" w:rsidRPr="005960F5" w:rsidRDefault="00F06B25">
      <w:pPr>
        <w:spacing w:before="210" w:after="210"/>
        <w:rPr>
          <w:rFonts w:cs="Arial"/>
          <w:sz w:val="21"/>
        </w:rPr>
      </w:pPr>
      <w:r w:rsidRPr="005960F5">
        <w:rPr>
          <w:rFonts w:cs="Arial"/>
        </w:rPr>
        <w:t>11.   upravljavec referenčne vrednosti in ne zagotovi preglednosti razvoja, upravljanja in uporabe referenčne vrednosti in metodologije v skladu s 13. členom</w:t>
      </w:r>
      <w:r w:rsidR="00B17B71" w:rsidRPr="005960F5">
        <w:rPr>
          <w:rFonts w:cs="Arial"/>
        </w:rPr>
        <w:t xml:space="preserve"> </w:t>
      </w:r>
      <w:r w:rsidRPr="005960F5">
        <w:rPr>
          <w:rFonts w:cs="Arial"/>
        </w:rPr>
        <w:t>Uredbe 2016/1011/EU;</w:t>
      </w:r>
    </w:p>
    <w:p w14:paraId="18FE9CF4" w14:textId="032189DF" w:rsidR="000317F7" w:rsidRPr="005960F5" w:rsidRDefault="00F06B25">
      <w:pPr>
        <w:spacing w:before="210" w:after="210"/>
        <w:rPr>
          <w:rFonts w:cs="Arial"/>
          <w:sz w:val="21"/>
        </w:rPr>
      </w:pPr>
      <w:r w:rsidRPr="005960F5">
        <w:rPr>
          <w:rFonts w:cs="Arial"/>
        </w:rPr>
        <w:t>12.   upravljavec referenčne vrednosti in ne vzpostavi ustreznega sistema za učinkovito kontrolo in poročanje agenciji v primeru manipulacije ali poskusa manipulacije referenčne vrednosti v skladu s 14. členom</w:t>
      </w:r>
      <w:r w:rsidR="00B17B71" w:rsidRPr="005960F5">
        <w:rPr>
          <w:rFonts w:cs="Arial"/>
        </w:rPr>
        <w:t xml:space="preserve"> </w:t>
      </w:r>
      <w:r w:rsidRPr="005960F5">
        <w:rPr>
          <w:rFonts w:cs="Arial"/>
        </w:rPr>
        <w:t>Uredbe 2016/1011/EU;</w:t>
      </w:r>
    </w:p>
    <w:p w14:paraId="7AD803D2" w14:textId="4C5A6DA2" w:rsidR="000317F7" w:rsidRPr="005960F5" w:rsidRDefault="00F06B25">
      <w:pPr>
        <w:spacing w:before="210" w:after="210"/>
        <w:rPr>
          <w:rFonts w:cs="Arial"/>
          <w:sz w:val="21"/>
        </w:rPr>
      </w:pPr>
      <w:r w:rsidRPr="005960F5">
        <w:rPr>
          <w:rFonts w:cs="Arial"/>
        </w:rPr>
        <w:t>13.   upravljavec referenčne vrednosti in ne pripravi kodeksa ravnanja v skladu s 15. členom</w:t>
      </w:r>
      <w:r w:rsidR="00B17B71" w:rsidRPr="005960F5">
        <w:rPr>
          <w:rFonts w:cs="Arial"/>
        </w:rPr>
        <w:t xml:space="preserve"> </w:t>
      </w:r>
      <w:r w:rsidRPr="005960F5">
        <w:rPr>
          <w:rFonts w:cs="Arial"/>
        </w:rPr>
        <w:t>Uredbe 2016/1011/EU;</w:t>
      </w:r>
    </w:p>
    <w:p w14:paraId="4C177E8F" w14:textId="1FC9FD5F" w:rsidR="000317F7" w:rsidRPr="005960F5" w:rsidRDefault="00F06B25">
      <w:pPr>
        <w:spacing w:before="210" w:after="210"/>
        <w:rPr>
          <w:rFonts w:cs="Arial"/>
          <w:sz w:val="21"/>
        </w:rPr>
      </w:pPr>
      <w:r w:rsidRPr="005960F5">
        <w:rPr>
          <w:rFonts w:cs="Arial"/>
        </w:rPr>
        <w:t>14.   nadzorovana prispevajoča oseba in nima vzpostavljenih učinkovitih sistemov za upravljanje in kontrolo v skladu s 16. členom</w:t>
      </w:r>
      <w:r w:rsidR="00B17B71" w:rsidRPr="005960F5">
        <w:rPr>
          <w:rFonts w:cs="Arial"/>
        </w:rPr>
        <w:t xml:space="preserve"> </w:t>
      </w:r>
      <w:r w:rsidRPr="005960F5">
        <w:rPr>
          <w:rFonts w:cs="Arial"/>
        </w:rPr>
        <w:t>Uredbe 2016/1011/EU;</w:t>
      </w:r>
    </w:p>
    <w:p w14:paraId="3C5F03C0" w14:textId="3DAC6563" w:rsidR="000317F7" w:rsidRPr="005960F5" w:rsidRDefault="00F06B25">
      <w:pPr>
        <w:spacing w:before="210" w:after="210"/>
        <w:rPr>
          <w:rFonts w:cs="Arial"/>
          <w:sz w:val="21"/>
        </w:rPr>
      </w:pPr>
      <w:r w:rsidRPr="005960F5">
        <w:rPr>
          <w:rFonts w:cs="Arial"/>
        </w:rPr>
        <w:t>15.   upravljavec ključne referenčne vrednosti in pri nameravanem prenehanju zagotavljanja ključne referenčne vrednosti ne postopa v skladu z 21. členom</w:t>
      </w:r>
      <w:r w:rsidR="00B17B71" w:rsidRPr="005960F5">
        <w:rPr>
          <w:rFonts w:cs="Arial"/>
        </w:rPr>
        <w:t xml:space="preserve"> </w:t>
      </w:r>
      <w:r w:rsidRPr="005960F5">
        <w:rPr>
          <w:rFonts w:cs="Arial"/>
        </w:rPr>
        <w:t>Uredbe 2016/1011/EU;</w:t>
      </w:r>
    </w:p>
    <w:p w14:paraId="241FA163" w14:textId="40C088DC" w:rsidR="000317F7" w:rsidRPr="005960F5" w:rsidRDefault="00F06B25">
      <w:pPr>
        <w:spacing w:before="210" w:after="210"/>
        <w:rPr>
          <w:rFonts w:cs="Arial"/>
          <w:sz w:val="21"/>
        </w:rPr>
      </w:pPr>
      <w:r w:rsidRPr="005960F5">
        <w:rPr>
          <w:rFonts w:cs="Arial"/>
        </w:rPr>
        <w:t>16.   upravljavec ključne referenčne vrednosti ali nadzorovana prispevajoča oseba podatkov za ključno referenčno vrednost, ki namerava prenehati prispevati vhodne podatke, ali nadzorovani subjekt, ki ga določi agencija in od katerega, ob tesnem sodelovanju njegovega pristojnega organa, zahteva da v ustreznem obdobju obvezno prispeva vhodne podatke, in ne postopa oziroma ne upošteva odločitev agencije v skladu s 23. členom</w:t>
      </w:r>
      <w:r w:rsidR="00B17B71" w:rsidRPr="005960F5">
        <w:rPr>
          <w:rFonts w:cs="Arial"/>
        </w:rPr>
        <w:t xml:space="preserve"> </w:t>
      </w:r>
      <w:r w:rsidRPr="005960F5">
        <w:rPr>
          <w:rFonts w:cs="Arial"/>
        </w:rPr>
        <w:t>Uredbe 2016/1011/EU;</w:t>
      </w:r>
    </w:p>
    <w:p w14:paraId="6C7F1520" w14:textId="00C32455" w:rsidR="000317F7" w:rsidRPr="005960F5" w:rsidRDefault="00F06B25">
      <w:pPr>
        <w:spacing w:before="210" w:after="210"/>
        <w:rPr>
          <w:rFonts w:cs="Arial"/>
          <w:sz w:val="21"/>
        </w:rPr>
      </w:pPr>
      <w:r w:rsidRPr="005960F5">
        <w:rPr>
          <w:rFonts w:cs="Arial"/>
        </w:rPr>
        <w:t>17.   upravljavec referenčne vrednosti in ne obvesti agencije, ko njegova pomembna referenčna vrednost pade pod prag, določen v skladu s 24. členom</w:t>
      </w:r>
      <w:r w:rsidR="00B17B71" w:rsidRPr="005960F5">
        <w:rPr>
          <w:rFonts w:cs="Arial"/>
        </w:rPr>
        <w:t xml:space="preserve"> </w:t>
      </w:r>
      <w:r w:rsidRPr="005960F5">
        <w:rPr>
          <w:rFonts w:cs="Arial"/>
        </w:rPr>
        <w:t>Uredbe 2016/1011/EU;</w:t>
      </w:r>
    </w:p>
    <w:p w14:paraId="625A555F" w14:textId="780F9EF3" w:rsidR="000317F7" w:rsidRPr="005960F5" w:rsidRDefault="00F06B25">
      <w:pPr>
        <w:spacing w:before="210" w:after="210"/>
        <w:rPr>
          <w:rFonts w:cs="Arial"/>
          <w:sz w:val="21"/>
        </w:rPr>
      </w:pPr>
      <w:r w:rsidRPr="005960F5">
        <w:rPr>
          <w:rFonts w:cs="Arial"/>
        </w:rPr>
        <w:t>18.   upravljavec referenčne vrednosti in uporablja izjeme od posebnih zahtev za pomembne referenčne vrednosti v nasprotju s 25. členom</w:t>
      </w:r>
      <w:r w:rsidR="00B17B71" w:rsidRPr="005960F5">
        <w:rPr>
          <w:rFonts w:cs="Arial"/>
        </w:rPr>
        <w:t xml:space="preserve"> </w:t>
      </w:r>
      <w:r w:rsidRPr="005960F5">
        <w:rPr>
          <w:rFonts w:cs="Arial"/>
        </w:rPr>
        <w:t>Uredbe 2016/1011/EU;</w:t>
      </w:r>
    </w:p>
    <w:p w14:paraId="3E8A1B51" w14:textId="250F05FF" w:rsidR="000317F7" w:rsidRPr="005960F5" w:rsidRDefault="00F06B25">
      <w:pPr>
        <w:spacing w:before="210" w:after="210"/>
        <w:rPr>
          <w:rFonts w:cs="Arial"/>
          <w:sz w:val="21"/>
        </w:rPr>
      </w:pPr>
      <w:r w:rsidRPr="005960F5">
        <w:rPr>
          <w:rFonts w:cs="Arial"/>
        </w:rPr>
        <w:lastRenderedPageBreak/>
        <w:t>19.   upravljavec nepomembne referenčne vrednosti in ne obvešča agencije v skladu s 26. členom</w:t>
      </w:r>
      <w:r w:rsidR="00B17B71" w:rsidRPr="005960F5">
        <w:rPr>
          <w:rFonts w:cs="Arial"/>
        </w:rPr>
        <w:t xml:space="preserve"> </w:t>
      </w:r>
      <w:r w:rsidRPr="005960F5">
        <w:rPr>
          <w:rFonts w:cs="Arial"/>
        </w:rPr>
        <w:t>Uredbe 2016/1011/EU;</w:t>
      </w:r>
    </w:p>
    <w:p w14:paraId="5346CB4A" w14:textId="51FBE878" w:rsidR="000317F7" w:rsidRPr="005960F5" w:rsidRDefault="00F06B25">
      <w:pPr>
        <w:spacing w:before="210" w:after="210"/>
        <w:rPr>
          <w:rFonts w:cs="Arial"/>
          <w:sz w:val="21"/>
        </w:rPr>
      </w:pPr>
      <w:r w:rsidRPr="005960F5">
        <w:rPr>
          <w:rFonts w:cs="Arial"/>
        </w:rPr>
        <w:t>20.   upravljavec referenčne vrednosti in ne objavi izjave o referenčni vrednosti za vsako referenčno vrednost ali, kadar je primerno, za vsako skupino referenčnih vrednosti, ki se lahko v skladu z 29. členom</w:t>
      </w:r>
      <w:r w:rsidR="00B17B71" w:rsidRPr="005960F5">
        <w:rPr>
          <w:rFonts w:cs="Arial"/>
        </w:rPr>
        <w:t xml:space="preserve"> </w:t>
      </w:r>
      <w:r w:rsidRPr="005960F5">
        <w:rPr>
          <w:rFonts w:cs="Arial"/>
        </w:rPr>
        <w:t>Uredbe 2016/1011/EU</w:t>
      </w:r>
      <w:r w:rsidR="00E11D2B">
        <w:rPr>
          <w:rFonts w:cs="Arial"/>
        </w:rPr>
        <w:t xml:space="preserve"> </w:t>
      </w:r>
      <w:r w:rsidRPr="005960F5">
        <w:rPr>
          <w:rFonts w:cs="Arial"/>
        </w:rPr>
        <w:t>uporablja v Uniji, v predpisani vsebini, rokih in na način, oziroma ne pregleda in po potrebi posodobi izjave o referenčni vrednosti v skladu s 27. členom</w:t>
      </w:r>
      <w:r w:rsidR="00B17B71" w:rsidRPr="005960F5">
        <w:rPr>
          <w:rFonts w:cs="Arial"/>
        </w:rPr>
        <w:t xml:space="preserve"> </w:t>
      </w:r>
      <w:r w:rsidRPr="005960F5">
        <w:rPr>
          <w:rFonts w:cs="Arial"/>
        </w:rPr>
        <w:t>Uredbe 2016/1011/EU;</w:t>
      </w:r>
    </w:p>
    <w:p w14:paraId="5DF1C00E" w14:textId="52FEBC18" w:rsidR="000317F7" w:rsidRPr="005960F5" w:rsidRDefault="00F06B25">
      <w:pPr>
        <w:spacing w:before="210" w:after="210"/>
        <w:rPr>
          <w:rFonts w:cs="Arial"/>
          <w:sz w:val="21"/>
        </w:rPr>
      </w:pPr>
      <w:r w:rsidRPr="005960F5">
        <w:rPr>
          <w:rFonts w:cs="Arial"/>
        </w:rPr>
        <w:t>21.   upravljavec referenčne vrednosti in skupaj z izjavo o referenčni vrednosti iz 27. člena</w:t>
      </w:r>
      <w:r w:rsidR="00B17B71" w:rsidRPr="005960F5">
        <w:rPr>
          <w:rFonts w:cs="Arial"/>
        </w:rPr>
        <w:t xml:space="preserve"> </w:t>
      </w:r>
      <w:r w:rsidRPr="005960F5">
        <w:rPr>
          <w:rFonts w:cs="Arial"/>
        </w:rPr>
        <w:t>Uredbe 2016/1011/EU</w:t>
      </w:r>
      <w:r w:rsidR="00B17B71" w:rsidRPr="005960F5">
        <w:t xml:space="preserve"> </w:t>
      </w:r>
      <w:r w:rsidRPr="005960F5">
        <w:rPr>
          <w:rFonts w:cs="Arial"/>
        </w:rPr>
        <w:t>ne objavi postopka glede ukrepov, ki jih sprejme v primeru spremembe ali prenehanja referenčne vrednosti oziroma skupine referenčnih vrednosti, ki jo je v skladu s prvim odstavkom 29. člena te uredbe mogoče uporabiti v Uniji, v skladu z 28. členom</w:t>
      </w:r>
      <w:r w:rsidR="00B17B71" w:rsidRPr="005960F5">
        <w:rPr>
          <w:rFonts w:cs="Arial"/>
        </w:rPr>
        <w:t xml:space="preserve"> </w:t>
      </w:r>
      <w:r w:rsidRPr="005960F5">
        <w:rPr>
          <w:rFonts w:cs="Arial"/>
        </w:rPr>
        <w:t>Uredbe 2016/1011/EU;</w:t>
      </w:r>
    </w:p>
    <w:p w14:paraId="1E61C1B0" w14:textId="3D918701" w:rsidR="000317F7" w:rsidRPr="005960F5" w:rsidRDefault="00F06B25">
      <w:pPr>
        <w:spacing w:before="210" w:after="210"/>
        <w:rPr>
          <w:rFonts w:cs="Arial"/>
          <w:sz w:val="21"/>
        </w:rPr>
      </w:pPr>
      <w:r w:rsidRPr="005960F5">
        <w:rPr>
          <w:rFonts w:cs="Arial"/>
        </w:rPr>
        <w:t>22.   nadzorovani subjekt, razen upravljavca iz prvega odstavka 28. člena</w:t>
      </w:r>
      <w:r w:rsidR="00B17B71" w:rsidRPr="005960F5">
        <w:rPr>
          <w:rFonts w:cs="Arial"/>
        </w:rPr>
        <w:t xml:space="preserve"> </w:t>
      </w:r>
      <w:r w:rsidRPr="005960F5">
        <w:rPr>
          <w:rFonts w:cs="Arial"/>
        </w:rPr>
        <w:t>Uredbe 2016/1011/EU, ki uporablja referenčno vrednost, pa ne pripravi in vzdržuje zanesljivih pisnih načrtov ukrepov, ki bi jih sprejel, če bi se referenčna vrednost bistveno spremenila ali bi se prenehala zagotavljati, ali teh načrtov ne odraža v pogodbenih razmerjih s strankami, ali teh načrtov in vseh njihovih posodobitev ne predloži agenciji na njeno zahtevo v skladu z 28. členom</w:t>
      </w:r>
      <w:r w:rsidR="00B17B71" w:rsidRPr="005960F5">
        <w:rPr>
          <w:rFonts w:cs="Arial"/>
        </w:rPr>
        <w:t xml:space="preserve"> </w:t>
      </w:r>
      <w:r w:rsidRPr="005960F5">
        <w:rPr>
          <w:rFonts w:cs="Arial"/>
        </w:rPr>
        <w:t>Uredbe 2016/1011/EU;</w:t>
      </w:r>
    </w:p>
    <w:p w14:paraId="2750464B" w14:textId="2D15675F" w:rsidR="000317F7" w:rsidRPr="005960F5" w:rsidRDefault="00F06B25">
      <w:pPr>
        <w:spacing w:before="210" w:after="210"/>
        <w:rPr>
          <w:rFonts w:cs="Arial"/>
          <w:sz w:val="21"/>
        </w:rPr>
      </w:pPr>
      <w:r w:rsidRPr="005960F5">
        <w:rPr>
          <w:rFonts w:cs="Arial"/>
        </w:rPr>
        <w:t>23.   nadzorovani subjekt in ne uporablja referenčnih vrednosti v skladu z 29. členom</w:t>
      </w:r>
      <w:r w:rsidR="00B17B71" w:rsidRPr="005960F5">
        <w:rPr>
          <w:rFonts w:cs="Arial"/>
        </w:rPr>
        <w:t xml:space="preserve"> </w:t>
      </w:r>
      <w:r w:rsidRPr="005960F5">
        <w:rPr>
          <w:rFonts w:cs="Arial"/>
        </w:rPr>
        <w:t>Uredbe 2016/1011/EU;</w:t>
      </w:r>
    </w:p>
    <w:p w14:paraId="4DA57E6A" w14:textId="5F7A0EC0" w:rsidR="000317F7" w:rsidRPr="005960F5" w:rsidRDefault="00F06B25">
      <w:pPr>
        <w:spacing w:before="210" w:after="210"/>
        <w:rPr>
          <w:rFonts w:cs="Arial"/>
          <w:sz w:val="21"/>
        </w:rPr>
      </w:pPr>
      <w:r w:rsidRPr="005960F5">
        <w:rPr>
          <w:rFonts w:cs="Arial"/>
        </w:rPr>
        <w:t>24.   izdajatelj, ponudnik ali oseba, ki zaprosi za sprejem prenosljivega vrednostnega papirja ali drugega naložbenega produkta, ki se sklicuje na referenčno vrednost, v trgovanje na organiziranem trgu, pa ne zagotovi, da so v prospektu, ki bo objavljen na podlagi</w:t>
      </w:r>
      <w:r w:rsidR="00B17B71" w:rsidRPr="005960F5">
        <w:rPr>
          <w:rFonts w:cs="Arial"/>
        </w:rPr>
        <w:t xml:space="preserve"> </w:t>
      </w:r>
      <w:r w:rsidRPr="005960F5">
        <w:rPr>
          <w:rFonts w:cs="Arial"/>
        </w:rPr>
        <w:t>Direktive 2003/71/ES</w:t>
      </w:r>
      <w:r w:rsidR="00B17B71" w:rsidRPr="005960F5">
        <w:t xml:space="preserve"> </w:t>
      </w:r>
      <w:r w:rsidRPr="005960F5">
        <w:rPr>
          <w:rFonts w:cs="Arial"/>
        </w:rPr>
        <w:t>ali</w:t>
      </w:r>
      <w:r w:rsidR="00B17B71" w:rsidRPr="005960F5">
        <w:rPr>
          <w:rFonts w:cs="Arial"/>
        </w:rPr>
        <w:t xml:space="preserve"> </w:t>
      </w:r>
      <w:r w:rsidRPr="005960F5">
        <w:rPr>
          <w:rFonts w:cs="Arial"/>
        </w:rPr>
        <w:t>Direktive 2009/65/ES, tudi jasne in vidne informacije o upravljavcu, ki zagotavlja referenčno vrednost, v skladu z 29. členom</w:t>
      </w:r>
      <w:r w:rsidR="00B17B71" w:rsidRPr="005960F5">
        <w:rPr>
          <w:rFonts w:cs="Arial"/>
        </w:rPr>
        <w:t xml:space="preserve"> </w:t>
      </w:r>
      <w:r w:rsidRPr="005960F5">
        <w:rPr>
          <w:rFonts w:cs="Arial"/>
        </w:rPr>
        <w:t>Uredbe 2016/1011/EU;</w:t>
      </w:r>
    </w:p>
    <w:p w14:paraId="60EF9A2C" w14:textId="16307DD5" w:rsidR="000317F7" w:rsidRPr="005960F5" w:rsidRDefault="00F06B25">
      <w:pPr>
        <w:spacing w:before="210" w:after="210"/>
        <w:rPr>
          <w:rFonts w:cs="Arial"/>
          <w:sz w:val="21"/>
        </w:rPr>
      </w:pPr>
      <w:r w:rsidRPr="005960F5">
        <w:rPr>
          <w:rFonts w:cs="Arial"/>
        </w:rPr>
        <w:t>25.   pravna oseba s sedežem v Republiki Sloveniji, ki namerava delovati kot upravljavec referenčne vrednosti, in agenciji ne predloži vloge za pridobitev dovoljenja ali registracije, ali ne zagotovi vseh potrebnih informacij, ali ne dopolni vloge na zahtevo agencije, ali ne deluje vedno, tudi v času izdaje dovoljenja ali registracije, v skladu s pogoji, ki jih določa</w:t>
      </w:r>
      <w:r w:rsidR="00B17B71" w:rsidRPr="005960F5">
        <w:rPr>
          <w:rFonts w:cs="Arial"/>
        </w:rPr>
        <w:t xml:space="preserve"> </w:t>
      </w:r>
      <w:r w:rsidRPr="005960F5">
        <w:rPr>
          <w:rFonts w:cs="Arial"/>
        </w:rPr>
        <w:t>Uredba 2016/1011/EU, v skladu s 34. členom</w:t>
      </w:r>
      <w:r w:rsidR="00B17B71" w:rsidRPr="005960F5">
        <w:rPr>
          <w:rFonts w:cs="Arial"/>
        </w:rPr>
        <w:t xml:space="preserve"> </w:t>
      </w:r>
      <w:r w:rsidRPr="005960F5">
        <w:rPr>
          <w:rFonts w:cs="Arial"/>
        </w:rPr>
        <w:t>Uredbe 2016/1011/EU.</w:t>
      </w:r>
    </w:p>
    <w:p w14:paraId="62FA78E0" w14:textId="77777777" w:rsidR="000317F7" w:rsidRPr="005960F5" w:rsidRDefault="00F06B25">
      <w:pPr>
        <w:spacing w:before="210" w:after="210"/>
        <w:rPr>
          <w:rFonts w:cs="Arial"/>
          <w:sz w:val="21"/>
        </w:rPr>
      </w:pPr>
      <w:r w:rsidRPr="005960F5">
        <w:rPr>
          <w:rFonts w:cs="Arial"/>
        </w:rPr>
        <w:t>(2) Če je narava storjenega prekrška iz 1. do 8. točke in 10. do 25. točke prejšnjega odstavka posebno huda zaradi višine povzročene škode oziroma višine pridobljene protipravne premoženjske koristi ali zaradi storilčevega naklepa oziroma njegovega namena koristoljubnosti, se pravna oseba kaznuje z globo v višini:</w:t>
      </w:r>
    </w:p>
    <w:p w14:paraId="3DFC22FC" w14:textId="77777777" w:rsidR="000317F7" w:rsidRPr="005960F5" w:rsidRDefault="00F06B25">
      <w:pPr>
        <w:spacing w:before="210" w:after="210"/>
        <w:rPr>
          <w:rFonts w:cs="Arial"/>
          <w:sz w:val="21"/>
        </w:rPr>
      </w:pPr>
      <w:r w:rsidRPr="005960F5">
        <w:rPr>
          <w:rFonts w:cs="Arial"/>
        </w:rPr>
        <w:t>1.      1.000.000 eurov ali</w:t>
      </w:r>
    </w:p>
    <w:p w14:paraId="0CD6EFD2" w14:textId="77777777" w:rsidR="000317F7" w:rsidRDefault="00F06B25">
      <w:pPr>
        <w:spacing w:before="210" w:after="210"/>
        <w:rPr>
          <w:rFonts w:cs="Arial"/>
          <w:sz w:val="21"/>
        </w:rPr>
      </w:pPr>
      <w:r w:rsidRPr="005960F5">
        <w:rPr>
          <w:rFonts w:cs="Arial"/>
        </w:rPr>
        <w:t>2.      10 % skupnega letnega prometa glede na zadnje razpoložljive letne računovodske izkaze, ki jih je odobril pristojni organ družbe, oziroma skupnega letnega prometa ali ustrezne vrste prihodka, ki izhaja iz zadnje razpoložljive konsolidirane bilance</w:t>
      </w:r>
      <w:r>
        <w:rPr>
          <w:rFonts w:cs="Arial"/>
        </w:rPr>
        <w:t>, ki jo je odobril pristojni organ matične družbe, če pravna oseba pripravi konsolidirane računovodske izkaze na podlagi zakona, ki ureja gospodarske družbe, če ta znesek presega znesek iz prejšnje točke.</w:t>
      </w:r>
    </w:p>
    <w:p w14:paraId="2CBB0FB3" w14:textId="77777777" w:rsidR="000317F7" w:rsidRDefault="00F06B25">
      <w:pPr>
        <w:spacing w:before="210" w:after="210"/>
        <w:rPr>
          <w:rFonts w:cs="Arial"/>
          <w:sz w:val="21"/>
        </w:rPr>
      </w:pPr>
      <w:r>
        <w:rPr>
          <w:rFonts w:cs="Arial"/>
        </w:rPr>
        <w:t>(3) Če je narava storjenega prekrška iz 9. točke prvega odstavka tega člena posebno huda zaradi višine povzročene škode oziroma višine pridobljene protipravne premoženjske koristi ali zaradi storilčevega naklepa oziroma njegovega namena koristoljubnosti, se pravna oseba kaznuje z globo v višini:</w:t>
      </w:r>
    </w:p>
    <w:p w14:paraId="1F5619A6" w14:textId="77777777" w:rsidR="000317F7" w:rsidRDefault="00F06B25">
      <w:pPr>
        <w:spacing w:before="210" w:after="210"/>
        <w:rPr>
          <w:rFonts w:cs="Arial"/>
          <w:sz w:val="21"/>
        </w:rPr>
      </w:pPr>
      <w:r>
        <w:rPr>
          <w:rFonts w:cs="Arial"/>
        </w:rPr>
        <w:t>1.      250.000 eurov ali</w:t>
      </w:r>
    </w:p>
    <w:p w14:paraId="4522C40E" w14:textId="77777777" w:rsidR="000317F7" w:rsidRDefault="00F06B25">
      <w:pPr>
        <w:spacing w:before="210" w:after="210"/>
        <w:rPr>
          <w:rFonts w:cs="Arial"/>
          <w:sz w:val="21"/>
        </w:rPr>
      </w:pPr>
      <w:r>
        <w:rPr>
          <w:rFonts w:cs="Arial"/>
        </w:rPr>
        <w:lastRenderedPageBreak/>
        <w:t>2.      2 % skupnega letnega prometa glede na zadnje razpoložljive letne računovodske izkaze, ki jih je odobril pristojni organ družbe, oziroma skupnega letnega prometa ali ustrezne vrste prihodka, ki izhaja iz zadnje razpoložljive konsolidirane bilance, ki jo je odobril pristojni organ matične družbe, če pravna oseba pripravi konsolidirane računovodske izkaze na podlagi zakona, ki ureja gospodarske družbe, če ta znesek presega znesek iz prejšnje točke.</w:t>
      </w:r>
    </w:p>
    <w:p w14:paraId="61C82340" w14:textId="77777777" w:rsidR="000317F7" w:rsidRDefault="00F06B25">
      <w:pPr>
        <w:spacing w:before="210" w:after="210"/>
        <w:rPr>
          <w:rFonts w:cs="Arial"/>
          <w:sz w:val="21"/>
        </w:rPr>
      </w:pPr>
      <w:r>
        <w:rPr>
          <w:rFonts w:cs="Arial"/>
        </w:rPr>
        <w:t>(4) Z globo od 400 do 150.000 eurov se za prekršek kaznuje samostojni podjetnik posameznik ali posameznik, ki samostojno opravlja dejavnost in stori prekršek iz prvega odstavka tega člena.</w:t>
      </w:r>
    </w:p>
    <w:p w14:paraId="55FD4A1B" w14:textId="77777777" w:rsidR="000317F7" w:rsidRDefault="00F06B25">
      <w:pPr>
        <w:spacing w:before="210" w:after="210"/>
        <w:rPr>
          <w:rFonts w:cs="Arial"/>
          <w:sz w:val="21"/>
        </w:rPr>
      </w:pPr>
      <w:r>
        <w:rPr>
          <w:rFonts w:cs="Arial"/>
        </w:rPr>
        <w:t>(5) Z globo od 1.000 eurov do 5.000 eurov se za prekršek kaznuje odgovorna oseba pravne osebe ali samostojnega podjetnika posameznika ali posameznika, ki samostojno opravlja dejavnost, ki stori prekršek iz prvega odstavka tega člena.</w:t>
      </w:r>
    </w:p>
    <w:p w14:paraId="7110D150" w14:textId="77777777" w:rsidR="000317F7" w:rsidRDefault="00F06B25">
      <w:pPr>
        <w:spacing w:before="210" w:after="210"/>
        <w:rPr>
          <w:rFonts w:cs="Arial"/>
          <w:sz w:val="21"/>
        </w:rPr>
      </w:pPr>
      <w:r>
        <w:rPr>
          <w:rFonts w:cs="Arial"/>
        </w:rPr>
        <w:t>(6) Z globo od 600 eurov do 3.000 eurov se za prekršek kaznuje posameznik, ki stori prekršek iz prvega odstavka tega člena.</w:t>
      </w:r>
    </w:p>
    <w:p w14:paraId="2D3ACC4C" w14:textId="77777777" w:rsidR="000317F7" w:rsidRDefault="00F06B25">
      <w:pPr>
        <w:spacing w:before="210" w:after="210"/>
        <w:rPr>
          <w:rFonts w:cs="Arial"/>
          <w:sz w:val="21"/>
        </w:rPr>
      </w:pPr>
      <w:r>
        <w:rPr>
          <w:rFonts w:cs="Arial"/>
        </w:rPr>
        <w:t>(7) Če je narava storjenega prekrška iz 1. do 8. točke in 10. do 25. točke prvega odstavka tega člena posebno huda zaradi višine povzročene škode oziroma višine pridobljene protipravne premoženjske koristi ali zaradi storilčevega naklepa oziroma njegovega namena koristoljubnosti, se odgovorna oseba pravne osebe, ali samostojnega podjetnika posameznika, ali posameznika, ki samostojno opravlja dejavnost, kaznuje z globo do višine 500.000 eurov.</w:t>
      </w:r>
    </w:p>
    <w:p w14:paraId="43BC382E" w14:textId="77777777" w:rsidR="000317F7" w:rsidRDefault="00F06B25">
      <w:pPr>
        <w:spacing w:before="210" w:after="210"/>
        <w:rPr>
          <w:rFonts w:cs="Arial"/>
          <w:sz w:val="21"/>
        </w:rPr>
      </w:pPr>
      <w:r>
        <w:rPr>
          <w:rFonts w:cs="Arial"/>
        </w:rPr>
        <w:t>(8) Če je narava storjenega prekrška iz 9. točke prvega odstavka tega člena posebno huda zaradi višine povzročene škode oziroma višine pridobljene protipravne premoženjske koristi ali zaradi storilčevega naklepa oziroma njegovega namena koristoljubnosti, se odgovorna oseba pravne osebe ali samostojnega podjetnika posameznika ali posameznika, ki samostojno opravlja dejavnost, kaznuje z globo do 100.000 eurov.</w:t>
      </w:r>
    </w:p>
    <w:p w14:paraId="26C41BDF" w14:textId="77777777" w:rsidR="000317F7" w:rsidRDefault="000317F7"/>
    <w:p w14:paraId="4C6E07B6" w14:textId="77777777" w:rsidR="000317F7" w:rsidRDefault="00F06B25">
      <w:r>
        <w:br w:type="page"/>
      </w:r>
    </w:p>
    <w:p w14:paraId="342AB8D2" w14:textId="77777777" w:rsidR="000317F7" w:rsidRDefault="00F06B25">
      <w:pPr>
        <w:pStyle w:val="Odebeljeno"/>
        <w:spacing w:line="260" w:lineRule="auto"/>
      </w:pPr>
      <w:r>
        <w:lastRenderedPageBreak/>
        <w:t>V.</w:t>
      </w:r>
      <w:r>
        <w:tab/>
        <w:t>PREDLOG ZA OBRAVNAVO PREDLOGA ZAKONA PO NUJNEM ALI SKRAJŠANEM POSTOPKU</w:t>
      </w:r>
    </w:p>
    <w:p w14:paraId="660112C0" w14:textId="77777777" w:rsidR="000317F7" w:rsidRDefault="000317F7">
      <w:pPr>
        <w:spacing w:after="0" w:line="260" w:lineRule="auto"/>
        <w:rPr>
          <w:rFonts w:cs="Arial"/>
        </w:rPr>
      </w:pPr>
    </w:p>
    <w:p w14:paraId="52392E02" w14:textId="77777777" w:rsidR="000317F7" w:rsidRDefault="00F06B25">
      <w:pPr>
        <w:spacing w:after="0" w:line="240" w:lineRule="auto"/>
      </w:pPr>
      <w:r>
        <w:t xml:space="preserve">Vlada Republike Slovenije predlaga Državnemu zboru Republike Slovenije, da predlog Zakona o spremembah in dopolnitvah Zakona o trgu finančnih instrumentov na podlagi tretje alineje prvega odstavka 142. člena Poslovnika državnega zbora (Uradni list RS, št. 92/07 – uradno prečiščeno besedilo, 105/10, 80/13, 38/17, 46/20, 105/21 – </w:t>
      </w:r>
      <w:proofErr w:type="spellStart"/>
      <w:r>
        <w:t>odl</w:t>
      </w:r>
      <w:proofErr w:type="spellEnd"/>
      <w:r>
        <w:t>. US, 111/21, 58/23 in 35/24) obravnava po skrajšanem postopku. Navedena določba dopušča obravnavo predloga zakona po skrajšanem postopku, kadar gre za manj zahtevne uskladitve zakona s pravom Evropske unije.</w:t>
      </w:r>
    </w:p>
    <w:p w14:paraId="76A6EFE5" w14:textId="77777777" w:rsidR="000317F7" w:rsidRDefault="00F06B25">
      <w:pPr>
        <w:spacing w:after="0" w:line="240" w:lineRule="auto"/>
      </w:pPr>
      <w:r>
        <w:t xml:space="preserve"> </w:t>
      </w:r>
    </w:p>
    <w:p w14:paraId="7D4E16FA" w14:textId="77777777" w:rsidR="000317F7" w:rsidRDefault="00F06B25">
      <w:pPr>
        <w:spacing w:after="0" w:line="240" w:lineRule="auto"/>
      </w:pPr>
      <w:r>
        <w:t>Predlog zakona po vsebini pomeni prav takšno uskladitev Zakona o trgu finančnih instrumentov s pravom Evropske unije. V pravni red Republike Slovenije prenaša Direktivo 2024/2811/EU in ustrezne dele Direktive 2024/2810/EU, hkrati pa zagotavlja izvajanje Uredbe 2024/2809/EU in odpravlja pomanjkljivosti pri prenosu Direktive 98/26/ES o dokončnosti poravnave. Iz Direktive 2024/2811/EU predlog zakona prevzema prožnejšo ureditev plačevanja investicijskih raziskav z uvedbo raziskav, ki jih plača izdajatelj, razširitev razvojnega trga MSP na posamezne segmente večstranskih sistemov trgovanja in posodobitev pogojev za uvrstitev delnic v uradno borzno kotacijo ob razveljavitvi Direktive 2001/34/ES, iz Direktive 2024/2810/EU pa razkritje delniških struktur z delnicami z večkratno glasovalno pravico ter prepoved zavrnitve uvrstitve in obveznost jasne označitve takih delnic na večstranskih sistemih trgovanja.</w:t>
      </w:r>
    </w:p>
    <w:p w14:paraId="37D47F83" w14:textId="77777777" w:rsidR="000317F7" w:rsidRDefault="00F06B25">
      <w:pPr>
        <w:spacing w:after="0" w:line="240" w:lineRule="auto"/>
      </w:pPr>
      <w:r>
        <w:t xml:space="preserve"> </w:t>
      </w:r>
    </w:p>
    <w:p w14:paraId="6E2CA6D1" w14:textId="77777777" w:rsidR="000317F7" w:rsidRDefault="00F06B25">
      <w:pPr>
        <w:spacing w:after="0" w:line="240" w:lineRule="auto"/>
      </w:pPr>
      <w:r>
        <w:t>Predlagane spremembe in dopolnitve so pretežno tehnične in usklajevalne narave ter državi članici ne prepuščajo bistvene diskrecije, saj veljavno ureditev zgolj usklajujejo z novimi zahtevami prava Evropske unije. Ker je rok za prenos Direktive 2024/2811/EU potekel 5. junija 2026, je obravnava po skrajšanem postopku primerna in potrebna za pravočasno izpolnitev obveznosti Republike Slovenije iz prava Evropske unije.</w:t>
      </w:r>
    </w:p>
    <w:p w14:paraId="4208A526" w14:textId="77777777" w:rsidR="000317F7" w:rsidRDefault="00F06B25">
      <w:r>
        <w:br w:type="page"/>
      </w:r>
    </w:p>
    <w:p w14:paraId="60B47B25" w14:textId="77777777" w:rsidR="000317F7" w:rsidRDefault="00F06B25">
      <w:pPr>
        <w:pStyle w:val="Odebeljeno"/>
        <w:spacing w:line="260" w:lineRule="auto"/>
      </w:pPr>
      <w:r>
        <w:lastRenderedPageBreak/>
        <w:t>VI.</w:t>
      </w:r>
      <w:r>
        <w:tab/>
        <w:t>PRILOGE</w:t>
      </w:r>
    </w:p>
    <w:p w14:paraId="06E51A34" w14:textId="77777777" w:rsidR="000317F7" w:rsidRDefault="000317F7">
      <w:pPr>
        <w:spacing w:after="0" w:line="260" w:lineRule="auto"/>
        <w:rPr>
          <w:rFonts w:cs="Arial"/>
        </w:rPr>
      </w:pPr>
    </w:p>
    <w:p w14:paraId="1E2AF59D" w14:textId="77777777" w:rsidR="000317F7" w:rsidRDefault="00F06B25">
      <w:pPr>
        <w:spacing w:after="0" w:line="260" w:lineRule="auto"/>
      </w:pPr>
      <w:r>
        <w:t>Priloge niso priložene.</w:t>
      </w:r>
    </w:p>
    <w:sectPr w:rsidR="000317F7">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566B" w14:textId="77777777" w:rsidR="001F5459" w:rsidRDefault="001F5459">
      <w:pPr>
        <w:spacing w:after="0" w:line="240" w:lineRule="auto"/>
      </w:pPr>
      <w:r>
        <w:separator/>
      </w:r>
    </w:p>
  </w:endnote>
  <w:endnote w:type="continuationSeparator" w:id="0">
    <w:p w14:paraId="1E17D3AC" w14:textId="77777777" w:rsidR="001F5459" w:rsidRDefault="001F5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88A2" w14:textId="77777777" w:rsidR="000317F7" w:rsidRDefault="00F06B25">
    <w:r>
      <w:rPr>
        <w:i/>
        <w:sz w:val="16"/>
      </w:rPr>
      <w:t>Ustvarjeno v MOPED-DOCS, 07. 07. 2026 12:43:11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E523" w14:textId="77777777" w:rsidR="001F5459" w:rsidRDefault="001F5459">
      <w:pPr>
        <w:spacing w:after="0" w:line="240" w:lineRule="auto"/>
      </w:pPr>
      <w:r>
        <w:separator/>
      </w:r>
    </w:p>
  </w:footnote>
  <w:footnote w:type="continuationSeparator" w:id="0">
    <w:p w14:paraId="1C7D3473" w14:textId="77777777" w:rsidR="001F5459" w:rsidRDefault="001F54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F7"/>
    <w:rsid w:val="000317F7"/>
    <w:rsid w:val="001F5459"/>
    <w:rsid w:val="0020195F"/>
    <w:rsid w:val="00203A48"/>
    <w:rsid w:val="002F0325"/>
    <w:rsid w:val="004324ED"/>
    <w:rsid w:val="00494628"/>
    <w:rsid w:val="004F2CB7"/>
    <w:rsid w:val="00565B1C"/>
    <w:rsid w:val="005960F5"/>
    <w:rsid w:val="006F0B28"/>
    <w:rsid w:val="007B39EA"/>
    <w:rsid w:val="00A25314"/>
    <w:rsid w:val="00A507DC"/>
    <w:rsid w:val="00B17B71"/>
    <w:rsid w:val="00B83620"/>
    <w:rsid w:val="00B95C51"/>
    <w:rsid w:val="00C10B18"/>
    <w:rsid w:val="00C22630"/>
    <w:rsid w:val="00C85571"/>
    <w:rsid w:val="00CC3B1C"/>
    <w:rsid w:val="00DA4E3F"/>
    <w:rsid w:val="00E11D2B"/>
    <w:rsid w:val="00F06B25"/>
    <w:rsid w:val="00FB1A06"/>
    <w:rsid w:val="00FB4A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9649"/>
  <w15:docId w15:val="{ACA67550-CA0A-4D7D-AE8B-14B5C7E8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C85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F73838-633D-48B0-925F-20A46126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75</Pages>
  <Words>34492</Words>
  <Characters>196609</Characters>
  <Application>Microsoft Office Word</Application>
  <DocSecurity>0</DocSecurity>
  <Lines>1638</Lines>
  <Paragraphs>461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Brčina</dc:creator>
  <cp:lastModifiedBy>Leon Brčina</cp:lastModifiedBy>
  <cp:revision>4</cp:revision>
  <dcterms:created xsi:type="dcterms:W3CDTF">2026-07-08T06:49:00Z</dcterms:created>
  <dcterms:modified xsi:type="dcterms:W3CDTF">2026-07-14T08:29:00Z</dcterms:modified>
</cp:coreProperties>
</file>