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687F" w14:textId="77777777" w:rsidR="00543BCF" w:rsidRDefault="00686829">
      <w:pPr>
        <w:pStyle w:val="Odebeljeno"/>
        <w:spacing w:line="260" w:lineRule="auto"/>
      </w:pPr>
      <w:r>
        <w:t>Podatki o izvedbi notranjih postopkov pred odločitvijo na seji vlade</w:t>
      </w:r>
    </w:p>
    <w:p w14:paraId="211D88A3" w14:textId="77777777" w:rsidR="00543BCF" w:rsidRDefault="00543BCF">
      <w:pPr>
        <w:spacing w:after="0" w:line="260" w:lineRule="auto"/>
        <w:rPr>
          <w:rFonts w:cs="Arial"/>
        </w:rPr>
      </w:pPr>
    </w:p>
    <w:p w14:paraId="050F870C" w14:textId="77777777" w:rsidR="00543BCF" w:rsidRDefault="00543BCF">
      <w:pPr>
        <w:spacing w:after="0" w:line="260" w:lineRule="auto"/>
        <w:rPr>
          <w:rFonts w:cs="Arial"/>
        </w:rPr>
      </w:pPr>
    </w:p>
    <w:tbl>
      <w:tblPr>
        <w:tblW w:w="8505" w:type="dxa"/>
        <w:tblLook w:val="04A0" w:firstRow="1" w:lastRow="0" w:firstColumn="1" w:lastColumn="0" w:noHBand="0" w:noVBand="1"/>
      </w:tblPr>
      <w:tblGrid>
        <w:gridCol w:w="1500"/>
        <w:gridCol w:w="7005"/>
      </w:tblGrid>
      <w:tr w:rsidR="00543BCF" w14:paraId="3F994A99" w14:textId="77777777">
        <w:tc>
          <w:tcPr>
            <w:tcW w:w="1500" w:type="dxa"/>
          </w:tcPr>
          <w:p w14:paraId="3FBC82D1" w14:textId="77777777" w:rsidR="00543BCF" w:rsidRDefault="00686829">
            <w:pPr>
              <w:pStyle w:val="Odebeljeno"/>
              <w:spacing w:line="260" w:lineRule="auto"/>
            </w:pPr>
            <w:r>
              <w:t>ZADEVA:</w:t>
            </w:r>
          </w:p>
        </w:tc>
        <w:tc>
          <w:tcPr>
            <w:tcW w:w="7005" w:type="dxa"/>
          </w:tcPr>
          <w:p w14:paraId="3DF37341" w14:textId="4A980B02" w:rsidR="00543BCF" w:rsidRDefault="00144779">
            <w:pPr>
              <w:pStyle w:val="Odebeljeno"/>
              <w:spacing w:line="260" w:lineRule="auto"/>
            </w:pPr>
            <w:r w:rsidRPr="00144779">
              <w:t xml:space="preserve">Popravek gradiva št. 1 – </w:t>
            </w:r>
            <w:r w:rsidR="00686829">
              <w:t>Zakon o spremembah in dopolnitvah Zakona o trgu finančnih instrumentov</w:t>
            </w:r>
          </w:p>
        </w:tc>
      </w:tr>
      <w:tr w:rsidR="00543BCF" w14:paraId="4593AE22" w14:textId="77777777">
        <w:tc>
          <w:tcPr>
            <w:tcW w:w="1500" w:type="dxa"/>
          </w:tcPr>
          <w:p w14:paraId="76CF9C15" w14:textId="77777777" w:rsidR="00543BCF" w:rsidRDefault="00686829">
            <w:pPr>
              <w:spacing w:after="0" w:line="260" w:lineRule="auto"/>
            </w:pPr>
            <w:r>
              <w:t>EVA:</w:t>
            </w:r>
          </w:p>
        </w:tc>
        <w:tc>
          <w:tcPr>
            <w:tcW w:w="7005" w:type="dxa"/>
          </w:tcPr>
          <w:p w14:paraId="15A3BCEE" w14:textId="77777777" w:rsidR="00543BCF" w:rsidRDefault="00686829">
            <w:pPr>
              <w:spacing w:after="0" w:line="260" w:lineRule="auto"/>
            </w:pPr>
            <w:r>
              <w:t>2026-1611-0040</w:t>
            </w:r>
          </w:p>
        </w:tc>
      </w:tr>
    </w:tbl>
    <w:p w14:paraId="4D8C269E" w14:textId="77777777" w:rsidR="00543BCF" w:rsidRDefault="00543BCF">
      <w:pPr>
        <w:spacing w:after="0" w:line="260" w:lineRule="auto"/>
        <w:rPr>
          <w:rFonts w:cs="Arial"/>
        </w:rPr>
      </w:pPr>
    </w:p>
    <w:p w14:paraId="14B25431" w14:textId="77777777" w:rsidR="00543BCF" w:rsidRDefault="00543BCF">
      <w:pPr>
        <w:spacing w:after="0" w:line="260" w:lineRule="auto"/>
        <w:rPr>
          <w:rFonts w:cs="Arial"/>
        </w:rPr>
      </w:pPr>
    </w:p>
    <w:p w14:paraId="185498A5" w14:textId="77777777" w:rsidR="00543BCF" w:rsidRDefault="00686829">
      <w:pPr>
        <w:pStyle w:val="Odebeljeno"/>
        <w:spacing w:line="260" w:lineRule="auto"/>
      </w:pPr>
      <w:r>
        <w:t>1.</w:t>
      </w:r>
      <w:r>
        <w:tab/>
        <w:t>Predlagatelj zahteva:</w:t>
      </w:r>
    </w:p>
    <w:p w14:paraId="0070B84E" w14:textId="77777777" w:rsidR="00543BCF" w:rsidRDefault="00543BC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543BCF" w14:paraId="41CAF4FF" w14:textId="77777777">
        <w:tc>
          <w:tcPr>
            <w:tcW w:w="1276" w:type="dxa"/>
          </w:tcPr>
          <w:p w14:paraId="7F5B2AF3" w14:textId="77777777" w:rsidR="00543BCF" w:rsidRDefault="00686829">
            <w:pPr>
              <w:spacing w:after="0" w:line="260" w:lineRule="exact"/>
              <w:ind w:left="360"/>
            </w:pPr>
            <w:r>
              <w:rPr>
                <w:iCs/>
              </w:rPr>
              <w:t>a)</w:t>
            </w:r>
          </w:p>
        </w:tc>
        <w:tc>
          <w:tcPr>
            <w:tcW w:w="4961" w:type="dxa"/>
          </w:tcPr>
          <w:p w14:paraId="678BA955" w14:textId="77777777" w:rsidR="00543BCF" w:rsidRDefault="00686829">
            <w:pPr>
              <w:spacing w:after="0" w:line="260" w:lineRule="exact"/>
            </w:pPr>
            <w:r>
              <w:t>obravnavo neusklajenega gradiva,</w:t>
            </w:r>
          </w:p>
        </w:tc>
        <w:tc>
          <w:tcPr>
            <w:tcW w:w="2268" w:type="dxa"/>
            <w:vAlign w:val="center"/>
          </w:tcPr>
          <w:p w14:paraId="73EC0D66" w14:textId="77777777" w:rsidR="00543BCF" w:rsidRDefault="00686829">
            <w:pPr>
              <w:spacing w:after="0" w:line="260" w:lineRule="exact"/>
              <w:jc w:val="center"/>
              <w:rPr>
                <w:iCs/>
              </w:rPr>
            </w:pPr>
            <w:r>
              <w:t>NE</w:t>
            </w:r>
          </w:p>
        </w:tc>
      </w:tr>
      <w:tr w:rsidR="00543BCF" w14:paraId="0F9D6CAD" w14:textId="77777777">
        <w:tc>
          <w:tcPr>
            <w:tcW w:w="1276" w:type="dxa"/>
          </w:tcPr>
          <w:p w14:paraId="2225A6B1" w14:textId="77777777" w:rsidR="00543BCF" w:rsidRDefault="00686829">
            <w:pPr>
              <w:spacing w:after="0" w:line="260" w:lineRule="exact"/>
              <w:ind w:left="360"/>
              <w:rPr>
                <w:iCs/>
              </w:rPr>
            </w:pPr>
            <w:r>
              <w:rPr>
                <w:iCs/>
              </w:rPr>
              <w:t>b)</w:t>
            </w:r>
          </w:p>
        </w:tc>
        <w:tc>
          <w:tcPr>
            <w:tcW w:w="4961" w:type="dxa"/>
          </w:tcPr>
          <w:p w14:paraId="197895CA" w14:textId="77777777" w:rsidR="00543BCF" w:rsidRDefault="00686829">
            <w:pPr>
              <w:spacing w:after="0" w:line="260" w:lineRule="exact"/>
              <w:rPr>
                <w:iCs/>
              </w:rPr>
            </w:pPr>
            <w:r>
              <w:rPr>
                <w:bCs/>
              </w:rPr>
              <w:t>nujnost obravnave,</w:t>
            </w:r>
          </w:p>
        </w:tc>
        <w:tc>
          <w:tcPr>
            <w:tcW w:w="2268" w:type="dxa"/>
            <w:vAlign w:val="center"/>
          </w:tcPr>
          <w:p w14:paraId="421736C8" w14:textId="77777777" w:rsidR="00543BCF" w:rsidRDefault="00686829">
            <w:pPr>
              <w:spacing w:after="0" w:line="260" w:lineRule="exact"/>
              <w:jc w:val="center"/>
              <w:rPr>
                <w:iCs/>
              </w:rPr>
            </w:pPr>
            <w:r>
              <w:t>DA</w:t>
            </w:r>
          </w:p>
        </w:tc>
      </w:tr>
      <w:tr w:rsidR="00543BCF" w14:paraId="1D755791" w14:textId="77777777">
        <w:tc>
          <w:tcPr>
            <w:tcW w:w="1276" w:type="dxa"/>
          </w:tcPr>
          <w:p w14:paraId="255EF068" w14:textId="77777777" w:rsidR="00543BCF" w:rsidRDefault="00686829">
            <w:pPr>
              <w:spacing w:after="0" w:line="260" w:lineRule="exact"/>
              <w:ind w:left="360"/>
              <w:rPr>
                <w:iCs/>
              </w:rPr>
            </w:pPr>
            <w:r>
              <w:rPr>
                <w:iCs/>
              </w:rPr>
              <w:t>c)</w:t>
            </w:r>
          </w:p>
        </w:tc>
        <w:tc>
          <w:tcPr>
            <w:tcW w:w="4961" w:type="dxa"/>
          </w:tcPr>
          <w:p w14:paraId="46398B2A" w14:textId="77777777" w:rsidR="00543BCF" w:rsidRDefault="00686829">
            <w:pPr>
              <w:spacing w:after="0" w:line="260" w:lineRule="exact"/>
              <w:rPr>
                <w:iCs/>
              </w:rPr>
            </w:pPr>
            <w:r>
              <w:t>obravnavo gradiva brez sodelovanja javnosti,</w:t>
            </w:r>
          </w:p>
        </w:tc>
        <w:tc>
          <w:tcPr>
            <w:tcW w:w="2268" w:type="dxa"/>
            <w:vAlign w:val="center"/>
          </w:tcPr>
          <w:p w14:paraId="289CABBE" w14:textId="77777777" w:rsidR="00543BCF" w:rsidRDefault="00686829">
            <w:pPr>
              <w:spacing w:after="0" w:line="260" w:lineRule="exact"/>
              <w:jc w:val="center"/>
            </w:pPr>
            <w:r>
              <w:t>NE</w:t>
            </w:r>
          </w:p>
        </w:tc>
      </w:tr>
      <w:tr w:rsidR="00543BCF" w14:paraId="399EE49B" w14:textId="77777777">
        <w:tc>
          <w:tcPr>
            <w:tcW w:w="1276" w:type="dxa"/>
          </w:tcPr>
          <w:p w14:paraId="39AD0A5A" w14:textId="77777777" w:rsidR="00543BCF" w:rsidRDefault="00686829">
            <w:pPr>
              <w:spacing w:after="0" w:line="260" w:lineRule="exact"/>
              <w:ind w:left="360"/>
              <w:rPr>
                <w:iCs/>
              </w:rPr>
            </w:pPr>
            <w:r>
              <w:rPr>
                <w:iCs/>
              </w:rPr>
              <w:t>č)</w:t>
            </w:r>
          </w:p>
        </w:tc>
        <w:tc>
          <w:tcPr>
            <w:tcW w:w="4961" w:type="dxa"/>
          </w:tcPr>
          <w:p w14:paraId="3E72ECC5" w14:textId="77777777" w:rsidR="00543BCF" w:rsidRDefault="00686829">
            <w:pPr>
              <w:spacing w:after="0" w:line="260" w:lineRule="exact"/>
              <w:rPr>
                <w:bCs/>
              </w:rPr>
            </w:pPr>
            <w:r>
              <w:rPr>
                <w:bCs/>
              </w:rPr>
              <w:t>skrajšanje poslovniških rokov.</w:t>
            </w:r>
          </w:p>
        </w:tc>
        <w:tc>
          <w:tcPr>
            <w:tcW w:w="2268" w:type="dxa"/>
            <w:vAlign w:val="center"/>
          </w:tcPr>
          <w:p w14:paraId="59F225BF" w14:textId="0717EE3D" w:rsidR="00543BCF" w:rsidRDefault="005964F0">
            <w:pPr>
              <w:spacing w:after="0" w:line="260" w:lineRule="exact"/>
              <w:jc w:val="center"/>
              <w:rPr>
                <w:iCs/>
              </w:rPr>
            </w:pPr>
            <w:r>
              <w:t>NE</w:t>
            </w:r>
          </w:p>
        </w:tc>
      </w:tr>
    </w:tbl>
    <w:p w14:paraId="1FB4EE72" w14:textId="77777777" w:rsidR="00543BCF" w:rsidRDefault="00543BCF">
      <w:pPr>
        <w:spacing w:after="0" w:line="260" w:lineRule="auto"/>
        <w:rPr>
          <w:rFonts w:cs="Arial"/>
        </w:rPr>
      </w:pPr>
    </w:p>
    <w:p w14:paraId="31FE062A" w14:textId="77777777" w:rsidR="00543BCF" w:rsidRDefault="00543BCF">
      <w:pPr>
        <w:spacing w:after="0" w:line="260" w:lineRule="auto"/>
        <w:rPr>
          <w:rFonts w:cs="Arial"/>
        </w:rPr>
      </w:pPr>
    </w:p>
    <w:p w14:paraId="793F3AE4" w14:textId="77777777" w:rsidR="00543BCF" w:rsidRDefault="00686829">
      <w:pPr>
        <w:pStyle w:val="Odebeljeno"/>
        <w:spacing w:line="260" w:lineRule="auto"/>
      </w:pPr>
      <w:r>
        <w:t>2.</w:t>
      </w:r>
      <w:r>
        <w:tab/>
        <w:t>Objava na svetovnem spletu</w:t>
      </w:r>
    </w:p>
    <w:p w14:paraId="09C34188" w14:textId="77777777" w:rsidR="00543BCF" w:rsidRDefault="00543BCF">
      <w:pPr>
        <w:spacing w:after="0" w:line="260" w:lineRule="auto"/>
        <w:rPr>
          <w:rFonts w:cs="Arial"/>
        </w:rPr>
      </w:pPr>
    </w:p>
    <w:p w14:paraId="22B5A5E5" w14:textId="77777777" w:rsidR="00543BCF" w:rsidRDefault="00686829">
      <w:pPr>
        <w:spacing w:after="0" w:line="260" w:lineRule="auto"/>
      </w:pPr>
      <w:r>
        <w:t>Gradivo se sme objaviti na svetovnem spletu.</w:t>
      </w:r>
    </w:p>
    <w:p w14:paraId="2DAA1178" w14:textId="77777777" w:rsidR="00543BCF" w:rsidRDefault="00543BCF">
      <w:pPr>
        <w:spacing w:after="0" w:line="260" w:lineRule="auto"/>
        <w:rPr>
          <w:rFonts w:cs="Arial"/>
        </w:rPr>
      </w:pPr>
    </w:p>
    <w:p w14:paraId="706CE2CF" w14:textId="77777777" w:rsidR="00543BCF" w:rsidRDefault="00686829">
      <w:pPr>
        <w:pStyle w:val="Odebeljeno"/>
        <w:spacing w:line="260" w:lineRule="auto"/>
      </w:pPr>
      <w:r>
        <w:t>3.</w:t>
      </w:r>
      <w:r>
        <w:tab/>
        <w:t>Lektura gradiva</w:t>
      </w:r>
    </w:p>
    <w:p w14:paraId="1C462493" w14:textId="77777777" w:rsidR="00543BCF" w:rsidRDefault="00543BCF">
      <w:pPr>
        <w:spacing w:after="0" w:line="260" w:lineRule="auto"/>
        <w:rPr>
          <w:rFonts w:cs="Arial"/>
        </w:rPr>
      </w:pPr>
    </w:p>
    <w:p w14:paraId="49F5DB2B" w14:textId="77777777" w:rsidR="00543BCF" w:rsidRDefault="00686829">
      <w:pPr>
        <w:spacing w:after="0" w:line="260" w:lineRule="auto"/>
      </w:pPr>
      <w:r>
        <w:t>Gradivo je lektorirano.</w:t>
      </w:r>
    </w:p>
    <w:p w14:paraId="77E5CA33" w14:textId="77777777" w:rsidR="00543BCF" w:rsidRDefault="00543BCF">
      <w:pPr>
        <w:spacing w:after="0" w:line="260" w:lineRule="auto"/>
        <w:rPr>
          <w:rFonts w:cs="Arial"/>
        </w:rPr>
      </w:pPr>
    </w:p>
    <w:p w14:paraId="458AEE9A" w14:textId="77777777" w:rsidR="00543BCF" w:rsidRDefault="00686829">
      <w:pPr>
        <w:pStyle w:val="Odebeljeno"/>
        <w:spacing w:line="260" w:lineRule="auto"/>
      </w:pPr>
      <w:r>
        <w:t>4.</w:t>
      </w:r>
      <w:r>
        <w:tab/>
        <w:t>Predstavitev medresorskega usklajevanja</w:t>
      </w:r>
    </w:p>
    <w:p w14:paraId="7DF06F52" w14:textId="77777777" w:rsidR="00543BCF" w:rsidRDefault="00543BCF">
      <w:pPr>
        <w:spacing w:after="0" w:line="260" w:lineRule="auto"/>
        <w:rPr>
          <w:rFonts w:cs="Arial"/>
        </w:rPr>
      </w:pPr>
    </w:p>
    <w:p w14:paraId="0BEB93C7" w14:textId="77777777" w:rsidR="00543BCF" w:rsidRDefault="00686829">
      <w:pPr>
        <w:spacing w:after="0" w:line="260" w:lineRule="auto"/>
      </w:pPr>
      <w:r>
        <w:t>Gradivo je bilo poslano v medresorsko usklajevanje.</w:t>
      </w:r>
    </w:p>
    <w:p w14:paraId="6790FDDA" w14:textId="77777777" w:rsidR="00543BCF" w:rsidRDefault="00543BCF">
      <w:pPr>
        <w:spacing w:after="0" w:line="260" w:lineRule="auto"/>
        <w:rPr>
          <w:rFonts w:cs="Arial"/>
        </w:rPr>
      </w:pPr>
    </w:p>
    <w:p w14:paraId="406775C1" w14:textId="77777777" w:rsidR="00543BCF" w:rsidRDefault="00686829">
      <w:pPr>
        <w:spacing w:after="0" w:line="260" w:lineRule="auto"/>
      </w:pPr>
      <w:r>
        <w:t>Datum pošiljanja v medresorsko usklajevanje:</w:t>
      </w:r>
    </w:p>
    <w:p w14:paraId="5C1D339F" w14:textId="77777777" w:rsidR="00543BCF" w:rsidRDefault="00686829">
      <w:pPr>
        <w:spacing w:after="0" w:line="260" w:lineRule="auto"/>
      </w:pPr>
      <w:r>
        <w:t>11. 6. 2026</w:t>
      </w:r>
    </w:p>
    <w:p w14:paraId="675231AD" w14:textId="77777777" w:rsidR="00543BCF" w:rsidRDefault="00543BCF">
      <w:pPr>
        <w:spacing w:after="0" w:line="260" w:lineRule="auto"/>
        <w:rPr>
          <w:rFonts w:cs="Arial"/>
        </w:rPr>
      </w:pPr>
    </w:p>
    <w:p w14:paraId="5748AEA9" w14:textId="77777777" w:rsidR="00543BCF" w:rsidRDefault="00686829">
      <w:pPr>
        <w:spacing w:after="0" w:line="260" w:lineRule="auto"/>
      </w:pPr>
      <w:r>
        <w:t>V medresorsko usklajevanje vključeni subjekti:</w:t>
      </w:r>
    </w:p>
    <w:p w14:paraId="1A616A0E" w14:textId="77777777" w:rsidR="00543BCF" w:rsidRDefault="00686829">
      <w:pPr>
        <w:spacing w:after="0" w:line="260" w:lineRule="auto"/>
      </w:pPr>
      <w:r>
        <w:t>- Ministrstvo za delo, družino, socialne zadeve in enake možnosti</w:t>
      </w:r>
    </w:p>
    <w:p w14:paraId="262E5AB4" w14:textId="77777777" w:rsidR="00543BCF" w:rsidRDefault="00686829">
      <w:pPr>
        <w:spacing w:after="0" w:line="260" w:lineRule="auto"/>
      </w:pPr>
      <w:r>
        <w:t>- Ministrstvo za digitalno preobrazbo</w:t>
      </w:r>
    </w:p>
    <w:p w14:paraId="5B5A6708" w14:textId="77777777" w:rsidR="00543BCF" w:rsidRDefault="00686829">
      <w:pPr>
        <w:spacing w:after="0" w:line="260" w:lineRule="auto"/>
      </w:pPr>
      <w:r>
        <w:t>- Ministrstvo za gospodarstvo, delo in šport</w:t>
      </w:r>
    </w:p>
    <w:p w14:paraId="362F8E3A" w14:textId="77777777" w:rsidR="00543BCF" w:rsidRDefault="00686829">
      <w:pPr>
        <w:spacing w:after="0" w:line="260" w:lineRule="auto"/>
      </w:pPr>
      <w:r>
        <w:t>- Ministrstvo za gospodarstvo, turizem in šport</w:t>
      </w:r>
    </w:p>
    <w:p w14:paraId="59700542" w14:textId="77777777" w:rsidR="00543BCF" w:rsidRDefault="00686829">
      <w:pPr>
        <w:spacing w:after="0" w:line="260" w:lineRule="auto"/>
      </w:pPr>
      <w:r>
        <w:t>- Ministrstvo za infrastrukturo</w:t>
      </w:r>
    </w:p>
    <w:p w14:paraId="3986AC0A" w14:textId="77777777" w:rsidR="00543BCF" w:rsidRDefault="00686829">
      <w:pPr>
        <w:spacing w:after="0" w:line="260" w:lineRule="auto"/>
      </w:pPr>
      <w:r>
        <w:t>- Ministrstvo za javno upravo</w:t>
      </w:r>
    </w:p>
    <w:p w14:paraId="7E82C728" w14:textId="77777777" w:rsidR="00543BCF" w:rsidRDefault="00686829">
      <w:pPr>
        <w:spacing w:after="0" w:line="260" w:lineRule="auto"/>
      </w:pPr>
      <w:r>
        <w:t>- Ministrstvo za kmetijstvo, gozdarstvo in prehrano</w:t>
      </w:r>
    </w:p>
    <w:p w14:paraId="7A1F4D54" w14:textId="77777777" w:rsidR="00543BCF" w:rsidRDefault="00686829">
      <w:pPr>
        <w:spacing w:after="0" w:line="260" w:lineRule="auto"/>
      </w:pPr>
      <w:r>
        <w:t>- Ministrstvo za kohezijo in regionalni razvoj</w:t>
      </w:r>
    </w:p>
    <w:p w14:paraId="1DE67CD7" w14:textId="77777777" w:rsidR="00543BCF" w:rsidRDefault="00686829">
      <w:pPr>
        <w:spacing w:after="0" w:line="260" w:lineRule="auto"/>
      </w:pPr>
      <w:r>
        <w:t>- Ministrstvo za kulturo</w:t>
      </w:r>
    </w:p>
    <w:p w14:paraId="2E4FF82F" w14:textId="77777777" w:rsidR="00543BCF" w:rsidRDefault="00686829">
      <w:pPr>
        <w:spacing w:after="0" w:line="260" w:lineRule="auto"/>
      </w:pPr>
      <w:r>
        <w:t>- Ministrstvo za naravne vire in prostor</w:t>
      </w:r>
    </w:p>
    <w:p w14:paraId="4CF0DFC4" w14:textId="77777777" w:rsidR="00543BCF" w:rsidRDefault="00686829">
      <w:pPr>
        <w:spacing w:after="0" w:line="260" w:lineRule="auto"/>
      </w:pPr>
      <w:r>
        <w:t>- Ministrstvo za notranje zadeve</w:t>
      </w:r>
    </w:p>
    <w:p w14:paraId="4FC540FD" w14:textId="77777777" w:rsidR="00543BCF" w:rsidRDefault="00686829">
      <w:pPr>
        <w:spacing w:after="0" w:line="260" w:lineRule="auto"/>
      </w:pPr>
      <w:r>
        <w:t>- Ministrstvo za obrambo</w:t>
      </w:r>
    </w:p>
    <w:p w14:paraId="5D5AFB22" w14:textId="77777777" w:rsidR="00543BCF" w:rsidRDefault="00686829">
      <w:pPr>
        <w:spacing w:after="0" w:line="260" w:lineRule="auto"/>
      </w:pPr>
      <w:r>
        <w:t>- Ministrstvo za okolje, podnebje in energijo</w:t>
      </w:r>
    </w:p>
    <w:p w14:paraId="06611D4C" w14:textId="77777777" w:rsidR="00543BCF" w:rsidRDefault="00686829">
      <w:pPr>
        <w:spacing w:after="0" w:line="260" w:lineRule="auto"/>
      </w:pPr>
      <w:r>
        <w:t>- Ministrstvo za pravosodje</w:t>
      </w:r>
    </w:p>
    <w:p w14:paraId="56ADAD32" w14:textId="77777777" w:rsidR="00543BCF" w:rsidRDefault="00686829">
      <w:pPr>
        <w:spacing w:after="0" w:line="260" w:lineRule="auto"/>
      </w:pPr>
      <w:r>
        <w:t>- Ministrstvo za visoko šolstvo, znanost in inovacije</w:t>
      </w:r>
    </w:p>
    <w:p w14:paraId="5FDA4708" w14:textId="77777777" w:rsidR="00543BCF" w:rsidRDefault="00686829">
      <w:pPr>
        <w:spacing w:after="0" w:line="260" w:lineRule="auto"/>
      </w:pPr>
      <w:r>
        <w:t>- Ministrstvo za vzgojo in izobraževanje</w:t>
      </w:r>
    </w:p>
    <w:p w14:paraId="53E3DF03" w14:textId="77777777" w:rsidR="00543BCF" w:rsidRDefault="00686829">
      <w:pPr>
        <w:spacing w:after="0" w:line="260" w:lineRule="auto"/>
      </w:pPr>
      <w:r>
        <w:t>- Ministrstvo za zdravje</w:t>
      </w:r>
    </w:p>
    <w:p w14:paraId="67EF5F83" w14:textId="77777777" w:rsidR="00543BCF" w:rsidRDefault="00686829">
      <w:pPr>
        <w:spacing w:after="0" w:line="260" w:lineRule="auto"/>
      </w:pPr>
      <w:r>
        <w:t>- Ministrstvo za zunanje in evropske zadeve</w:t>
      </w:r>
    </w:p>
    <w:p w14:paraId="6530143B" w14:textId="77777777" w:rsidR="00543BCF" w:rsidRDefault="00686829">
      <w:pPr>
        <w:spacing w:after="0" w:line="260" w:lineRule="auto"/>
      </w:pPr>
      <w:r>
        <w:t>- Agencija za trg vrednostnih papirjev</w:t>
      </w:r>
    </w:p>
    <w:p w14:paraId="00850E01" w14:textId="77777777" w:rsidR="00543BCF" w:rsidRDefault="00686829">
      <w:pPr>
        <w:spacing w:after="0" w:line="260" w:lineRule="auto"/>
      </w:pPr>
      <w:r>
        <w:lastRenderedPageBreak/>
        <w:t>- Informacijski pooblaščenec</w:t>
      </w:r>
    </w:p>
    <w:p w14:paraId="0B76E56D" w14:textId="77777777" w:rsidR="00543BCF" w:rsidRDefault="00686829">
      <w:pPr>
        <w:spacing w:after="0" w:line="260" w:lineRule="auto"/>
      </w:pPr>
      <w:r>
        <w:t>- Komisija za preprečevanje korupcije</w:t>
      </w:r>
    </w:p>
    <w:p w14:paraId="6B4C4EC1" w14:textId="77777777" w:rsidR="00543BCF" w:rsidRDefault="00543BCF">
      <w:pPr>
        <w:spacing w:after="0" w:line="260" w:lineRule="auto"/>
        <w:rPr>
          <w:rFonts w:cs="Arial"/>
        </w:rPr>
      </w:pPr>
    </w:p>
    <w:p w14:paraId="69762461" w14:textId="77777777" w:rsidR="00543BCF" w:rsidRDefault="00686829">
      <w:pPr>
        <w:spacing w:after="0" w:line="260" w:lineRule="auto"/>
      </w:pPr>
      <w:r>
        <w:t>Obrazložitev upoštevanja mnenj, predlogov in pripomb:</w:t>
      </w:r>
    </w:p>
    <w:p w14:paraId="745E92CC" w14:textId="77777777" w:rsidR="00543BCF" w:rsidRDefault="00686829">
      <w:pPr>
        <w:spacing w:after="0" w:line="260" w:lineRule="auto"/>
      </w:pPr>
      <w:r>
        <w:t>- delno upoštevani</w:t>
      </w:r>
    </w:p>
    <w:p w14:paraId="6B329C16" w14:textId="77777777" w:rsidR="00543BCF" w:rsidRDefault="00543BCF">
      <w:pPr>
        <w:spacing w:after="0" w:line="260" w:lineRule="auto"/>
        <w:rPr>
          <w:rFonts w:cs="Arial"/>
        </w:rPr>
      </w:pPr>
    </w:p>
    <w:p w14:paraId="0F9ADB20" w14:textId="77777777" w:rsidR="00543BCF" w:rsidRDefault="00686829">
      <w:pPr>
        <w:spacing w:after="0" w:line="240" w:lineRule="auto"/>
      </w:pPr>
      <w:r>
        <w:t>V medresorskem usklajevanju so bila prejeta mnenja Ministrstva za pravosodje, Ministrstva za notranje zadeve in javno upravo, Agencije za trg vrednostnih papirjev, Službe Vlade Republike Slovenije za zakonodajo in Informacijskega pooblaščenca. Vsa prejeta mnenja so bila skrbno preučena in upoštevana v največji možni meri.</w:t>
      </w:r>
    </w:p>
    <w:p w14:paraId="42D51A17" w14:textId="77777777" w:rsidR="00543BCF" w:rsidRDefault="00686829">
      <w:pPr>
        <w:spacing w:after="0" w:line="240" w:lineRule="auto"/>
      </w:pPr>
      <w:r>
        <w:t xml:space="preserve"> </w:t>
      </w:r>
    </w:p>
    <w:p w14:paraId="0456B86E" w14:textId="77777777" w:rsidR="00543BCF" w:rsidRDefault="00686829">
      <w:pPr>
        <w:spacing w:after="0" w:line="240" w:lineRule="auto"/>
      </w:pPr>
      <w:r>
        <w:t>Prejeta mnenja:</w:t>
      </w:r>
    </w:p>
    <w:p w14:paraId="0DEDFFCC" w14:textId="77777777" w:rsidR="00543BCF" w:rsidRDefault="00686829">
      <w:pPr>
        <w:spacing w:after="0" w:line="240" w:lineRule="auto"/>
      </w:pPr>
      <w:r>
        <w:t xml:space="preserve"> </w:t>
      </w:r>
    </w:p>
    <w:p w14:paraId="7E7AF28C" w14:textId="73E046DE" w:rsidR="00543BCF" w:rsidRDefault="00686829">
      <w:pPr>
        <w:spacing w:after="0" w:line="240" w:lineRule="auto"/>
      </w:pPr>
      <w:r>
        <w:t>Služba Vlade Republike Slovenije za zakonodajo je podala pripombe k 1., 4., 5. in 9. členu ter k prehodnim in končnim določbam predloga zakona. Pripombe k 1. členu predloga zakona glede posodobitve navedbe zadnje spremembe Uredbe (EU) 2017/1129 ni bilo mogoče up</w:t>
      </w:r>
      <w:r w:rsidR="002F45AF">
        <w:t>o</w:t>
      </w:r>
      <w:r>
        <w:t>števati, saj se spremembe, uvedene z Direktivo (EU) 2025/1, vsebinsko nanašajo na sanacijo in reševanje (po)zavarovalnic in z materijo predloga zakona niso neposredno povezane, zato bodo obravnavane ob ločenem prenosu navedene direktive. V zvezi s pripombo, da bi bilo treba predlogu zakona priložiti osnutek podzakonskega predpisa iz 261. člena ZTFI-1, pojasnjujemo, da ker gre za predpis, ki ga v okviru svojih pristojnosti izda ATVP. Po vsebini gre se obstoječe pooblastilo zgolj razširja na raziskave iz novega 251.b člena, zato bo ATVP dopolnil obstoječi podzakonski akt (v Sklep o pogojih za opravljanje investicijskih in drugih storitev za borznoposredniške družbe) z dodatnimi vsebinami.</w:t>
      </w:r>
    </w:p>
    <w:p w14:paraId="4DB7E2F7" w14:textId="77777777" w:rsidR="00543BCF" w:rsidRDefault="00686829">
      <w:pPr>
        <w:spacing w:after="0" w:line="240" w:lineRule="auto"/>
      </w:pPr>
      <w:r>
        <w:t xml:space="preserve"> </w:t>
      </w:r>
    </w:p>
    <w:p w14:paraId="228AEC2F" w14:textId="77777777" w:rsidR="00543BCF" w:rsidRDefault="00686829">
      <w:pPr>
        <w:spacing w:after="0" w:line="240" w:lineRule="auto"/>
      </w:pPr>
      <w:r>
        <w:t>Ministrstvo za pravosodje je podalo pripombe k 18., 20. in 22. členu predloga zakona. Upoštevani so bili predlogi glede preoblikovanja besedila 8. točke tretjega odstavka 426. člena ZTFI-1, zamenjave vrstnega reda 12. in 13. točke 531. člena ZTFI-1 ter natančnejšega sklicevanja na določbe 24.a člena Uredbe (EU) 2016/1011. Ni pa bil upoštevan prvotni predlog za črtanje 18. člena predloga zakona, saj navedena določba zagotavlja pravilen prenos spremenjenega 31. člena Uredbe (EU) št. 596/2014 in predstavlja obvezni element harmonizirane ureditve meril za odmero sankcij. Po dodatnih pojasnilih je Ministrstvo za pravosodje od predloga za črtanje odstopilo, njegov predlog preoblikovanega besedila pa je bil upoštevan.</w:t>
      </w:r>
    </w:p>
    <w:p w14:paraId="4693815E" w14:textId="77777777" w:rsidR="00543BCF" w:rsidRDefault="00686829">
      <w:pPr>
        <w:spacing w:after="0" w:line="240" w:lineRule="auto"/>
      </w:pPr>
      <w:r>
        <w:t xml:space="preserve"> </w:t>
      </w:r>
    </w:p>
    <w:p w14:paraId="23D6D921" w14:textId="77777777" w:rsidR="00543BCF" w:rsidRDefault="00686829">
      <w:pPr>
        <w:spacing w:after="0" w:line="240" w:lineRule="auto"/>
      </w:pPr>
      <w:r>
        <w:t>Ministrstvo za notranje zadeve in javno upravo je podalo splošne pripombe glede roka javne obravnave, sodelovanja javnosti ter več redakcijskih pripomb. Pripombe glede dopolnitve prikaza sodelovanja javnosti in redakcijskih popravkov so bile upoštevane. Glede očitka o nepreverljivosti javne obravnave pojasnjujemo, da je bil predlog zakona objavljen na portalu e-Demokracija, zato je bila objava preverljiva. Ministrstvo je z dopisom z dne 29. junija 2026 potrdilo, da so bile njegove pripombe upoštevane oziroma ustrezno pojasnjene, ter soglašalo z nadaljevanjem zakonodajnega postopka.</w:t>
      </w:r>
    </w:p>
    <w:p w14:paraId="045482A3" w14:textId="77777777" w:rsidR="00543BCF" w:rsidRDefault="00686829">
      <w:pPr>
        <w:spacing w:after="0" w:line="240" w:lineRule="auto"/>
      </w:pPr>
      <w:r>
        <w:t xml:space="preserve"> </w:t>
      </w:r>
    </w:p>
    <w:p w14:paraId="39244ACE" w14:textId="77777777" w:rsidR="00543BCF" w:rsidRDefault="00686829">
      <w:pPr>
        <w:spacing w:after="0" w:line="240" w:lineRule="auto"/>
      </w:pPr>
      <w:r>
        <w:t>ATVP je podala pripombe k 76.a in 531. ZTFI-1 ter predlagala vključitev dodatnih sprememb ZTFI-1, ki so bile predmet predhodnega usklajevanja z njimi. Pripombi glede poenotenja terminologije v 76.a členu in ustrezne razvrstitve novih točk v 531. členu sta bili upoštevani. Ni pa bil upoštevan predlog, da se v predlog zakona vključijo tudi druge vsebinske spremembe ZTFI-1, saj te ne predstavljajo prenosa prava Evropske unije, temveč samostojne sistemske spremembe zakona. Njihova vključitev bi presegla okvir uskladitvenega predloga zakona in bi lahko vplivala na izpolnjevanje pogojev za obravnavo po skrajšanem postopku v skladu s 142. členom Poslovnika Državnega zbora. Ker je namen tega predloga zakona zagotoviti pravočasen prenos obveznosti iz prava Evropske unije in se izogniti tveganju za zamudo pri prenosu, dodatne vsebinske spremembe niso bile vključene. To pomeni, da predlogi ATVP niso zavrnjeni po vsebini, temveč bodo lahko predmet obravnave v okviru ločenega zakonodajnega postopka.</w:t>
      </w:r>
    </w:p>
    <w:p w14:paraId="4056A564" w14:textId="77777777" w:rsidR="00543BCF" w:rsidRDefault="00686829">
      <w:pPr>
        <w:spacing w:after="0" w:line="240" w:lineRule="auto"/>
      </w:pPr>
      <w:r>
        <w:t xml:space="preserve"> </w:t>
      </w:r>
    </w:p>
    <w:p w14:paraId="5713BE06" w14:textId="77777777" w:rsidR="00543BCF" w:rsidRDefault="00686829">
      <w:pPr>
        <w:spacing w:after="0" w:line="240" w:lineRule="auto"/>
      </w:pPr>
      <w:r>
        <w:t xml:space="preserve">Ker med predlaganimi določbami obdelavo osebnih podatkov ureja izključno novi 76.a člen, je bilo v skladu s tretjim odstavkom 24. člena Zakona o varstvu osebnih podatkov (Uradni list RS, št. 163/22, 40/25 – ZInfV-1 in 10/26 – ZP-1L; v nadaljnjem besedilu: ZVOP 2) v zvezi s 36. členom Uredbe (EU) 2016/679 (v nadaljnjem besedilu: Splošna uredba) opravljeno predhodno posvetovanje z Informacijskim pooblaščencem, ki je podal mnenje št. 007 28/2026/2 z dne 1. julija 2026. Informacijski pooblaščenec je </w:t>
      </w:r>
      <w:r>
        <w:lastRenderedPageBreak/>
        <w:t>ugotovil, da se spremembe, ki jih ureja predlog zakona, razen novega 76.a člena, ne nanašajo na varstvo osebnih podatkov, ter opozoril, da mora biti v skladu z 38. členom Ustave Republike Slovenije in drugim odstavkom 6. člena ZVOP 2 vsaka obdelava osebnih podatkov opredeljena z zakonom in ne s podzakonskim aktom. Predlagana ureditev tem zahtevam ustreza, saj so vse obvezne sestavine obdelave določene že v 76.a členu. Zaradi večje jasnosti je dopolnjena obrazložitev k 5. členu predloga zakona.</w:t>
      </w:r>
    </w:p>
    <w:p w14:paraId="2B6DDE13" w14:textId="77777777" w:rsidR="00543BCF" w:rsidRDefault="00543BCF">
      <w:pPr>
        <w:spacing w:after="0" w:line="260" w:lineRule="auto"/>
        <w:rPr>
          <w:rFonts w:cs="Arial"/>
        </w:rPr>
      </w:pPr>
    </w:p>
    <w:sectPr w:rsidR="00543BCF">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9C23" w14:textId="77777777" w:rsidR="009E2A64" w:rsidRDefault="009E2A64">
      <w:pPr>
        <w:spacing w:after="0" w:line="240" w:lineRule="auto"/>
      </w:pPr>
      <w:r>
        <w:separator/>
      </w:r>
    </w:p>
  </w:endnote>
  <w:endnote w:type="continuationSeparator" w:id="0">
    <w:p w14:paraId="64C791B6" w14:textId="77777777" w:rsidR="009E2A64" w:rsidRDefault="009E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DCDC" w14:textId="77777777" w:rsidR="00543BCF" w:rsidRDefault="00686829">
    <w:r>
      <w:rPr>
        <w:i/>
        <w:sz w:val="16"/>
      </w:rPr>
      <w:t>Ustvarjeno v MOPED-DOCS, 07. 07. 2026 13:51:08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D68E" w14:textId="77777777" w:rsidR="009E2A64" w:rsidRDefault="009E2A64">
      <w:pPr>
        <w:spacing w:after="0" w:line="240" w:lineRule="auto"/>
      </w:pPr>
      <w:r>
        <w:separator/>
      </w:r>
    </w:p>
  </w:footnote>
  <w:footnote w:type="continuationSeparator" w:id="0">
    <w:p w14:paraId="16C654A2" w14:textId="77777777" w:rsidR="009E2A64" w:rsidRDefault="009E2A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CF"/>
    <w:rsid w:val="00144779"/>
    <w:rsid w:val="002F0325"/>
    <w:rsid w:val="002F45AF"/>
    <w:rsid w:val="004F2CB7"/>
    <w:rsid w:val="00543BCF"/>
    <w:rsid w:val="005964F0"/>
    <w:rsid w:val="00686829"/>
    <w:rsid w:val="009E2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D8AB"/>
  <w15:docId w15:val="{ACA67550-CA0A-4D7D-AE8B-14B5C7E8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930</Words>
  <Characters>5302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 Brčina</cp:lastModifiedBy>
  <cp:revision>6</cp:revision>
  <dcterms:created xsi:type="dcterms:W3CDTF">2019-02-01T07:54:00Z</dcterms:created>
  <dcterms:modified xsi:type="dcterms:W3CDTF">2026-07-14T08:32:00Z</dcterms:modified>
</cp:coreProperties>
</file>