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Odebeljeno"/>
        <w:spacing w:after="0" w:line="260" w:lineRule="auto"/>
      </w:pPr>
      <w:r>
        <w:t>UREDBA O SPREMEMBAH IN DOPOLNITVAH UREDBE O POOBLASTILIH POMORŠČAKOV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"/>
        <w:spacing w:after="0" w:line="260" w:lineRule="auto"/>
      </w:pPr>
      <w:r>
        <w:t>PREDLOG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pStyle w:val="Sredinsko"/>
        <w:spacing w:after="0" w:line="260" w:lineRule="auto"/>
      </w:pPr>
      <w:r>
        <w:t>EVA: 2026-2440-0011</w:t>
      </w:r>
    </w:p>
    <w:p>
      <w:r>
        <w:br w:type="page"/>
      </w:r>
    </w:p>
    <w:p>
      <w:pPr>
        <w:pStyle w:val="Odebeljeno"/>
        <w:spacing w:after="0" w:line="260" w:lineRule="auto"/>
      </w:pPr>
      <w:r>
        <w:t>I.</w:t>
      </w:r>
      <w:r>
        <w:tab/>
      </w:r>
      <w:r>
        <w:t>UVOD</w:t>
      </w:r>
    </w:p>
    <w:p>
      <w:pPr>
        <w:pStyle w:val="Odebeljeno"/>
        <w:spacing w:after="0" w:line="260" w:lineRule="auto"/>
      </w:pPr>
      <w:r>
        <w:t>1.</w:t>
      </w:r>
      <w:r>
        <w:tab/>
      </w:r>
      <w:r>
        <w:t>Razlogi in podlage za izdajo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Pravna podlaga:</w:t>
      </w:r>
    </w:p>
    <w:p>
      <w:pPr>
        <w:spacing w:after="0" w:line="240" w:lineRule="auto"/>
      </w:pPr>
      <w:r>
        <w:t>Prvi odstavek 152. člena Pomorskega zakonika (Uradni list RS, št. 62/16 – uradno prečiščeno besedilo, 41/17, 21/18 – ZNOrg, 31/18 – ZPVZRZECEP, 18/21, 21/21 – popr. in 76/23):</w:t>
      </w:r>
    </w:p>
    <w:p>
      <w:pPr>
        <w:spacing w:after="0" w:line="240" w:lineRule="auto"/>
        <w:jc w:val="left"/>
      </w:pPr>
      <w:r>
        <w:rPr>
          <w:i/>
        </w:rPr>
        <w:t>Član posadke ladje, ki je vpisana v slovenski ladijski register, je lahko tisti, ki si je pridobil ustrezno listino o strokovni usposobljenosti, na podlagi pogojev, ki jih predpiše vlada v skladu z mednarodnimi konvencijami in predpisi Evropske unije.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Rok za izdajo:</w:t>
      </w:r>
    </w:p>
    <w:p>
      <w:pPr>
        <w:spacing w:after="0" w:line="24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Glavni razlogi za izdajo:</w:t>
      </w:r>
    </w:p>
    <w:p>
      <w:pPr>
        <w:spacing w:after="0" w:line="240" w:lineRule="auto"/>
      </w:pPr>
      <w:r>
        <w:t>Uredba o pooblastilih pomorščakov se uskladi s priporočili, ki jih je podala Evropska agencija za pomorsko varnost (EMSA) ob presoji izvajanja Direktive 2008/106/ES o minimalni ravni izobraževanja pomorščakov, predhodnice kodificiranega besedila Direktive 2022/993/EU Evropskega parlamenta in Sveta z dne 8. junija 2022 o minimalni ravni izobraževanja pomorščakov. Uskladitev uredbe se nanaša na pomen izrazov, področje uporabe in pogoje za izdajo nekaterih pooblastil.</w:t>
      </w:r>
    </w:p>
    <w:p>
      <w:pPr>
        <w:spacing w:after="0" w:line="240" w:lineRule="auto"/>
      </w:pPr>
      <w:r>
        <w:t xml:space="preserve">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2.</w:t>
      </w:r>
      <w:r>
        <w:tab/>
      </w:r>
      <w:r>
        <w:t>Ocena finančnih posledic predloga akta za državni proračun in druga javna finančna sredstva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Presoja posledic je bila opravljena ob sprejemanju zakona, ki je podlaga za izdajo tega predloga.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</w:t>
      </w:r>
      <w:r>
        <w:tab/>
      </w:r>
      <w:r>
        <w:t>Prikaz ureditve v drugih pravnih sistemih in prilagojenosti predlagane ureditve pravu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3.1</w:t>
      </w:r>
      <w:r>
        <w:tab/>
      </w:r>
      <w:r>
        <w:t>Prikaz ureditve v drugih pravnih sistemih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3.2</w:t>
      </w:r>
      <w:r>
        <w:tab/>
      </w:r>
      <w:r>
        <w:t>Prikaz ureditve v pravnem redu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Predlog ni predmet usklajevanja s pravnim redom EU.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SrajckaNaslovZamik"/>
        <w:spacing w:after="0" w:line="260" w:lineRule="auto"/>
      </w:pPr>
      <w:r>
        <w:t>3.3</w:t>
      </w:r>
      <w:r>
        <w:tab/>
      </w:r>
      <w:r>
        <w:t>Prikaz ureditve v posameznih državah članicah Evropske unije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/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4.</w:t>
      </w:r>
      <w:r>
        <w:tab/>
      </w:r>
      <w:r>
        <w:t>Presoja posledic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Presoja posledic je bila opravljena ob sprejemanju zakona, ki je podlaga za izdajo tega predloga.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5.</w:t>
      </w:r>
      <w:r>
        <w:tab/>
      </w:r>
      <w:r>
        <w:t>Prikaz sodelovanja javnosti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Gradivo je bilo predmet sodelovanja z javnostjo.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Datum objave na portalu eDemokracija:</w:t>
      </w:r>
    </w:p>
    <w:p>
      <w:pPr>
        <w:spacing w:after="0" w:line="260" w:lineRule="auto"/>
      </w:pPr>
      <w:r>
        <w:t>24. 6. 2026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Na gradivo so bila podana mnenja, predlogi in pripombe.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V razpravo vključeni subjekti:</w:t>
      </w:r>
    </w:p>
    <w:p>
      <w:pPr>
        <w:spacing w:after="0" w:line="260" w:lineRule="auto"/>
      </w:pPr>
      <w:r>
        <w:t>Ni podatka.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Obrazložitev upoštevanja mnenj, predlogov in pripomb v razpravo vključenih subjektov:</w:t>
      </w:r>
    </w:p>
    <w:p>
      <w:pPr>
        <w:spacing w:after="0" w:line="240" w:lineRule="auto"/>
      </w:pPr>
      <w:r>
        <w:t>Komentarje na gradivo v javni obravnavi je podal posameznik. Predlogi so delno upoštevani, saj se večina nanaša na redakcijske popravke, ki ne ustrezajo nomotehničnim smernicam.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Poročilo o sodelovanju z javnostjo:</w:t>
      </w:r>
    </w:p>
    <w:p>
      <w:pPr>
        <w:spacing w:after="0" w:line="240" w:lineRule="auto"/>
      </w:pPr>
      <w:r>
        <w:t>Komentarje na gradivo v javni obravnavi je podal posameznik. Predlogi so delno upoštevani, saj se večina nanaša na redakcijske popravke, ki ne ustrezajo nomotehničnim smernicam.</w:t>
      </w:r>
    </w:p>
    <w:p>
      <w:pPr>
        <w:spacing w:after="0" w:line="260" w:lineRule="auto"/>
        <w:rPr>
          <w:rFonts w:ascii="Arial" w:hAnsi="Arial" w:cs="Arial"/>
        </w:rPr>
      </w:pPr>
    </w:p>
    <w:p>
      <w:r>
        <w:br w:type="page"/>
      </w:r>
    </w:p>
    <w:p>
      <w:pPr>
        <w:pStyle w:val="Odebeljeno"/>
        <w:spacing w:after="0" w:line="260" w:lineRule="auto"/>
      </w:pPr>
      <w:r>
        <w:t>II.</w:t>
      </w:r>
      <w:r>
        <w:tab/>
      </w:r>
      <w:r>
        <w:t>BESEDILO ČLENOV</w:t>
      </w:r>
    </w:p>
    <w:p>
      <w:pPr>
        <w:pStyle w:val="Odstavek"/>
        <w:spacing w:after="0" w:line="260" w:lineRule="auto"/>
      </w:pPr>
      <w:r>
        <w:t>Na podlagi prvega odstavka 152. člena Pomorskega zakonika (Uradni list RS, št. 62/16 – uradno prečiščeno besedilo, 41/17, 21/18 – ZNOrg, 31/18 – ZPVZRZECEP, 18/21, 21/21 – popr. in 76/23) Vlada Republike Slovenije izdaja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Naslov1"/>
        <w:spacing w:after="0" w:line="260" w:lineRule="auto"/>
      </w:pPr>
      <w:r>
        <w:t>Uredbo o spremembah in dopolnitvah Uredbe o pooblastilih pomorščakov</w:t>
      </w:r>
    </w:p>
    <w:p>
      <w:pPr>
        <w:pStyle w:val="len"/>
        <w:spacing w:after="0" w:line="260" w:lineRule="auto"/>
      </w:pPr>
      <w:r>
        <w:t>1.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 xml:space="preserve">V Uredbi o pooblastilih pomorščakov (Uradni list RS, št. 85/14 in 13/21) se v 1. členu besedilo »Direktivo 2008/106/ES Evropskega parlamenta in Sveta z dne 19. novembra 2008 o minimalni ravni izobraževanja pomorščakov (prenovitev) (UL L št. 323 z dne 3. 12. 2008, str. 33), zadnjič spremenjeno z Direktivo (EU) 2019/1159 Evropskega parlamenta in Sveta z dne 20. junija 2019 o spremembi Direktive 2008/106/ES o minimalni ravni izobraževanja pomorščakov in o razveljavitvi Direktive 2005/45/ES o vzajemnem priznavanju spričeval pomorščakov, ki jih izdajo države članice (UL L št. 188 z dne 12. 7. 2019, str. 94), (v nadaljnjem besedilu: Direktiva 2008/106/ES),« nadomesti z besedilom »Direktivo (EU) 2022/993 Evropskega parlamenta in Sveta z dne 8. junija 2022 o minimalni ravni izobraževanja pomorščakov (kodificirano besedilo) (UL L št. 169 z dne 27. 6. 2022, str. 45) (v nadaljnjem besedilu: Direktiva 2022/993/EU)«. 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"/>
        <w:spacing w:after="0" w:line="260" w:lineRule="auto"/>
      </w:pPr>
      <w:r>
        <w:t>2.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 xml:space="preserve">V 2. členu se 12. točka spremeni tako, da se glasi: </w:t>
      </w:r>
      <w:r>
        <w:br/>
      </w:r>
      <w:r>
        <w:t xml:space="preserve"> »12. »obalna plovba« je plovba v mejah nacionalne plovbe in mejah obalne plovbe držav članic konvencije STCW,«.  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21. točki se beseda »uprava« nadomesti z besedilom »Uprava Republike Slovenije za pomorstvo (v nadaljnjem besedilu: uprava)«.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 xml:space="preserve"> Na koncu 41. točke se pika nadomesti z vejico in doda nova, 42. točka, ki se glasi: </w:t>
      </w:r>
      <w:r>
        <w:br/>
      </w:r>
      <w:r>
        <w:t xml:space="preserve">»42. »visoka napetost« je napetost izmeničnega toka (AC) ali enosmernega toka (DC), ki presega 1000 voltov.«.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"/>
        <w:spacing w:after="0" w:line="260" w:lineRule="auto"/>
      </w:pPr>
      <w:r>
        <w:t>3.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 xml:space="preserve">V 3. členu se v tretjem odstavku na koncu točke b) vejica nadomesti z besedo »in«, v točki c) se beseda »in« nadomesti s piko, točka č) pa se črta. 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"/>
        <w:spacing w:after="0" w:line="260" w:lineRule="auto"/>
      </w:pPr>
      <w:r>
        <w:t>4.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16. členu se tretji odstavek spremeni tako, da se glasi:</w:t>
      </w:r>
      <w:r>
        <w:br/>
      </w:r>
      <w:r>
        <w:t>»(3) Predavatelj je usposobljen za izvajanje določenega programa usposabljanja, če ima pooblastilo za področje, za katero izvaja usposabljanje, oziroma druga dokazila, s katerimi dokazuje usposobljenost za izvajanje tega programa. Predavatelj osvežuje in dopolnjuje svoje strokovno znanje v skladu z zahtevami konvencije STCW.«.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"/>
        <w:spacing w:after="0" w:line="260" w:lineRule="auto"/>
      </w:pPr>
      <w:r>
        <w:t>5.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V 35. členu se v drugem, tretjem in petem odstavku besedilo »2008/106/ES« nadomesti z besedilom »2022/993/EU«.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len"/>
        <w:spacing w:after="0" w:line="260" w:lineRule="auto"/>
      </w:pPr>
      <w:r>
        <w:t>6.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>Priloga I se nadomesti z novo Prilogo I, ki je kot Priloga sestavni del te uredbe.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Poglavje"/>
        <w:spacing w:after="0" w:line="260" w:lineRule="auto"/>
      </w:pPr>
      <w:r>
        <w:t>KONČNA DOLOČBA</w:t>
      </w:r>
    </w:p>
    <w:p>
      <w:pPr>
        <w:pStyle w:val="len"/>
        <w:spacing w:after="0" w:line="260" w:lineRule="auto"/>
      </w:pPr>
      <w:r>
        <w:t>7. člen</w:t>
      </w:r>
    </w:p>
    <w:p>
      <w:pPr>
        <w:pStyle w:val="lennaslov"/>
        <w:spacing w:after="0" w:line="260" w:lineRule="auto"/>
      </w:pPr>
      <w:r>
        <w:t>(začetek veljavnosti)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ab/>
      </w:r>
      <w:r>
        <w:t xml:space="preserve">Ta uredba začne veljati petnajsti dan po objavi v Uradnem listu Republike Slovenije.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Št. [/2026</w:t>
      </w:r>
      <w:r>
        <w:t>]</w:t>
      </w:r>
      <w:r>
        <w:t xml:space="preserve">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Ljubljana, dne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EVA 2026-2440-0011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Podpisnik"/>
        <w:spacing w:after="0" w:line="260" w:lineRule="auto"/>
      </w:pPr>
      <w:r>
        <w:t>Vlada Republike Slovenije</w:t>
      </w:r>
      <w:r>
        <w:br/>
      </w:r>
      <w:r>
        <w:t>Janez Janša</w:t>
      </w:r>
      <w:r>
        <w:br/>
      </w:r>
      <w:r>
        <w:t>predsednik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40" w:lineRule="auto"/>
      </w:pPr>
      <w:r>
        <w:t xml:space="preserve">Priloga: </w:t>
      </w:r>
    </w:p>
    <w:p>
      <w:pPr>
        <w:spacing w:after="0" w:line="240" w:lineRule="auto"/>
      </w:pPr>
      <w:r>
        <w:t>UstcwP.doc</w:t>
      </w:r>
    </w:p>
    <w:p>
      <w:r>
        <w:br w:type="page"/>
      </w:r>
    </w:p>
    <w:p>
      <w:pPr>
        <w:pStyle w:val="Odebeljeno"/>
        <w:spacing w:after="0" w:line="260" w:lineRule="auto"/>
      </w:pPr>
      <w:r>
        <w:t>III.</w:t>
      </w:r>
      <w:r>
        <w:tab/>
      </w:r>
      <w:r>
        <w:t>OBRAZLOŽITEV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1. členu:</w:t>
      </w:r>
    </w:p>
    <w:p>
      <w:pPr>
        <w:spacing w:after="0" w:line="240" w:lineRule="auto"/>
      </w:pPr>
      <w:r>
        <w:t>Redakcijski popravek. Besedilo se nadomesti z Direktivo (EU) 2022/993 Evropskega parlamenta in Sveta z dne 8. junija 2022 o minimalni ravni izobraževanja pomorščakov (kodificirano besedilo) (UL L št. 169 z dne 27. 6. 2022, str. 45, v nadaljnjem besedilu: Direktiva 2022/993/ES), ki je naslednica Direktive 2008/106/ES o minimalni ravni izobraževanja pomorščakov s spremembami (v nadaljnjem besedilu: Direktiva 2008/106/ES).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2. členu:</w:t>
      </w:r>
    </w:p>
    <w:p>
      <w:pPr>
        <w:spacing w:after="0" w:line="240" w:lineRule="auto"/>
      </w:pPr>
      <w:r>
        <w:t>Redakcijski popravek izrazov obalna plovba in visoka napetost ter okrajšava za Upravo Republike Slovenije za pomorstvo.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3. členu:</w:t>
      </w:r>
    </w:p>
    <w:p>
      <w:pPr>
        <w:spacing w:after="0" w:line="240" w:lineRule="auto"/>
      </w:pPr>
      <w:r>
        <w:t>Določba o področju uporabe se uskladi z ugotovitvami Evropske agencije za pomorsko varnost o presoji izvajanja Direktive 2008/106/ES (presoja EMSA), in sicer tako, da se uredba uporablja tudi za pomorščake na ladji bruto tonaže do 200 v nacionalni plovbi.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4. členu:</w:t>
      </w:r>
    </w:p>
    <w:p>
      <w:pPr>
        <w:spacing w:after="0" w:line="240" w:lineRule="auto"/>
      </w:pPr>
      <w:r>
        <w:t>Določba o pogojih za predavatelje se spremeni tako, da se črta podvajanje zahtevanih pogojev enega leta praktičnih izkušenj na področju, za katero izvaja usposabljanja. Predavatelj te praktične izkušnje že izkazuje s plovbno dobo, ki je zahtevana za pridobitev posameznega pooblastila. Doda se določba, da predavatelj osvežuje in dopolnjuje svoje strokovno znanje v skladu z zahtevami konvencije STCW, kot je to določeno za člane izpitne komisije (tretji odstavek 27. člena uredbe).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5. členu:</w:t>
      </w:r>
    </w:p>
    <w:p>
      <w:pPr>
        <w:spacing w:after="0" w:line="240" w:lineRule="auto"/>
      </w:pPr>
      <w:r>
        <w:t>Redakcijski popravek zaradi spremembe 1. člena uredbe, ki določa, da se v nadaljnjem besedilu uporablja okrajšava Direktiva 2022/993/EU.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6. členu:</w:t>
      </w:r>
    </w:p>
    <w:p>
      <w:pPr>
        <w:spacing w:after="0" w:line="240" w:lineRule="auto"/>
      </w:pPr>
      <w:r>
        <w:t>Priloga I, ki določa zahteve za pridobitev pooblastil o nazivu, posebnih pooblastil in potrdil, se dopolni na podlagi priporočil presoje EMSA pri naslednjih listinah: »častnik krovne straže na ladji z bruto tonažo do 500« in »poveljnik ladje z bruto tonažo do 500« z dodano opombo o omejitvi »obalna plovba« in »častnik strojne straže na ladji s pogonskim strojem z močjo 750 kW ali več« z dodanim potrdilom »delo na ladji s sistemi pod visoko napetostjo na operativni ravni«.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pStyle w:val="Odebeljeno"/>
        <w:spacing w:after="0" w:line="260" w:lineRule="auto"/>
      </w:pPr>
      <w:r>
        <w:t>K 7. členu:</w:t>
      </w:r>
    </w:p>
    <w:p>
      <w:pPr>
        <w:spacing w:after="0" w:line="240" w:lineRule="auto"/>
      </w:pPr>
      <w:r>
        <w:t>Določi se začetek veljavnosti uredbe, in sicer petnajsti dan po objavi v Uradnem listu Republike Slovenije.</w:t>
      </w:r>
    </w:p>
    <w:p>
      <w:pPr>
        <w:spacing w:after="0" w:line="260" w:lineRule="auto"/>
        <w:rPr>
          <w:rFonts w:ascii="Arial" w:hAnsi="Arial" w:cs="Arial"/>
        </w:rPr>
      </w:pPr>
    </w:p>
    <w:p>
      <w:r>
        <w:br w:type="page"/>
      </w:r>
    </w:p>
    <w:p>
      <w:pPr>
        <w:pStyle w:val="Odebeljeno"/>
        <w:spacing w:after="0" w:line="260" w:lineRule="auto"/>
      </w:pPr>
      <w:r>
        <w:t>IV.</w:t>
      </w:r>
      <w:r>
        <w:tab/>
      </w:r>
      <w:r>
        <w:t>PRILOGE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</w:pPr>
      <w:r>
        <w:t>Priloge niso priložene.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i/>
        <w:sz w:val="16"/>
      </w:rPr>
      <w:t>Ustvarjeno v MOPED-DOCS, 10. 09. 2026 12:09:43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HAnsi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E20"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DefaultParagraphFont"/>
    <w:uiPriority w:val="99"/>
    <w:unhideWhenUsed/>
    <w:rsid w:val="005C3D8F"/>
    <w:rPr>
      <w:color w:val="0000FF" w:themeColor="hyperlink"/>
      <w:u w:val="single"/>
    </w:rPr>
  </w:style>
  <w:style w:type="paragraph" w:styleId="Header">
    <w:name w:val="header"/>
    <w:basedOn w:val="Normal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DefaultParagraphFont"/>
    <w:link w:val="Header"/>
    <w:uiPriority w:val="99"/>
    <w:rsid w:val="00945425"/>
  </w:style>
  <w:style w:type="paragraph" w:styleId="Footer">
    <w:name w:val="footer"/>
    <w:basedOn w:val="Normal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DefaultParagraphFont"/>
    <w:link w:val="Footer"/>
    <w:uiPriority w:val="99"/>
    <w:rsid w:val="00945425"/>
  </w:style>
  <w:style w:type="table" w:styleId="TableGrid">
    <w:name w:val="Table Grid"/>
    <w:basedOn w:val="TableNormal"/>
    <w:uiPriority w:val="39"/>
    <w:rsid w:val="000E3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ajckaNaslovZamik">
    <w:name w:val="SrajckaNaslovZamik"/>
    <w:basedOn w:val="Normal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ormal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ormal"/>
    <w:qFormat/>
    <w:rsid w:val="007652EC"/>
    <w:pPr>
      <w:jc w:val="right"/>
    </w:pPr>
  </w:style>
  <w:style w:type="paragraph" w:customStyle="1" w:styleId="Podpisnik">
    <w:name w:val="Podpisnik"/>
    <w:basedOn w:val="Normal"/>
    <w:qFormat/>
    <w:rsid w:val="007651EC"/>
    <w:pPr>
      <w:widowControl w:val="0"/>
      <w:spacing w:before="0" w:after="0" w:line="260" w:lineRule="exact"/>
      <w:ind w:left="3969"/>
      <w:jc w:val="center"/>
    </w:pPr>
    <w:rPr>
      <w:b w:val="0"/>
    </w:rPr>
  </w:style>
  <w:style w:type="paragraph" w:customStyle="1" w:styleId="SredinskoOdebeljeno">
    <w:name w:val="SredinskoOdebeljeno"/>
    <w:basedOn w:val="Normal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ormal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TableNormal"/>
    <w:uiPriority w:val="41"/>
    <w:rsid w:val="001858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TableNormal"/>
    <w:uiPriority w:val="41"/>
    <w:rsid w:val="00185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zorc</cp:lastModifiedBy>
  <cp:revision>3</cp:revision>
  <dcterms:created xsi:type="dcterms:W3CDTF">2019-02-01T07:54:00Z</dcterms:created>
  <dcterms:modified xsi:type="dcterms:W3CDTF">2019-02-01T08:06:00Z</dcterms:modified>
</cp:coreProperties>
</file>