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2.5.0 -->
  <w:body>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pStyle w:val="SredinskoOdebeljeno"/>
        <w:spacing w:after="0" w:line="260" w:lineRule="auto"/>
      </w:pPr>
      <w:r>
        <w:t>UREDBA O DOPOLNITVI UREDBE O CESTNINSKIH CESTAH IN CESTNINI</w:t>
      </w:r>
    </w:p>
    <w:p>
      <w:pPr>
        <w:spacing w:after="0" w:line="260" w:lineRule="auto"/>
        <w:rPr>
          <w:rFonts w:ascii="Arial" w:hAnsi="Arial" w:cs="Arial"/>
        </w:rPr>
      </w:pPr>
    </w:p>
    <w:p>
      <w:pPr>
        <w:pStyle w:val="Sredinsko"/>
        <w:spacing w:after="0" w:line="260" w:lineRule="auto"/>
      </w:pPr>
      <w:r>
        <w:t>PREDLOG</w:t>
      </w:r>
    </w:p>
    <w:p>
      <w:pPr>
        <w:spacing w:after="0" w:line="260" w:lineRule="auto"/>
        <w:rPr>
          <w:rFonts w:ascii="Arial" w:hAnsi="Arial" w:cs="Arial"/>
        </w:rPr>
      </w:pPr>
    </w:p>
    <w:p>
      <w:pPr>
        <w:spacing w:after="0" w:line="260" w:lineRule="auto"/>
        <w:rPr>
          <w:rFonts w:ascii="Arial" w:hAnsi="Arial" w:cs="Arial"/>
        </w:rPr>
      </w:pPr>
    </w:p>
    <w:p>
      <w:pPr>
        <w:pStyle w:val="Sredinsko"/>
        <w:spacing w:after="0" w:line="260" w:lineRule="auto"/>
      </w:pPr>
      <w:r>
        <w:t>EVA: 2026-2440-0028</w:t>
      </w:r>
    </w:p>
    <w:p>
      <w:r>
        <w:br w:type="page"/>
      </w:r>
    </w:p>
    <w:p>
      <w:pPr>
        <w:pStyle w:val="Odebeljeno"/>
        <w:spacing w:after="0" w:line="260" w:lineRule="auto"/>
      </w:pPr>
      <w:r>
        <w:t>I.</w:t>
      </w:r>
      <w:r>
        <w:tab/>
      </w:r>
      <w:r>
        <w:t>UVOD</w:t>
      </w:r>
    </w:p>
    <w:p>
      <w:pPr>
        <w:pStyle w:val="Odebeljeno"/>
        <w:spacing w:after="0" w:line="260" w:lineRule="auto"/>
      </w:pPr>
      <w:r>
        <w:t>1.</w:t>
      </w:r>
      <w:r>
        <w:tab/>
      </w:r>
      <w:r>
        <w:t>Razlogi in podlage za izdajo</w:t>
      </w:r>
    </w:p>
    <w:p>
      <w:pPr>
        <w:spacing w:after="0" w:line="260" w:lineRule="auto"/>
        <w:rPr>
          <w:rFonts w:ascii="Arial" w:hAnsi="Arial" w:cs="Arial"/>
        </w:rPr>
      </w:pPr>
    </w:p>
    <w:p>
      <w:pPr>
        <w:spacing w:after="0" w:line="260" w:lineRule="auto"/>
      </w:pPr>
      <w:r>
        <w:t>Pravna podlaga:</w:t>
      </w:r>
    </w:p>
    <w:p>
      <w:pPr>
        <w:spacing w:after="0" w:line="240" w:lineRule="auto"/>
      </w:pPr>
      <w:r>
        <w:t>Določitev odseka glavne ceste G2-114 kot izbirne cestninske ceste.</w:t>
      </w:r>
    </w:p>
    <w:p>
      <w:pPr>
        <w:spacing w:after="0" w:line="240" w:lineRule="auto"/>
      </w:pPr>
      <w:r>
        <w:t xml:space="preserve"> </w:t>
      </w:r>
    </w:p>
    <w:p>
      <w:pPr>
        <w:spacing w:after="0" w:line="240" w:lineRule="auto"/>
      </w:pPr>
      <w:r>
        <w:t>Na podlagi četrtega odstavka 3. člena, prvega odstavka 4. člena, osmega odstavka 6. člena, 10. člena, drugega odstavka 12. člena, prvega in drugega odstavka 49. člena, prvega odstavka 52. člena in četrtega odstavka 55. člena Zakona o cestninjenju (Uradni list RS, št. 102/24 in 14/26).</w:t>
      </w:r>
    </w:p>
    <w:p>
      <w:pPr>
        <w:spacing w:after="0" w:line="260" w:lineRule="auto"/>
        <w:rPr>
          <w:rFonts w:ascii="Arial" w:hAnsi="Arial" w:cs="Arial"/>
        </w:rPr>
      </w:pPr>
    </w:p>
    <w:p>
      <w:pPr>
        <w:spacing w:after="0" w:line="260" w:lineRule="auto"/>
      </w:pPr>
      <w:r>
        <w:t>Rok za izdajo:</w:t>
      </w:r>
    </w:p>
    <w:p>
      <w:pPr>
        <w:spacing w:after="0" w:line="240" w:lineRule="auto"/>
      </w:pPr>
      <w:r>
        <w:t>Zakon ne predpisuje roka izdaje spremembe uredbe.</w:t>
      </w:r>
    </w:p>
    <w:p>
      <w:pPr>
        <w:spacing w:after="0" w:line="260" w:lineRule="auto"/>
        <w:rPr>
          <w:rFonts w:ascii="Arial" w:hAnsi="Arial" w:cs="Arial"/>
        </w:rPr>
      </w:pPr>
    </w:p>
    <w:p>
      <w:pPr>
        <w:spacing w:after="0" w:line="260" w:lineRule="auto"/>
      </w:pPr>
      <w:r>
        <w:t>Glavni razlogi za izdajo:</w:t>
      </w:r>
    </w:p>
    <w:p>
      <w:pPr>
        <w:spacing w:after="0" w:line="240" w:lineRule="auto"/>
      </w:pPr>
      <w:r>
        <w:t>V Prilogi, ki je sestavni del Uredbe o cestninskih cestah in cestnini se doda nov odsek G2-114 med izbirne cestninske ceste.</w:t>
      </w:r>
    </w:p>
    <w:p>
      <w:pPr>
        <w:spacing w:after="0" w:line="240" w:lineRule="auto"/>
      </w:pPr>
      <w:r>
        <w:t>Gre za t.i. Serminsko vpadnico, ki je kategorizirana kot glavna cesta G2-114 in določena kot izbirna cestninska cesta, kar pomeni, da se cestnini za tovorna vozila (vozila nad 3,5t NDM).</w:t>
      </w:r>
    </w:p>
    <w:p>
      <w:pPr>
        <w:spacing w:after="0" w:line="260" w:lineRule="auto"/>
        <w:rPr>
          <w:rFonts w:ascii="Arial" w:hAnsi="Arial" w:cs="Arial"/>
        </w:rPr>
      </w:pPr>
    </w:p>
    <w:p>
      <w:pPr>
        <w:pStyle w:val="Odebeljeno"/>
        <w:spacing w:after="0" w:line="260" w:lineRule="auto"/>
      </w:pPr>
      <w:r>
        <w:t>2.</w:t>
      </w:r>
      <w:r>
        <w:tab/>
      </w:r>
      <w:r>
        <w:t>Ocena finančnih posledic predloga akta za državni proračun in druga javna finančna sredstva</w:t>
      </w:r>
    </w:p>
    <w:p>
      <w:pPr>
        <w:spacing w:after="0" w:line="260" w:lineRule="auto"/>
        <w:rPr>
          <w:rFonts w:ascii="Arial" w:hAnsi="Arial" w:cs="Arial"/>
        </w:rPr>
      </w:pPr>
    </w:p>
    <w:p>
      <w:pPr>
        <w:spacing w:after="0" w:line="260" w:lineRule="auto"/>
      </w:pPr>
      <w:r>
        <w:t>Presoja posledic je bila opravljena ob sprejemanju zakona, ki je podlaga za izdajo tega predloga.</w:t>
      </w:r>
    </w:p>
    <w:p>
      <w:pPr>
        <w:pStyle w:val="Odebeljeno"/>
        <w:spacing w:after="0" w:line="260" w:lineRule="auto"/>
      </w:pPr>
      <w:r>
        <w:t>3.</w:t>
      </w:r>
      <w:r>
        <w:tab/>
      </w:r>
      <w:r>
        <w:t>Prikaz ureditve v drugih pravnih sistemih in prilagojenosti predlagane ureditve pravu Evropske unije</w:t>
      </w:r>
    </w:p>
    <w:p>
      <w:pPr>
        <w:spacing w:after="0" w:line="260" w:lineRule="auto"/>
        <w:rPr>
          <w:rFonts w:ascii="Arial" w:hAnsi="Arial" w:cs="Arial"/>
        </w:rPr>
      </w:pPr>
    </w:p>
    <w:p>
      <w:pPr>
        <w:pStyle w:val="Odebeljeno"/>
        <w:spacing w:after="0" w:line="260" w:lineRule="auto"/>
      </w:pPr>
      <w:r>
        <w:t>3.1</w:t>
      </w:r>
      <w:r>
        <w:tab/>
      </w:r>
      <w:r>
        <w:t>Prikaz ureditve v drugih pravnih sistemih</w:t>
      </w:r>
    </w:p>
    <w:p>
      <w:pPr>
        <w:spacing w:after="0" w:line="260" w:lineRule="auto"/>
        <w:rPr>
          <w:rFonts w:ascii="Arial" w:hAnsi="Arial" w:cs="Arial"/>
        </w:rPr>
      </w:pPr>
    </w:p>
    <w:p>
      <w:pPr>
        <w:spacing w:after="0" w:line="260" w:lineRule="auto"/>
      </w:pPr>
      <w:r>
        <w:t>/</w:t>
      </w:r>
    </w:p>
    <w:p>
      <w:pPr>
        <w:spacing w:after="0" w:line="260" w:lineRule="auto"/>
        <w:rPr>
          <w:rFonts w:ascii="Arial" w:hAnsi="Arial" w:cs="Arial"/>
        </w:rPr>
      </w:pPr>
    </w:p>
    <w:p>
      <w:pPr>
        <w:pStyle w:val="Odebeljeno"/>
        <w:spacing w:after="0" w:line="260" w:lineRule="auto"/>
      </w:pPr>
      <w:r>
        <w:t>3.2</w:t>
      </w:r>
      <w:r>
        <w:tab/>
      </w:r>
      <w:r>
        <w:t>Prikaz ureditve v pravnem redu Evropske unije</w:t>
      </w:r>
    </w:p>
    <w:p>
      <w:pPr>
        <w:spacing w:after="0" w:line="260" w:lineRule="auto"/>
        <w:rPr>
          <w:rFonts w:ascii="Arial" w:hAnsi="Arial" w:cs="Arial"/>
        </w:rPr>
      </w:pPr>
    </w:p>
    <w:p>
      <w:pPr>
        <w:spacing w:after="0" w:line="260" w:lineRule="auto"/>
      </w:pPr>
      <w:r>
        <w:t>Predlog ni predmet usklajevanja s pravnim redom EU.</w:t>
      </w:r>
    </w:p>
    <w:p>
      <w:pPr>
        <w:spacing w:after="0" w:line="260" w:lineRule="auto"/>
        <w:rPr>
          <w:rFonts w:ascii="Arial" w:hAnsi="Arial" w:cs="Arial"/>
        </w:rPr>
      </w:pPr>
    </w:p>
    <w:p>
      <w:pPr>
        <w:pStyle w:val="SrajckaNaslovZamik"/>
        <w:spacing w:after="0" w:line="260" w:lineRule="auto"/>
      </w:pPr>
      <w:r>
        <w:t>3.3</w:t>
      </w:r>
      <w:r>
        <w:tab/>
      </w:r>
      <w:r>
        <w:t>Prikaz ureditve v posameznih državah članicah Evropske unije</w:t>
      </w:r>
    </w:p>
    <w:p>
      <w:pPr>
        <w:spacing w:after="0" w:line="260" w:lineRule="auto"/>
        <w:rPr>
          <w:rFonts w:ascii="Arial" w:hAnsi="Arial" w:cs="Arial"/>
        </w:rPr>
      </w:pPr>
    </w:p>
    <w:p>
      <w:pPr>
        <w:spacing w:after="0" w:line="260" w:lineRule="auto"/>
      </w:pPr>
      <w:r>
        <w:t>/</w:t>
      </w:r>
    </w:p>
    <w:p>
      <w:pPr>
        <w:spacing w:after="0" w:line="260" w:lineRule="auto"/>
        <w:rPr>
          <w:rFonts w:ascii="Arial" w:hAnsi="Arial" w:cs="Arial"/>
        </w:rPr>
      </w:pPr>
    </w:p>
    <w:p>
      <w:pPr>
        <w:pStyle w:val="Odebeljeno"/>
        <w:spacing w:after="0" w:line="260" w:lineRule="auto"/>
      </w:pPr>
      <w:r>
        <w:t>4.</w:t>
      </w:r>
      <w:r>
        <w:tab/>
      </w:r>
      <w:r>
        <w:t>Presoja posledic</w:t>
      </w:r>
    </w:p>
    <w:p>
      <w:pPr>
        <w:spacing w:after="0" w:line="260" w:lineRule="auto"/>
        <w:rPr>
          <w:rFonts w:ascii="Arial" w:hAnsi="Arial" w:cs="Arial"/>
        </w:rPr>
      </w:pPr>
    </w:p>
    <w:p>
      <w:pPr>
        <w:spacing w:after="0" w:line="260" w:lineRule="auto"/>
      </w:pPr>
      <w:r>
        <w:t>Presoja posledic je bila opravljena ob sprejemanju zakona, ki je podlaga za izdajo tega predloga.</w:t>
      </w:r>
    </w:p>
    <w:p>
      <w:pPr>
        <w:spacing w:after="0" w:line="260" w:lineRule="auto"/>
        <w:rPr>
          <w:rFonts w:ascii="Arial" w:hAnsi="Arial" w:cs="Arial"/>
        </w:rPr>
      </w:pPr>
    </w:p>
    <w:p>
      <w:pPr>
        <w:pStyle w:val="Odebeljeno"/>
        <w:spacing w:after="0" w:line="260" w:lineRule="auto"/>
      </w:pPr>
      <w:r>
        <w:t>5.</w:t>
      </w:r>
      <w:r>
        <w:tab/>
      </w:r>
      <w:r>
        <w:t>Prikaz sodelovanja javnosti</w:t>
      </w:r>
    </w:p>
    <w:p>
      <w:pPr>
        <w:spacing w:after="0" w:line="260" w:lineRule="auto"/>
        <w:rPr>
          <w:rFonts w:ascii="Arial" w:hAnsi="Arial" w:cs="Arial"/>
        </w:rPr>
      </w:pPr>
    </w:p>
    <w:p>
      <w:pPr>
        <w:spacing w:after="0" w:line="260" w:lineRule="auto"/>
      </w:pPr>
      <w:r>
        <w:t>Gradivo ni bilo predmet sodelovanja z javnostjo.</w:t>
      </w:r>
    </w:p>
    <w:p>
      <w:pPr>
        <w:spacing w:after="0" w:line="260" w:lineRule="auto"/>
        <w:rPr>
          <w:rFonts w:ascii="Arial" w:hAnsi="Arial" w:cs="Arial"/>
        </w:rPr>
      </w:pPr>
    </w:p>
    <w:p>
      <w:pPr>
        <w:spacing w:after="0" w:line="260" w:lineRule="auto"/>
      </w:pPr>
      <w:r>
        <w:t>Obrazložitev:</w:t>
      </w:r>
    </w:p>
    <w:p>
      <w:pPr>
        <w:spacing w:after="0" w:line="240" w:lineRule="auto"/>
        <w:jc w:val="both"/>
      </w:pPr>
      <w:r>
        <w:t>Novozgrajena vpadnica se navezuje na podaljšano obstoječo glavno cesto G2-114 Koper (priključek Bertoki)–Luka Koper. Navezovalna cesta poteka od krožišča Sermin z navezavo na obstoječo državno cesto G2-114/1564 Čez reko Rižano, po trasi obstoječe rekonstruirane lokalne ceste LK 180090 ter nato ob železniški progi do avtocestnega priključka AC-A1/0196 Priključek Luka Koper.</w:t>
      </w:r>
    </w:p>
    <w:p>
      <w:pPr>
        <w:spacing w:after="0" w:line="240" w:lineRule="auto"/>
        <w:jc w:val="both"/>
      </w:pPr>
      <w:r>
        <w:t xml:space="preserve"> </w:t>
      </w:r>
    </w:p>
    <w:p>
      <w:pPr>
        <w:spacing w:after="0" w:line="240" w:lineRule="auto"/>
        <w:jc w:val="both"/>
      </w:pPr>
      <w:r>
        <w:t>Z izgradnjo Serminske vpadnice so zagotovljeni večja prometna varnost, razbremenitev prometa ter boljša pretočnost prometa. Lokalna cesta LK 180090 je bila rekonstruirana, po njeni trasi pa poteka del Serminske vpadnice.</w:t>
      </w:r>
    </w:p>
    <w:p>
      <w:pPr>
        <w:spacing w:after="0" w:line="240" w:lineRule="auto"/>
        <w:jc w:val="both"/>
      </w:pPr>
      <w:r>
        <w:t xml:space="preserve"> </w:t>
      </w:r>
    </w:p>
    <w:p>
      <w:pPr>
        <w:spacing w:after="0" w:line="240" w:lineRule="auto"/>
        <w:jc w:val="both"/>
      </w:pPr>
      <w:r>
        <w:t>Mestna občina Koper je bila pozvana, da v skladu z veljavnimi predpisi izvede izločitev občinske ceste LK 180090 iz Odloka o kategorizaciji občinskih javnih cest. Na podlagi poziva je podala izjavo (v prilogi), v kateri navaja, da soglaša s predlagano spremembo in da bo pristopila k pripravi predloga spremembe odloka o kategorizaciji občinskih cest.</w:t>
      </w:r>
    </w:p>
    <w:p>
      <w:pPr>
        <w:spacing w:after="0" w:line="260" w:lineRule="auto"/>
      </w:pPr>
    </w:p>
    <w:p>
      <w:pPr>
        <w:spacing w:after="0" w:line="260" w:lineRule="auto"/>
        <w:rPr>
          <w:rFonts w:ascii="Arial" w:hAnsi="Arial" w:cs="Arial"/>
        </w:rPr>
      </w:pPr>
    </w:p>
    <w:p>
      <w:r>
        <w:br w:type="page"/>
      </w:r>
    </w:p>
    <w:p>
      <w:pPr>
        <w:pStyle w:val="Odebeljeno"/>
        <w:spacing w:after="0" w:line="260" w:lineRule="auto"/>
      </w:pPr>
      <w:r>
        <w:t>II.</w:t>
      </w:r>
      <w:r>
        <w:tab/>
      </w:r>
      <w:r>
        <w:t>BESEDILO ČLENOV</w:t>
      </w:r>
    </w:p>
    <w:p>
      <w:pPr>
        <w:pStyle w:val="Odstavek"/>
        <w:spacing w:after="0" w:line="260" w:lineRule="auto"/>
      </w:pPr>
      <w:r>
        <w:t xml:space="preserve">Na podlagi četrtega odstavka 3. člena, prvega odstavka 4. člena, osmega odstavka 6. člena, 10. člena, drugega odstavka 12. člena, drugega odstavka 17.a člena, prvega in drugega odstavka 49. člena, prvega odstavka 52. člena in četrtega odstavka 55. člena Zakona o cestninjenju (Uradni list RS, št. 102/24 in 14/26) Vlada Republike Slovenije izdaja </w:t>
      </w:r>
    </w:p>
    <w:p>
      <w:pPr>
        <w:spacing w:after="0" w:line="260" w:lineRule="auto"/>
        <w:rPr>
          <w:rFonts w:ascii="Arial" w:hAnsi="Arial" w:cs="Arial"/>
        </w:rPr>
      </w:pPr>
    </w:p>
    <w:p>
      <w:pPr>
        <w:pStyle w:val="Naslov1"/>
        <w:spacing w:after="0" w:line="260" w:lineRule="auto"/>
      </w:pPr>
      <w:r>
        <w:t>Uredbo o dopolnitvi Uredbe o cestninskih cestah in cestnini</w:t>
      </w:r>
    </w:p>
    <w:p>
      <w:pPr>
        <w:pStyle w:val="len"/>
        <w:spacing w:after="0" w:line="260" w:lineRule="auto"/>
      </w:pPr>
      <w:r>
        <w:t>1. člen</w:t>
      </w:r>
    </w:p>
    <w:p>
      <w:pPr>
        <w:spacing w:after="0" w:line="260" w:lineRule="auto"/>
        <w:rPr>
          <w:rFonts w:ascii="Arial" w:hAnsi="Arial" w:cs="Arial"/>
        </w:rPr>
      </w:pPr>
    </w:p>
    <w:p>
      <w:pPr>
        <w:spacing w:after="0" w:line="260" w:lineRule="auto"/>
      </w:pPr>
      <w:r>
        <w:tab/>
      </w:r>
      <w:r>
        <w:t>V Uredbi o cestninskih cestah in cestnini (Uradni list RS, št. 46/25, 102/25 in 129/26) se v Prilogi v 2. točki za zadnjo vrstico tabele doda nova vrstica, ki se glasi:</w:t>
      </w:r>
    </w:p>
    <w:p>
      <w:pPr>
        <w:spacing w:after="0" w:line="260" w:lineRule="auto"/>
        <w:rPr>
          <w:rFonts w:ascii="Arial" w:hAnsi="Arial" w:cs="Arial"/>
        </w:rPr>
      </w:pPr>
    </w:p>
    <w:p>
      <w:pPr>
        <w:spacing w:after="0" w:line="240" w:lineRule="auto"/>
      </w:pPr>
      <w:r>
        <w:t>»</w:t>
      </w:r>
    </w:p>
    <w:tbl>
      <w:tblPr>
        <w:tblW w:w="5000" w:type="pct"/>
        <w:tblInd w:w="108" w:type="dxa"/>
        <w:tblCellMar>
          <w:top w:w="15" w:type="dxa"/>
          <w:left w:w="15" w:type="dxa"/>
          <w:bottom w:w="15" w:type="dxa"/>
          <w:right w:w="15" w:type="dxa"/>
        </w:tblCellMar>
        <w:tblLook w:val="04A0"/>
      </w:tblPr>
      <w:tblGrid>
        <w:gridCol w:w="1040"/>
        <w:gridCol w:w="5335"/>
        <w:gridCol w:w="853"/>
        <w:gridCol w:w="2071"/>
      </w:tblGrid>
      <w:tr>
        <w:tblPrEx>
          <w:tblW w:w="5000" w:type="pct"/>
          <w:tblInd w:w="108" w:type="dxa"/>
          <w:tblCellMar>
            <w:top w:w="15" w:type="dxa"/>
            <w:left w:w="15" w:type="dxa"/>
            <w:bottom w:w="15" w:type="dxa"/>
            <w:right w:w="15" w:type="dxa"/>
          </w:tblCellMar>
          <w:tblLook w:val="04A0"/>
        </w:tblPrEx>
        <w:tc>
          <w:tcPr>
            <w:gridSpan w:val="4"/>
            <w:tcBorders>
              <w:top w:val="none" w:sz="0" w:space="0" w:color="auto"/>
              <w:left w:val="none" w:sz="0" w:space="0" w:color="auto"/>
              <w:bottom w:val="none" w:sz="0" w:space="0" w:color="auto"/>
              <w:right w:val="none" w:sz="0" w:space="0" w:color="auto"/>
            </w:tcBorders>
            <w:noWrap w:val="0"/>
            <w:tcMar>
              <w:left w:w="108" w:type="dxa"/>
              <w:right w:w="108" w:type="dxa"/>
            </w:tcMar>
            <w:vAlign w:val="center"/>
            <w:hideMark/>
          </w:tcPr>
          <w:p>
            <w:pPr>
              <w:ind w:left="0" w:right="0"/>
              <w:jc w:val="left"/>
              <w:rPr>
                <w:rFonts w:ascii="Arial" w:cs="Arial"/>
                <w:b w:val="0"/>
                <w:i w:val="0"/>
                <w:smallCaps w:val="0"/>
                <w:color w:val="000000"/>
              </w:rPr>
            </w:pPr>
            <w:r>
              <w:rPr>
                <w:rFonts w:ascii="Arial" w:cs="Arial"/>
                <w:b w:val="0"/>
                <w:i w:val="0"/>
                <w:smallCaps w:val="0"/>
                <w:color w:val="000000"/>
              </w:rPr>
              <w:t>Tabela:</w:t>
            </w:r>
            <w:r>
              <w:rPr>
                <w:rFonts w:ascii="Arial" w:cs="Arial"/>
                <w:b w:val="0"/>
                <w:i w:val="0"/>
                <w:smallCaps w:val="0"/>
                <w:color w:val="000000"/>
              </w:rPr>
              <w:t> </w:t>
            </w:r>
          </w:p>
        </w:tc>
      </w:tr>
      <w:tr>
        <w:tblPrEx>
          <w:tblW w:w="5000" w:type="pct"/>
          <w:tblInd w:w="108"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tblPrEx>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both"/>
              <w:rPr>
                <w:rFonts w:ascii="Arial" w:cs="Arial"/>
                <w:b w:val="0"/>
                <w:i w:val="0"/>
                <w:smallCaps w:val="0"/>
                <w:color w:val="000000"/>
              </w:rPr>
            </w:pPr>
            <w:r>
              <w:rPr>
                <w:rFonts w:ascii="Arial" w:cs="Arial"/>
                <w:b w:val="0"/>
                <w:i w:val="0"/>
                <w:smallCaps w:val="0"/>
                <w:color w:val="000000"/>
              </w:rPr>
              <w:t>G2-114</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both"/>
              <w:rPr>
                <w:rFonts w:ascii="Arial" w:cs="Arial"/>
                <w:b w:val="0"/>
                <w:i w:val="0"/>
                <w:smallCaps w:val="0"/>
                <w:color w:val="000000"/>
              </w:rPr>
            </w:pPr>
            <w:r>
              <w:rPr>
                <w:rFonts w:ascii="Arial" w:cs="Arial"/>
                <w:b w:val="0"/>
                <w:i w:val="0"/>
                <w:smallCaps w:val="0"/>
                <w:color w:val="000000"/>
              </w:rPr>
              <w:t>SERMINSKA VPADNICA-PRIKLJ. LUKA KOPER</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both"/>
              <w:rPr>
                <w:rFonts w:ascii="Arial" w:cs="Arial"/>
                <w:b w:val="0"/>
                <w:i w:val="0"/>
                <w:smallCaps w:val="0"/>
                <w:color w:val="000000"/>
              </w:rPr>
            </w:pPr>
            <w:r>
              <w:rPr>
                <w:rFonts w:ascii="Arial" w:cs="Arial"/>
                <w:b w:val="0"/>
                <w:i w:val="0"/>
                <w:smallCaps w:val="0"/>
                <w:color w:val="000000"/>
              </w:rPr>
              <w:t>1,414</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both"/>
              <w:rPr>
                <w:rFonts w:ascii="Arial" w:cs="Arial"/>
                <w:b w:val="0"/>
                <w:i w:val="0"/>
                <w:smallCaps w:val="0"/>
                <w:color w:val="000000"/>
              </w:rPr>
            </w:pPr>
            <w:r>
              <w:rPr>
                <w:rFonts w:ascii="Arial" w:cs="Arial"/>
                <w:b w:val="0"/>
                <w:i w:val="0"/>
                <w:smallCaps w:val="0"/>
                <w:color w:val="000000"/>
              </w:rPr>
              <w:t>Primestna cesta</w:t>
            </w:r>
          </w:p>
        </w:tc>
      </w:tr>
    </w:tbl>
    <w:p/>
    <w:p>
      <w:pPr>
        <w:spacing w:after="0" w:line="240" w:lineRule="auto"/>
      </w:pPr>
      <w:r>
        <w:t>«</w:t>
      </w:r>
    </w:p>
    <w:p>
      <w:pPr>
        <w:pStyle w:val="Poglavje"/>
        <w:spacing w:after="0" w:line="260" w:lineRule="auto"/>
      </w:pPr>
      <w:r>
        <w:t>PREHODNE IN KONČNE DOLOČBE</w:t>
      </w:r>
    </w:p>
    <w:p>
      <w:pPr>
        <w:pStyle w:val="len"/>
        <w:spacing w:after="0" w:line="260" w:lineRule="auto"/>
      </w:pPr>
      <w:r>
        <w:t>2. člen</w:t>
      </w:r>
    </w:p>
    <w:p>
      <w:pPr>
        <w:pStyle w:val="lennaslov"/>
        <w:spacing w:after="0" w:line="260" w:lineRule="auto"/>
      </w:pPr>
      <w:r>
        <w:t>(uskladitev cenika)</w:t>
      </w:r>
    </w:p>
    <w:p>
      <w:pPr>
        <w:spacing w:after="0" w:line="260" w:lineRule="auto"/>
        <w:rPr>
          <w:rFonts w:ascii="Arial" w:hAnsi="Arial" w:cs="Arial"/>
        </w:rPr>
      </w:pPr>
    </w:p>
    <w:p>
      <w:pPr>
        <w:spacing w:after="0" w:line="260" w:lineRule="auto"/>
      </w:pPr>
      <w:r>
        <w:tab/>
      </w:r>
      <w:r>
        <w:t>Družba za avtoceste v Republiki Sloveniji d. d. do 26. oktobra 2026 uskladi cenik cestnine za cestninske ceste, ki jih upravlja, s to uredbo.</w:t>
      </w:r>
    </w:p>
    <w:p>
      <w:pPr>
        <w:spacing w:after="0" w:line="260" w:lineRule="auto"/>
        <w:rPr>
          <w:rFonts w:ascii="Arial" w:hAnsi="Arial" w:cs="Arial"/>
        </w:rPr>
      </w:pPr>
    </w:p>
    <w:p>
      <w:pPr>
        <w:pStyle w:val="len"/>
        <w:spacing w:after="0" w:line="260" w:lineRule="auto"/>
      </w:pPr>
      <w:r>
        <w:t>3. člen</w:t>
      </w:r>
    </w:p>
    <w:p>
      <w:pPr>
        <w:pStyle w:val="lennaslov"/>
        <w:spacing w:after="0" w:line="260" w:lineRule="auto"/>
      </w:pPr>
      <w:r>
        <w:t>(začetek veljavnosti)</w:t>
      </w:r>
    </w:p>
    <w:p>
      <w:pPr>
        <w:spacing w:after="0" w:line="260" w:lineRule="auto"/>
        <w:rPr>
          <w:rFonts w:ascii="Arial" w:hAnsi="Arial" w:cs="Arial"/>
        </w:rPr>
      </w:pPr>
    </w:p>
    <w:p>
      <w:pPr>
        <w:spacing w:after="0" w:line="260" w:lineRule="auto"/>
      </w:pPr>
      <w:r>
        <w:tab/>
      </w:r>
      <w:r>
        <w:t>Ta uredba začne veljati 26. oktobra 2026.</w:t>
      </w:r>
    </w:p>
    <w:p>
      <w:pPr>
        <w:spacing w:after="0" w:line="260" w:lineRule="auto"/>
        <w:rPr>
          <w:rFonts w:ascii="Arial" w:hAnsi="Arial" w:cs="Arial"/>
        </w:rPr>
      </w:pPr>
    </w:p>
    <w:p>
      <w:pPr>
        <w:spacing w:after="0" w:line="260" w:lineRule="auto"/>
        <w:rPr>
          <w:rFonts w:ascii="Arial" w:hAnsi="Arial" w:cs="Arial"/>
        </w:rPr>
      </w:pPr>
    </w:p>
    <w:p>
      <w:pPr>
        <w:spacing w:after="0" w:line="260" w:lineRule="auto"/>
      </w:pPr>
      <w:r>
        <w:t>007-185/2026/5</w:t>
      </w:r>
    </w:p>
    <w:p>
      <w:pPr>
        <w:spacing w:after="0" w:line="260" w:lineRule="auto"/>
        <w:rPr>
          <w:rFonts w:ascii="Arial" w:hAnsi="Arial" w:cs="Arial"/>
        </w:rPr>
      </w:pPr>
    </w:p>
    <w:p>
      <w:pPr>
        <w:spacing w:after="0" w:line="260" w:lineRule="auto"/>
      </w:pPr>
      <w:r>
        <w:t>Ljubljana, dne 8. oktobra 2026</w:t>
      </w:r>
    </w:p>
    <w:p>
      <w:pPr>
        <w:spacing w:after="0" w:line="260" w:lineRule="auto"/>
        <w:rPr>
          <w:rFonts w:ascii="Arial" w:hAnsi="Arial" w:cs="Arial"/>
        </w:rPr>
      </w:pPr>
    </w:p>
    <w:p>
      <w:pPr>
        <w:spacing w:after="0" w:line="260" w:lineRule="auto"/>
      </w:pPr>
      <w:r>
        <w:t>EVA 2026-2440-0028</w:t>
      </w:r>
    </w:p>
    <w:p>
      <w:pPr>
        <w:spacing w:after="0" w:line="260" w:lineRule="auto"/>
        <w:rPr>
          <w:rFonts w:ascii="Arial" w:hAnsi="Arial" w:cs="Arial"/>
        </w:rPr>
      </w:pPr>
    </w:p>
    <w:p>
      <w:pPr>
        <w:pStyle w:val="Podpisnik"/>
        <w:spacing w:after="0" w:line="260" w:lineRule="auto"/>
      </w:pPr>
      <w:r>
        <w:t>Vlada Republike Slovenije</w:t>
      </w:r>
      <w:r>
        <w:br/>
      </w:r>
      <w:r>
        <w:t>Janez Janša</w:t>
      </w:r>
      <w:r>
        <w:br/>
      </w:r>
      <w:r>
        <w:t>predsednik</w:t>
      </w:r>
    </w:p>
    <w:p>
      <w:r>
        <w:br w:type="page"/>
      </w:r>
    </w:p>
    <w:p>
      <w:pPr>
        <w:pStyle w:val="Odebeljeno"/>
        <w:spacing w:after="0" w:line="260" w:lineRule="auto"/>
      </w:pPr>
      <w:r>
        <w:t>III.</w:t>
      </w:r>
      <w:r>
        <w:tab/>
      </w:r>
      <w:r>
        <w:t>OBRAZLOŽITEV</w:t>
      </w:r>
    </w:p>
    <w:p>
      <w:pPr>
        <w:spacing w:after="0" w:line="260" w:lineRule="auto"/>
        <w:rPr>
          <w:rFonts w:ascii="Arial" w:hAnsi="Arial" w:cs="Arial"/>
        </w:rPr>
      </w:pPr>
    </w:p>
    <w:p>
      <w:pPr>
        <w:pStyle w:val="Odebeljeno"/>
        <w:spacing w:after="0" w:line="260" w:lineRule="auto"/>
      </w:pPr>
      <w:r>
        <w:t>K 1. členu:</w:t>
      </w:r>
    </w:p>
    <w:p>
      <w:pPr>
        <w:spacing w:after="0" w:line="240" w:lineRule="auto"/>
        <w:jc w:val="both"/>
      </w:pPr>
      <w:r>
        <w:t>Hkrati s kategorizacijo Serminske vpadnice kot G2-114, se jo določi tudi kot izbirno cestninsko cesto, cestninjeno za vozila nad 3.500 kg NDM.</w:t>
      </w:r>
    </w:p>
    <w:p>
      <w:pPr>
        <w:spacing w:after="0" w:line="260" w:lineRule="auto"/>
        <w:rPr>
          <w:rFonts w:ascii="Arial" w:hAnsi="Arial" w:cs="Arial"/>
        </w:rPr>
      </w:pPr>
    </w:p>
    <w:p>
      <w:pPr>
        <w:pStyle w:val="Odebeljeno"/>
        <w:spacing w:after="0" w:line="260" w:lineRule="auto"/>
      </w:pPr>
      <w:r>
        <w:t>K 2. členu:</w:t>
      </w:r>
    </w:p>
    <w:p>
      <w:pPr>
        <w:spacing w:after="0" w:line="240" w:lineRule="auto"/>
        <w:jc w:val="both"/>
      </w:pPr>
      <w:r>
        <w:t>Uredba o cestninskih cestah in cestnini in Cenik cestnine za uporabo cestninskih cest sta vsebinsko povezana akta. Uredba v prilogi določa cestninske in izbirne cestninske ceste, njihove odseke, prevozne razdalje in vrste cestninskih odsekov, Cenik cestnine za uporabo cestninskih cest pa določa cene cestninjenja za njihovo uporabo. S prehodno določbo se zato določa obveznost DARS d. d., da v določenem roku uskladi Cenik cestnine za uporabo cestninskih cest s to uredbo.</w:t>
      </w:r>
    </w:p>
    <w:p>
      <w:pPr>
        <w:spacing w:after="0" w:line="260" w:lineRule="auto"/>
        <w:rPr>
          <w:rFonts w:ascii="Arial" w:hAnsi="Arial" w:cs="Arial"/>
        </w:rPr>
      </w:pPr>
    </w:p>
    <w:p>
      <w:pPr>
        <w:pStyle w:val="Odebeljeno"/>
        <w:spacing w:after="0" w:line="260" w:lineRule="auto"/>
      </w:pPr>
      <w:r>
        <w:t>K 3. členu:</w:t>
      </w:r>
    </w:p>
    <w:p>
      <w:pPr>
        <w:spacing w:after="0" w:line="240" w:lineRule="auto"/>
        <w:jc w:val="both"/>
      </w:pPr>
      <w:r>
        <w:t>Ta člen določa začetek veljavnosti uredbe.</w:t>
      </w:r>
    </w:p>
    <w:p>
      <w:pPr>
        <w:spacing w:after="0" w:line="260" w:lineRule="auto"/>
        <w:rPr>
          <w:rFonts w:ascii="Arial" w:hAnsi="Arial" w:cs="Arial"/>
        </w:rPr>
      </w:pPr>
    </w:p>
    <w:p>
      <w:r>
        <w:br w:type="page"/>
      </w:r>
    </w:p>
    <w:p>
      <w:pPr>
        <w:pStyle w:val="Odebeljeno"/>
        <w:spacing w:after="0" w:line="260" w:lineRule="auto"/>
      </w:pPr>
      <w:r>
        <w:t>IV.</w:t>
      </w:r>
      <w:r>
        <w:tab/>
      </w:r>
      <w:r>
        <w:t>PRILOGE</w:t>
      </w:r>
    </w:p>
    <w:p>
      <w:pPr>
        <w:spacing w:after="0" w:line="260" w:lineRule="auto"/>
        <w:rPr>
          <w:rFonts w:ascii="Arial" w:hAnsi="Arial" w:cs="Arial"/>
        </w:rPr>
      </w:pPr>
    </w:p>
    <w:p>
      <w:pPr>
        <w:spacing w:after="0" w:line="260" w:lineRule="auto"/>
      </w:pPr>
      <w:r>
        <w:t>Priloge niso priložene.</w:t>
      </w:r>
    </w:p>
    <w:sectPr>
      <w:footerReference w:type="default" r:id="rId4"/>
      <w:pgMar w:header="708" w:footer="708"/>
      <w:cols w:space="708"/>
    </w:sectPr>
  </w:body>
</w:document>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i/>
        <w:sz w:val="16"/>
      </w:rPr>
      <w:t>Ustvarjeno v MOPED-DOCS, 08. 10. 2026 13:54:51, verzija 6</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Theme="minorHAnsi" w:cstheme="minorBidi"/>
        <w:lang w:val="sl-SI" w:eastAsia="en-US"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3E20"/>
    <w:pPr>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DefaultParagraphFont"/>
    <w:uiPriority w:val="99"/>
    <w:unhideWhenUsed/>
    <w:rsid w:val="005C3D8F"/>
    <w:rPr>
      <w:color w:val="0000FF" w:themeColor="hyperlink"/>
      <w:u w:val="single"/>
    </w:rPr>
  </w:style>
  <w:style w:type="paragraph" w:styleId="Header">
    <w:name w:val="header"/>
    <w:basedOn w:val="Normal"/>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DefaultParagraphFont"/>
    <w:link w:val="Header"/>
    <w:uiPriority w:val="99"/>
    <w:rsid w:val="00945425"/>
  </w:style>
  <w:style w:type="paragraph" w:styleId="Footer">
    <w:name w:val="footer"/>
    <w:basedOn w:val="Normal"/>
    <w:link w:val="NogaZnak"/>
    <w:uiPriority w:val="99"/>
    <w:unhideWhenUsed/>
    <w:rsid w:val="00945425"/>
    <w:pPr>
      <w:tabs>
        <w:tab w:val="center" w:pos="4536"/>
        <w:tab w:val="right" w:pos="9072"/>
      </w:tabs>
      <w:spacing w:after="0" w:line="240" w:lineRule="auto"/>
    </w:pPr>
  </w:style>
  <w:style w:type="character" w:customStyle="1" w:styleId="NogaZnak">
    <w:name w:val="Noga Znak"/>
    <w:basedOn w:val="DefaultParagraphFont"/>
    <w:link w:val="Footer"/>
    <w:uiPriority w:val="99"/>
    <w:rsid w:val="00945425"/>
  </w:style>
  <w:style w:type="table" w:styleId="TableGrid">
    <w:name w:val="Table Grid"/>
    <w:basedOn w:val="TableNormal"/>
    <w:uiPriority w:val="39"/>
    <w:rsid w:val="000E33E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rajckaNaslovZamik">
    <w:name w:val="SrajckaNaslovZamik"/>
    <w:basedOn w:val="Normal"/>
    <w:qFormat/>
    <w:rsid w:val="000B0CD1"/>
    <w:pPr>
      <w:spacing w:after="0" w:line="240" w:lineRule="auto"/>
    </w:pPr>
    <w:rPr>
      <w:rFonts w:cs="Arial"/>
      <w:b/>
    </w:rPr>
  </w:style>
  <w:style w:type="paragraph" w:customStyle="1" w:styleId="Odebeljeno">
    <w:name w:val="Odebeljeno"/>
    <w:basedOn w:val="Normal"/>
    <w:qFormat/>
    <w:rsid w:val="0029037E"/>
    <w:pPr>
      <w:spacing w:after="0" w:line="240" w:lineRule="auto"/>
    </w:pPr>
    <w:rPr>
      <w:rFonts w:cs="Arial"/>
      <w:b/>
    </w:rPr>
  </w:style>
  <w:style w:type="paragraph" w:customStyle="1" w:styleId="DesnaPoravnava">
    <w:name w:val="DesnaPoravnava"/>
    <w:basedOn w:val="Normal"/>
    <w:qFormat/>
    <w:rsid w:val="007652EC"/>
    <w:pPr>
      <w:jc w:val="right"/>
    </w:pPr>
  </w:style>
  <w:style w:type="paragraph" w:customStyle="1" w:styleId="Podpisnik">
    <w:name w:val="Podpisnik"/>
    <w:basedOn w:val="Normal"/>
    <w:qFormat/>
    <w:rsid w:val="007651EC"/>
    <w:pPr>
      <w:widowControl w:val="0"/>
      <w:spacing w:before="0" w:after="0" w:line="260" w:lineRule="exact"/>
      <w:ind w:left="3969"/>
      <w:jc w:val="center"/>
    </w:pPr>
    <w:rPr>
      <w:b w:val="0"/>
    </w:rPr>
  </w:style>
  <w:style w:type="paragraph" w:customStyle="1" w:styleId="SredinskoOdebeljeno">
    <w:name w:val="SredinskoOdebeljeno"/>
    <w:basedOn w:val="Normal"/>
    <w:qFormat/>
    <w:rsid w:val="007652EC"/>
    <w:pPr>
      <w:spacing w:after="0" w:line="240" w:lineRule="auto"/>
      <w:jc w:val="center"/>
    </w:pPr>
    <w:rPr>
      <w:rFonts w:cs="Arial"/>
      <w:b/>
    </w:rPr>
  </w:style>
  <w:style w:type="paragraph" w:customStyle="1" w:styleId="Sredinsko">
    <w:name w:val="Sredinsko"/>
    <w:basedOn w:val="Normal"/>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TableNormal"/>
    <w:uiPriority w:val="41"/>
    <w:rsid w:val="00185854"/>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TableNormal"/>
    <w:uiPriority w:val="41"/>
    <w:rsid w:val="00185855"/>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14</Pages>
  <Words>4101</Words>
  <Characters>23382</Characters>
  <Application>Microsoft Office Word</Application>
  <DocSecurity>0</DocSecurity>
  <Lines>194</Lines>
  <Paragraphs>54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27429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zorc</cp:lastModifiedBy>
  <cp:revision>3</cp:revision>
  <dcterms:created xsi:type="dcterms:W3CDTF">2019-02-01T07:54:00Z</dcterms:created>
  <dcterms:modified xsi:type="dcterms:W3CDTF">2019-02-01T08:06:00Z</dcterms:modified>
</cp:coreProperties>
</file>