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0F6B4" w14:textId="1761316F" w:rsidR="009828E7" w:rsidRPr="00766E6F" w:rsidRDefault="009828E7" w:rsidP="00716FA8">
      <w:pPr>
        <w:autoSpaceDE w:val="0"/>
        <w:autoSpaceDN w:val="0"/>
        <w:adjustRightInd w:val="0"/>
        <w:jc w:val="both"/>
        <w:rPr>
          <w:rFonts w:cs="Arial"/>
          <w:szCs w:val="20"/>
          <w:lang w:eastAsia="sl-SI"/>
        </w:rPr>
      </w:pPr>
      <w:r w:rsidRPr="00996382">
        <w:rPr>
          <w:rFonts w:cs="Arial"/>
          <w:szCs w:val="20"/>
          <w:lang w:eastAsia="sl-SI"/>
        </w:rPr>
        <w:t>Priloga</w:t>
      </w:r>
      <w:r w:rsidR="005C56C5">
        <w:rPr>
          <w:rFonts w:cs="Arial"/>
          <w:szCs w:val="20"/>
          <w:lang w:eastAsia="sl-SI"/>
        </w:rPr>
        <w:t xml:space="preserve"> 2</w:t>
      </w:r>
      <w:r w:rsidR="00D81059">
        <w:rPr>
          <w:rFonts w:cs="Arial"/>
          <w:szCs w:val="20"/>
          <w:lang w:eastAsia="sl-SI"/>
        </w:rPr>
        <w:t>:</w:t>
      </w:r>
      <w:r w:rsidRPr="00766E6F">
        <w:rPr>
          <w:rFonts w:cs="Arial"/>
          <w:b/>
          <w:bCs/>
          <w:szCs w:val="20"/>
          <w:lang w:eastAsia="sl-SI"/>
        </w:rPr>
        <w:t xml:space="preserve"> Poročilo Komisije za odpravo posledic naravnih nesreč v kmetijstvu o porabi sredstev za odpravo posledic škode v kmetijstvu v letu 202</w:t>
      </w:r>
      <w:r w:rsidR="006B6ADF">
        <w:rPr>
          <w:rFonts w:cs="Arial"/>
          <w:b/>
          <w:bCs/>
          <w:szCs w:val="20"/>
          <w:lang w:eastAsia="sl-SI"/>
        </w:rPr>
        <w:t>5</w:t>
      </w:r>
      <w:r w:rsidRPr="00766E6F">
        <w:rPr>
          <w:rFonts w:cs="Arial"/>
          <w:b/>
          <w:bCs/>
          <w:szCs w:val="20"/>
          <w:lang w:eastAsia="sl-SI"/>
        </w:rPr>
        <w:t xml:space="preserve"> zaradi naravnih nesreč v letu 202</w:t>
      </w:r>
      <w:r w:rsidR="006B6ADF">
        <w:rPr>
          <w:rFonts w:cs="Arial"/>
          <w:b/>
          <w:bCs/>
          <w:szCs w:val="20"/>
          <w:lang w:eastAsia="sl-SI"/>
        </w:rPr>
        <w:t>4</w:t>
      </w:r>
    </w:p>
    <w:p w14:paraId="00B53EDF" w14:textId="77777777" w:rsidR="009828E7" w:rsidRPr="00766E6F" w:rsidRDefault="009828E7" w:rsidP="00716FA8">
      <w:pPr>
        <w:autoSpaceDE w:val="0"/>
        <w:autoSpaceDN w:val="0"/>
        <w:adjustRightInd w:val="0"/>
        <w:jc w:val="both"/>
        <w:rPr>
          <w:rFonts w:cs="Arial"/>
          <w:b/>
          <w:bCs/>
          <w:szCs w:val="20"/>
          <w:lang w:eastAsia="sl-SI"/>
        </w:rPr>
      </w:pPr>
    </w:p>
    <w:p w14:paraId="71850B4C" w14:textId="1267DD9C" w:rsidR="009828E7" w:rsidRPr="00C55CA2" w:rsidRDefault="009828E7" w:rsidP="000409F7">
      <w:pPr>
        <w:numPr>
          <w:ilvl w:val="0"/>
          <w:numId w:val="12"/>
        </w:numPr>
        <w:autoSpaceDE w:val="0"/>
        <w:autoSpaceDN w:val="0"/>
        <w:adjustRightInd w:val="0"/>
        <w:jc w:val="both"/>
        <w:rPr>
          <w:rFonts w:cs="Arial"/>
          <w:b/>
          <w:bCs/>
          <w:szCs w:val="20"/>
          <w:lang w:eastAsia="sl-SI"/>
        </w:rPr>
      </w:pPr>
      <w:r w:rsidRPr="00C55CA2">
        <w:rPr>
          <w:rFonts w:cs="Arial"/>
          <w:b/>
          <w:bCs/>
          <w:szCs w:val="20"/>
          <w:lang w:eastAsia="sl-SI"/>
        </w:rPr>
        <w:t xml:space="preserve">Poraba sredstev po </w:t>
      </w:r>
      <w:r w:rsidR="00154E39" w:rsidRPr="00C55CA2">
        <w:rPr>
          <w:rFonts w:cs="Arial"/>
          <w:b/>
          <w:bCs/>
          <w:szCs w:val="20"/>
          <w:lang w:eastAsia="sl-SI"/>
        </w:rPr>
        <w:t>Programu odprave posledic škode v kmetijstvu zaradi pozebe med 17. in 22. aprilom 2024</w:t>
      </w:r>
    </w:p>
    <w:p w14:paraId="79D34CC4" w14:textId="77777777" w:rsidR="00154E39" w:rsidRPr="00154E39" w:rsidRDefault="00154E39" w:rsidP="00154E39">
      <w:pPr>
        <w:autoSpaceDE w:val="0"/>
        <w:autoSpaceDN w:val="0"/>
        <w:adjustRightInd w:val="0"/>
        <w:jc w:val="both"/>
        <w:rPr>
          <w:rFonts w:cs="Arial"/>
          <w:b/>
          <w:bCs/>
          <w:szCs w:val="20"/>
          <w:lang w:eastAsia="sl-SI"/>
        </w:rPr>
      </w:pPr>
    </w:p>
    <w:p w14:paraId="180F5A1F" w14:textId="2A8143C8" w:rsidR="009828E7" w:rsidRPr="00096122" w:rsidRDefault="009828E7" w:rsidP="00716FA8">
      <w:pPr>
        <w:autoSpaceDE w:val="0"/>
        <w:autoSpaceDN w:val="0"/>
        <w:adjustRightInd w:val="0"/>
        <w:jc w:val="both"/>
        <w:rPr>
          <w:rFonts w:cs="Arial"/>
          <w:szCs w:val="20"/>
          <w:lang w:eastAsia="sl-SI"/>
        </w:rPr>
      </w:pPr>
      <w:r w:rsidRPr="00766E6F">
        <w:rPr>
          <w:rFonts w:cs="Arial"/>
          <w:szCs w:val="20"/>
          <w:lang w:eastAsia="sl-SI"/>
        </w:rPr>
        <w:t xml:space="preserve">O višini finančnih sredstev državne pomoči po </w:t>
      </w:r>
      <w:r w:rsidR="00154E39" w:rsidRPr="00154E39">
        <w:rPr>
          <w:rFonts w:cs="Arial"/>
          <w:szCs w:val="20"/>
          <w:lang w:eastAsia="sl-SI"/>
        </w:rPr>
        <w:t xml:space="preserve">Programa odprave posledic škode v kmetijstvu zaradi pozebe med 17. in 22. aprilom 2024. </w:t>
      </w:r>
      <w:r w:rsidRPr="00766E6F">
        <w:rPr>
          <w:rFonts w:cs="Arial"/>
          <w:szCs w:val="20"/>
          <w:lang w:eastAsia="sl-SI"/>
        </w:rPr>
        <w:t xml:space="preserve">(v nadaljnjem besedilu: </w:t>
      </w:r>
      <w:r w:rsidRPr="00096122">
        <w:rPr>
          <w:rFonts w:cs="Arial"/>
          <w:szCs w:val="20"/>
          <w:lang w:eastAsia="sl-SI"/>
        </w:rPr>
        <w:t>program</w:t>
      </w:r>
      <w:r w:rsidR="003459AA" w:rsidRPr="00096122">
        <w:rPr>
          <w:rFonts w:cs="Arial"/>
          <w:szCs w:val="20"/>
          <w:lang w:eastAsia="sl-SI"/>
        </w:rPr>
        <w:t>i</w:t>
      </w:r>
      <w:r w:rsidRPr="00096122">
        <w:rPr>
          <w:rFonts w:cs="Arial"/>
          <w:szCs w:val="20"/>
          <w:lang w:eastAsia="sl-SI"/>
        </w:rPr>
        <w:t xml:space="preserve">), je za posameznega oškodovanca odločala Agencija </w:t>
      </w:r>
      <w:r w:rsidR="00996382" w:rsidRPr="00096122">
        <w:rPr>
          <w:rFonts w:cs="Arial"/>
          <w:szCs w:val="20"/>
          <w:lang w:eastAsia="sl-SI"/>
        </w:rPr>
        <w:t xml:space="preserve">Republike Slovenije </w:t>
      </w:r>
      <w:r w:rsidRPr="00096122">
        <w:rPr>
          <w:rFonts w:cs="Arial"/>
          <w:szCs w:val="20"/>
          <w:lang w:eastAsia="sl-SI"/>
        </w:rPr>
        <w:t>za kmetijske trge in razvoj podeželja (v nadaljnjem besedil</w:t>
      </w:r>
      <w:r w:rsidR="00996382" w:rsidRPr="00096122">
        <w:rPr>
          <w:rFonts w:cs="Arial"/>
          <w:szCs w:val="20"/>
          <w:lang w:eastAsia="sl-SI"/>
        </w:rPr>
        <w:t>u</w:t>
      </w:r>
      <w:r w:rsidRPr="00096122">
        <w:rPr>
          <w:rFonts w:cs="Arial"/>
          <w:szCs w:val="20"/>
          <w:lang w:eastAsia="sl-SI"/>
        </w:rPr>
        <w:t>: agencija).</w:t>
      </w:r>
    </w:p>
    <w:p w14:paraId="20012650" w14:textId="77777777" w:rsidR="009828E7" w:rsidRPr="00096122" w:rsidRDefault="009828E7" w:rsidP="00716FA8">
      <w:pPr>
        <w:autoSpaceDE w:val="0"/>
        <w:autoSpaceDN w:val="0"/>
        <w:adjustRightInd w:val="0"/>
        <w:jc w:val="both"/>
        <w:rPr>
          <w:rFonts w:cs="Arial"/>
          <w:szCs w:val="20"/>
          <w:lang w:eastAsia="sl-SI"/>
        </w:rPr>
      </w:pPr>
    </w:p>
    <w:p w14:paraId="672796BD" w14:textId="7264E620" w:rsidR="009828E7" w:rsidRPr="00766E6F" w:rsidRDefault="009828E7" w:rsidP="00716FA8">
      <w:pPr>
        <w:autoSpaceDE w:val="0"/>
        <w:autoSpaceDN w:val="0"/>
        <w:adjustRightInd w:val="0"/>
        <w:jc w:val="both"/>
        <w:rPr>
          <w:rFonts w:cs="Arial"/>
          <w:szCs w:val="20"/>
          <w:lang w:eastAsia="sl-SI"/>
        </w:rPr>
      </w:pPr>
      <w:r w:rsidRPr="00096122">
        <w:rPr>
          <w:rFonts w:cs="Arial"/>
          <w:szCs w:val="20"/>
          <w:lang w:eastAsia="sl-SI"/>
        </w:rPr>
        <w:t>Agencija je odločala na podlagi podatkov iz</w:t>
      </w:r>
      <w:r w:rsidR="00D81248">
        <w:rPr>
          <w:rFonts w:cs="Arial"/>
          <w:szCs w:val="20"/>
          <w:lang w:eastAsia="sl-SI"/>
        </w:rPr>
        <w:t xml:space="preserve"> o</w:t>
      </w:r>
      <w:r w:rsidR="00D81248" w:rsidRPr="00D81248">
        <w:rPr>
          <w:rFonts w:cs="Arial"/>
          <w:szCs w:val="20"/>
          <w:lang w:eastAsia="sl-SI"/>
        </w:rPr>
        <w:t>cene neposredne škode na trajnih nasadih zaradi posledic pozebe med 17. in 22. aprilom 2024, ki jo je vlada obravnavala in potrdila na 142. redni seji dne 20. 2. 2025, pod točko 1.5 in s sklepom št. 84400-2/2025/3 (v nadaljnjem besedilu: končna ocena škode)</w:t>
      </w:r>
      <w:r w:rsidR="00625637" w:rsidRPr="00096122">
        <w:rPr>
          <w:rFonts w:cs="Arial"/>
          <w:szCs w:val="20"/>
          <w:lang w:eastAsia="sl-SI"/>
        </w:rPr>
        <w:t xml:space="preserve">, </w:t>
      </w:r>
      <w:r w:rsidRPr="00096122">
        <w:rPr>
          <w:rFonts w:cs="Arial"/>
          <w:szCs w:val="20"/>
          <w:lang w:eastAsia="sl-SI"/>
        </w:rPr>
        <w:t xml:space="preserve">ki jih je prevzela </w:t>
      </w:r>
      <w:r w:rsidR="00996382" w:rsidRPr="00096122">
        <w:rPr>
          <w:rFonts w:cs="Arial"/>
          <w:szCs w:val="20"/>
          <w:lang w:eastAsia="sl-SI"/>
        </w:rPr>
        <w:t>iz elektronske zbirke podatkov AJDA, ki jo upravlja Uprava republike Slovenije za zaščito in reševanje (v nadaljnjem besedilu: aplikacija AJDA)</w:t>
      </w:r>
      <w:r w:rsidRPr="00096122">
        <w:rPr>
          <w:rFonts w:cs="Arial"/>
          <w:szCs w:val="20"/>
          <w:lang w:eastAsia="sl-SI"/>
        </w:rPr>
        <w:t>.</w:t>
      </w:r>
    </w:p>
    <w:p w14:paraId="74CEBC08" w14:textId="77777777" w:rsidR="009828E7" w:rsidRPr="00766E6F" w:rsidRDefault="009828E7" w:rsidP="00716FA8">
      <w:pPr>
        <w:autoSpaceDE w:val="0"/>
        <w:autoSpaceDN w:val="0"/>
        <w:adjustRightInd w:val="0"/>
        <w:jc w:val="both"/>
        <w:rPr>
          <w:rFonts w:cs="Arial"/>
          <w:szCs w:val="20"/>
          <w:lang w:eastAsia="sl-SI"/>
        </w:rPr>
      </w:pPr>
    </w:p>
    <w:p w14:paraId="3F2F5992" w14:textId="7E61BCA3" w:rsidR="00D81248" w:rsidRDefault="009828E7" w:rsidP="00716FA8">
      <w:pPr>
        <w:autoSpaceDE w:val="0"/>
        <w:autoSpaceDN w:val="0"/>
        <w:adjustRightInd w:val="0"/>
        <w:jc w:val="both"/>
        <w:rPr>
          <w:rFonts w:cs="Arial"/>
          <w:szCs w:val="20"/>
          <w:lang w:eastAsia="sl-SI"/>
        </w:rPr>
      </w:pPr>
      <w:bookmarkStart w:id="0" w:name="_Hlk191294451"/>
      <w:r w:rsidRPr="00766E6F">
        <w:rPr>
          <w:rFonts w:cs="Arial"/>
          <w:bCs/>
          <w:szCs w:val="20"/>
          <w:lang w:eastAsia="sl-SI"/>
        </w:rPr>
        <w:t xml:space="preserve">Agencija je </w:t>
      </w:r>
      <w:r w:rsidRPr="00766E6F">
        <w:rPr>
          <w:rFonts w:cs="Arial"/>
          <w:szCs w:val="20"/>
          <w:lang w:eastAsia="sl-SI"/>
        </w:rPr>
        <w:t>pred izdajo odločb</w:t>
      </w:r>
      <w:r w:rsidRPr="00766E6F">
        <w:rPr>
          <w:rFonts w:cs="Arial"/>
          <w:bCs/>
          <w:szCs w:val="20"/>
          <w:lang w:eastAsia="sl-SI"/>
        </w:rPr>
        <w:t xml:space="preserve"> Komisiji za odpravo posledic škode v kmetijstvu</w:t>
      </w:r>
      <w:r w:rsidR="00625637">
        <w:rPr>
          <w:rFonts w:cs="Arial"/>
          <w:bCs/>
          <w:szCs w:val="20"/>
          <w:lang w:eastAsia="sl-SI"/>
        </w:rPr>
        <w:t xml:space="preserve"> (v nadaljnjem besedilu: komisija)</w:t>
      </w:r>
      <w:r w:rsidRPr="00766E6F">
        <w:rPr>
          <w:rFonts w:cs="Arial"/>
          <w:bCs/>
          <w:szCs w:val="20"/>
          <w:lang w:eastAsia="sl-SI"/>
        </w:rPr>
        <w:t xml:space="preserve"> v potrditev predložila </w:t>
      </w:r>
      <w:r w:rsidRPr="00766E6F">
        <w:rPr>
          <w:rFonts w:cs="Arial"/>
          <w:szCs w:val="20"/>
          <w:lang w:eastAsia="sl-SI"/>
        </w:rPr>
        <w:t xml:space="preserve">predlog dodelitve pomoči za posamezne upravičence po programu. Komisija je predlog dodelitve pomoči potrdila na </w:t>
      </w:r>
      <w:r w:rsidRPr="00096122">
        <w:rPr>
          <w:rFonts w:cs="Arial"/>
          <w:szCs w:val="20"/>
          <w:lang w:eastAsia="sl-SI"/>
        </w:rPr>
        <w:t xml:space="preserve">svoji </w:t>
      </w:r>
      <w:r w:rsidR="00D81248">
        <w:rPr>
          <w:rFonts w:cs="Arial"/>
          <w:szCs w:val="20"/>
          <w:lang w:eastAsia="sl-SI"/>
        </w:rPr>
        <w:t>3</w:t>
      </w:r>
      <w:r w:rsidR="00996382" w:rsidRPr="00096122">
        <w:rPr>
          <w:rFonts w:cs="Arial"/>
          <w:szCs w:val="20"/>
          <w:lang w:eastAsia="sl-SI"/>
        </w:rPr>
        <w:t>.</w:t>
      </w:r>
      <w:r w:rsidRPr="00096122">
        <w:rPr>
          <w:rFonts w:cs="Arial"/>
          <w:szCs w:val="20"/>
          <w:lang w:eastAsia="sl-SI"/>
        </w:rPr>
        <w:t xml:space="preserve"> dopisni seji, ki je trajala od </w:t>
      </w:r>
      <w:r w:rsidR="00D81248" w:rsidRPr="00D81248">
        <w:rPr>
          <w:rFonts w:cs="Arial"/>
          <w:szCs w:val="20"/>
          <w:lang w:eastAsia="sl-SI"/>
        </w:rPr>
        <w:t>srede 22.</w:t>
      </w:r>
      <w:r w:rsidR="00C55CA2">
        <w:rPr>
          <w:rFonts w:cs="Arial"/>
          <w:szCs w:val="20"/>
          <w:lang w:eastAsia="sl-SI"/>
        </w:rPr>
        <w:t> </w:t>
      </w:r>
      <w:r w:rsidR="00D81248" w:rsidRPr="00D81248">
        <w:rPr>
          <w:rFonts w:cs="Arial"/>
          <w:szCs w:val="20"/>
          <w:lang w:eastAsia="sl-SI"/>
        </w:rPr>
        <w:t>10.</w:t>
      </w:r>
      <w:r w:rsidR="00C55CA2">
        <w:rPr>
          <w:rFonts w:cs="Arial"/>
          <w:szCs w:val="20"/>
          <w:lang w:eastAsia="sl-SI"/>
        </w:rPr>
        <w:t xml:space="preserve"> </w:t>
      </w:r>
      <w:r w:rsidR="00D81248" w:rsidRPr="00D81248">
        <w:rPr>
          <w:rFonts w:cs="Arial"/>
          <w:szCs w:val="20"/>
          <w:lang w:eastAsia="sl-SI"/>
        </w:rPr>
        <w:t>2025 od 10.00 ure do četrtka 23.</w:t>
      </w:r>
      <w:r w:rsidR="00C55CA2">
        <w:rPr>
          <w:rFonts w:cs="Arial"/>
          <w:szCs w:val="20"/>
          <w:lang w:eastAsia="sl-SI"/>
        </w:rPr>
        <w:t> </w:t>
      </w:r>
      <w:r w:rsidR="00D81248" w:rsidRPr="00D81248">
        <w:rPr>
          <w:rFonts w:cs="Arial"/>
          <w:szCs w:val="20"/>
          <w:lang w:eastAsia="sl-SI"/>
        </w:rPr>
        <w:t>10.</w:t>
      </w:r>
      <w:r w:rsidR="00C55CA2">
        <w:rPr>
          <w:rFonts w:cs="Arial"/>
          <w:szCs w:val="20"/>
          <w:lang w:eastAsia="sl-SI"/>
        </w:rPr>
        <w:t> </w:t>
      </w:r>
      <w:r w:rsidR="00D81248" w:rsidRPr="00D81248">
        <w:rPr>
          <w:rFonts w:cs="Arial"/>
          <w:szCs w:val="20"/>
          <w:lang w:eastAsia="sl-SI"/>
        </w:rPr>
        <w:t>2025 do 15.00 ure</w:t>
      </w:r>
      <w:r w:rsidR="00D81248">
        <w:rPr>
          <w:rFonts w:cs="Arial"/>
          <w:szCs w:val="20"/>
          <w:lang w:eastAsia="sl-SI"/>
        </w:rPr>
        <w:t>.</w:t>
      </w:r>
    </w:p>
    <w:p w14:paraId="1838662B" w14:textId="77777777" w:rsidR="00D81248" w:rsidRDefault="00D81248" w:rsidP="00716FA8">
      <w:pPr>
        <w:autoSpaceDE w:val="0"/>
        <w:autoSpaceDN w:val="0"/>
        <w:adjustRightInd w:val="0"/>
        <w:jc w:val="both"/>
        <w:rPr>
          <w:rFonts w:cs="Arial"/>
          <w:szCs w:val="20"/>
          <w:lang w:eastAsia="sl-SI"/>
        </w:rPr>
      </w:pPr>
    </w:p>
    <w:bookmarkEnd w:id="0"/>
    <w:p w14:paraId="2663EB0F" w14:textId="77777777" w:rsidR="00D81248" w:rsidRDefault="009828E7" w:rsidP="00716FA8">
      <w:pPr>
        <w:autoSpaceDE w:val="0"/>
        <w:autoSpaceDN w:val="0"/>
        <w:adjustRightInd w:val="0"/>
        <w:jc w:val="both"/>
        <w:rPr>
          <w:rFonts w:cs="Arial"/>
          <w:szCs w:val="20"/>
          <w:lang w:eastAsia="sl-SI"/>
        </w:rPr>
      </w:pPr>
      <w:r w:rsidRPr="00766E6F">
        <w:rPr>
          <w:rFonts w:cs="Arial"/>
          <w:szCs w:val="20"/>
          <w:lang w:eastAsia="sl-SI"/>
        </w:rPr>
        <w:t>Državna pomoč se je upravičencem izplačala na podlagi programa</w:t>
      </w:r>
      <w:r w:rsidR="003459AA" w:rsidRPr="00766E6F">
        <w:rPr>
          <w:rFonts w:cs="Arial"/>
          <w:szCs w:val="20"/>
          <w:lang w:eastAsia="sl-SI"/>
        </w:rPr>
        <w:t xml:space="preserve"> </w:t>
      </w:r>
      <w:r w:rsidRPr="00766E6F">
        <w:rPr>
          <w:rFonts w:cs="Arial"/>
          <w:szCs w:val="20"/>
          <w:lang w:eastAsia="sl-SI"/>
        </w:rPr>
        <w:t xml:space="preserve">in </w:t>
      </w:r>
      <w:r w:rsidR="00625637">
        <w:rPr>
          <w:rFonts w:cs="Arial"/>
          <w:szCs w:val="20"/>
          <w:lang w:eastAsia="sl-SI"/>
        </w:rPr>
        <w:t xml:space="preserve">po </w:t>
      </w:r>
      <w:r w:rsidRPr="00766E6F">
        <w:rPr>
          <w:rFonts w:cs="Arial"/>
          <w:szCs w:val="20"/>
          <w:lang w:eastAsia="sl-SI"/>
        </w:rPr>
        <w:t>pridobitv</w:t>
      </w:r>
      <w:r w:rsidR="00625637">
        <w:rPr>
          <w:rFonts w:cs="Arial"/>
          <w:szCs w:val="20"/>
          <w:lang w:eastAsia="sl-SI"/>
        </w:rPr>
        <w:t>i</w:t>
      </w:r>
      <w:r w:rsidRPr="00766E6F">
        <w:rPr>
          <w:rFonts w:cs="Arial"/>
          <w:szCs w:val="20"/>
          <w:lang w:eastAsia="sl-SI"/>
        </w:rPr>
        <w:t xml:space="preserve"> </w:t>
      </w:r>
    </w:p>
    <w:p w14:paraId="60E760AC" w14:textId="77777777" w:rsidR="00D81248" w:rsidRDefault="00D81248" w:rsidP="00D81248">
      <w:pPr>
        <w:pStyle w:val="Odstavekseznama"/>
        <w:numPr>
          <w:ilvl w:val="0"/>
          <w:numId w:val="14"/>
        </w:numPr>
        <w:autoSpaceDE w:val="0"/>
        <w:autoSpaceDN w:val="0"/>
        <w:adjustRightInd w:val="0"/>
        <w:jc w:val="both"/>
        <w:rPr>
          <w:rFonts w:cs="Arial"/>
          <w:szCs w:val="20"/>
          <w:lang w:eastAsia="sl-SI"/>
        </w:rPr>
      </w:pPr>
      <w:r>
        <w:rPr>
          <w:rFonts w:cs="Arial"/>
          <w:szCs w:val="20"/>
          <w:lang w:eastAsia="sl-SI"/>
        </w:rPr>
        <w:t>o</w:t>
      </w:r>
      <w:r w:rsidRPr="00D81248">
        <w:rPr>
          <w:rFonts w:cs="Arial"/>
          <w:szCs w:val="20"/>
          <w:lang w:eastAsia="sl-SI"/>
        </w:rPr>
        <w:t>bvestil</w:t>
      </w:r>
      <w:r>
        <w:rPr>
          <w:rFonts w:cs="Arial"/>
          <w:szCs w:val="20"/>
          <w:lang w:eastAsia="sl-SI"/>
        </w:rPr>
        <w:t>a</w:t>
      </w:r>
      <w:r w:rsidRPr="00D81248">
        <w:rPr>
          <w:rFonts w:cs="Arial"/>
          <w:szCs w:val="20"/>
          <w:lang w:eastAsia="sl-SI"/>
        </w:rPr>
        <w:t xml:space="preserve"> o prejemu povzetka podatkov in izdaji identifikacijske številke sheme pomoči za škodo v primarni kmetijski proizvodnji zaradi pozebe leta 2024 za mikro, mala in srednje velika podjetja</w:t>
      </w:r>
      <w:r>
        <w:rPr>
          <w:rFonts w:cs="Arial"/>
          <w:szCs w:val="20"/>
          <w:lang w:eastAsia="sl-SI"/>
        </w:rPr>
        <w:t>, ki je objavljeno na spletni strani:</w:t>
      </w:r>
    </w:p>
    <w:p w14:paraId="0A2CAFE5" w14:textId="4C1459F2" w:rsidR="00D81248" w:rsidRPr="00D81248" w:rsidRDefault="00D81248" w:rsidP="00D81248">
      <w:pPr>
        <w:autoSpaceDE w:val="0"/>
        <w:autoSpaceDN w:val="0"/>
        <w:adjustRightInd w:val="0"/>
        <w:jc w:val="both"/>
        <w:rPr>
          <w:rFonts w:cs="Arial"/>
          <w:szCs w:val="20"/>
          <w:lang w:eastAsia="sl-SI"/>
        </w:rPr>
      </w:pPr>
      <w:hyperlink r:id="rId7" w:history="1">
        <w:r w:rsidRPr="00015B14">
          <w:rPr>
            <w:rStyle w:val="Hiperpovezava"/>
            <w:rFonts w:cs="Arial"/>
            <w:szCs w:val="20"/>
            <w:lang w:eastAsia="sl-SI"/>
          </w:rPr>
          <w:t>https://www.gov.si/novice/2025-06-18-obvestilo-evropske-komisije-o-izvajanju-sheme-pomoci/</w:t>
        </w:r>
      </w:hyperlink>
      <w:r w:rsidRPr="00D81248">
        <w:rPr>
          <w:rFonts w:cs="Arial"/>
          <w:szCs w:val="20"/>
          <w:lang w:eastAsia="sl-SI"/>
        </w:rPr>
        <w:t xml:space="preserve"> in</w:t>
      </w:r>
    </w:p>
    <w:p w14:paraId="448B2F02" w14:textId="77777777" w:rsidR="00D81248" w:rsidRDefault="00D81248" w:rsidP="00D81248">
      <w:pPr>
        <w:pStyle w:val="Odstavekseznama"/>
        <w:numPr>
          <w:ilvl w:val="0"/>
          <w:numId w:val="14"/>
        </w:numPr>
        <w:autoSpaceDE w:val="0"/>
        <w:autoSpaceDN w:val="0"/>
        <w:adjustRightInd w:val="0"/>
        <w:jc w:val="both"/>
        <w:rPr>
          <w:rFonts w:cs="Arial"/>
          <w:szCs w:val="20"/>
          <w:lang w:eastAsia="sl-SI"/>
        </w:rPr>
      </w:pPr>
      <w:r>
        <w:rPr>
          <w:rFonts w:cs="Arial"/>
          <w:szCs w:val="20"/>
          <w:lang w:eastAsia="sl-SI"/>
        </w:rPr>
        <w:t>o</w:t>
      </w:r>
      <w:r w:rsidRPr="00D81248">
        <w:rPr>
          <w:rFonts w:cs="Arial"/>
          <w:szCs w:val="20"/>
          <w:lang w:eastAsia="sl-SI"/>
        </w:rPr>
        <w:t>bvestil</w:t>
      </w:r>
      <w:r>
        <w:rPr>
          <w:rFonts w:cs="Arial"/>
          <w:szCs w:val="20"/>
          <w:lang w:eastAsia="sl-SI"/>
        </w:rPr>
        <w:t>a</w:t>
      </w:r>
      <w:r w:rsidRPr="00D81248">
        <w:rPr>
          <w:rFonts w:cs="Arial"/>
          <w:szCs w:val="20"/>
          <w:lang w:eastAsia="sl-SI"/>
        </w:rPr>
        <w:t xml:space="preserve"> o prejemu odločitve Evropske komisije o združljivosti sheme pomoči velikim podjetjem za škodo v primarni kmetijski proizvodnji zaradi pozebe leta 2024</w:t>
      </w:r>
      <w:r>
        <w:rPr>
          <w:rFonts w:cs="Arial"/>
          <w:szCs w:val="20"/>
          <w:lang w:eastAsia="sl-SI"/>
        </w:rPr>
        <w:t>.</w:t>
      </w:r>
    </w:p>
    <w:p w14:paraId="496DD61A" w14:textId="0B0FAEDB" w:rsidR="00D81248" w:rsidRPr="00D81248" w:rsidRDefault="00D81248" w:rsidP="00D81248">
      <w:pPr>
        <w:autoSpaceDE w:val="0"/>
        <w:autoSpaceDN w:val="0"/>
        <w:adjustRightInd w:val="0"/>
        <w:jc w:val="both"/>
        <w:rPr>
          <w:rFonts w:cs="Arial"/>
          <w:szCs w:val="20"/>
          <w:lang w:eastAsia="sl-SI"/>
        </w:rPr>
      </w:pPr>
      <w:hyperlink r:id="rId8" w:history="1">
        <w:r w:rsidRPr="00015B14">
          <w:rPr>
            <w:rStyle w:val="Hiperpovezava"/>
            <w:rFonts w:cs="Arial"/>
            <w:szCs w:val="20"/>
            <w:lang w:eastAsia="sl-SI"/>
          </w:rPr>
          <w:t>https://www.gov.si/novice/2025-11-14-obvestilo-evropske-komisije-o-izvajanju-sheme-pomoci/</w:t>
        </w:r>
      </w:hyperlink>
      <w:r w:rsidRPr="00D81248">
        <w:rPr>
          <w:rFonts w:cs="Arial"/>
          <w:szCs w:val="20"/>
          <w:lang w:eastAsia="sl-SI"/>
        </w:rPr>
        <w:t xml:space="preserve"> </w:t>
      </w:r>
    </w:p>
    <w:p w14:paraId="22185A69" w14:textId="77777777" w:rsidR="00D81248" w:rsidRDefault="00D81248" w:rsidP="00716FA8">
      <w:pPr>
        <w:autoSpaceDE w:val="0"/>
        <w:autoSpaceDN w:val="0"/>
        <w:adjustRightInd w:val="0"/>
        <w:jc w:val="both"/>
        <w:rPr>
          <w:rFonts w:cs="Arial"/>
          <w:szCs w:val="20"/>
          <w:lang w:eastAsia="sl-SI"/>
        </w:rPr>
      </w:pPr>
    </w:p>
    <w:p w14:paraId="6EA518B7" w14:textId="5D0286F4" w:rsidR="00174809" w:rsidRDefault="009828E7" w:rsidP="00174809">
      <w:pPr>
        <w:autoSpaceDE w:val="0"/>
        <w:autoSpaceDN w:val="0"/>
        <w:adjustRightInd w:val="0"/>
        <w:jc w:val="both"/>
        <w:rPr>
          <w:rFonts w:cs="Arial"/>
          <w:szCs w:val="20"/>
          <w:lang w:eastAsia="sl-SI"/>
        </w:rPr>
      </w:pPr>
      <w:r w:rsidRPr="00766E6F">
        <w:rPr>
          <w:rFonts w:cs="Arial"/>
          <w:szCs w:val="20"/>
          <w:lang w:eastAsia="sl-SI"/>
        </w:rPr>
        <w:t>Za dodelitev državne pomoči so bila</w:t>
      </w:r>
      <w:r w:rsidR="00625637">
        <w:rPr>
          <w:rFonts w:cs="Arial"/>
          <w:szCs w:val="20"/>
          <w:lang w:eastAsia="sl-SI"/>
        </w:rPr>
        <w:t xml:space="preserve"> v letu 202</w:t>
      </w:r>
      <w:r w:rsidR="00D81248">
        <w:rPr>
          <w:rFonts w:cs="Arial"/>
          <w:szCs w:val="20"/>
          <w:lang w:eastAsia="sl-SI"/>
        </w:rPr>
        <w:t>5</w:t>
      </w:r>
      <w:r w:rsidRPr="00766E6F">
        <w:rPr>
          <w:rFonts w:cs="Arial"/>
          <w:szCs w:val="20"/>
          <w:lang w:eastAsia="sl-SI"/>
        </w:rPr>
        <w:t xml:space="preserve"> zagotovljena sredstva </w:t>
      </w:r>
      <w:r w:rsidR="00027B4A">
        <w:rPr>
          <w:rFonts w:cs="Arial"/>
          <w:szCs w:val="20"/>
          <w:lang w:eastAsia="sl-SI"/>
        </w:rPr>
        <w:t xml:space="preserve">proračunske rezerve </w:t>
      </w:r>
      <w:r w:rsidRPr="00766E6F">
        <w:rPr>
          <w:rFonts w:cs="Arial"/>
          <w:szCs w:val="20"/>
          <w:lang w:eastAsia="sl-SI"/>
        </w:rPr>
        <w:t xml:space="preserve">v višini do </w:t>
      </w:r>
      <w:r w:rsidR="00D81248">
        <w:rPr>
          <w:rFonts w:cs="Arial"/>
          <w:szCs w:val="20"/>
          <w:lang w:eastAsia="sl-SI"/>
        </w:rPr>
        <w:t>3</w:t>
      </w:r>
      <w:r w:rsidRPr="00766E6F">
        <w:rPr>
          <w:rFonts w:cs="Arial"/>
          <w:szCs w:val="20"/>
          <w:lang w:eastAsia="sl-SI"/>
        </w:rPr>
        <w:t>.</w:t>
      </w:r>
      <w:r w:rsidR="00D81248">
        <w:rPr>
          <w:rFonts w:cs="Arial"/>
          <w:szCs w:val="20"/>
          <w:lang w:eastAsia="sl-SI"/>
        </w:rPr>
        <w:t>5</w:t>
      </w:r>
      <w:r w:rsidRPr="00766E6F">
        <w:rPr>
          <w:rFonts w:cs="Arial"/>
          <w:szCs w:val="20"/>
          <w:lang w:eastAsia="sl-SI"/>
        </w:rPr>
        <w:t xml:space="preserve">00.000 evrov </w:t>
      </w:r>
      <w:bookmarkStart w:id="1" w:name="_Hlk147834287"/>
      <w:r w:rsidRPr="00766E6F">
        <w:rPr>
          <w:rFonts w:cs="Arial"/>
          <w:szCs w:val="20"/>
          <w:lang w:eastAsia="sl-SI"/>
        </w:rPr>
        <w:t>na proračunski postavki</w:t>
      </w:r>
      <w:r w:rsidR="00174809" w:rsidRPr="00766E6F">
        <w:rPr>
          <w:rFonts w:cs="Arial"/>
          <w:szCs w:val="20"/>
          <w:lang w:eastAsia="sl-SI"/>
        </w:rPr>
        <w:t xml:space="preserve"> </w:t>
      </w:r>
      <w:r w:rsidR="00174809" w:rsidRPr="007928A7">
        <w:rPr>
          <w:rFonts w:cs="Arial"/>
          <w:szCs w:val="20"/>
          <w:lang w:eastAsia="sl-SI"/>
        </w:rPr>
        <w:t xml:space="preserve">10266 MKGP - Programi odprave posledic </w:t>
      </w:r>
      <w:r w:rsidR="00174809" w:rsidRPr="007E4620">
        <w:rPr>
          <w:rFonts w:cs="Arial"/>
          <w:szCs w:val="20"/>
          <w:lang w:eastAsia="sl-SI"/>
        </w:rPr>
        <w:t>nesreč - pozeba</w:t>
      </w:r>
      <w:r w:rsidR="001D42F0" w:rsidRPr="001D42F0">
        <w:rPr>
          <w:rFonts w:cs="Arial"/>
          <w:szCs w:val="20"/>
          <w:lang w:eastAsia="sl-SI"/>
        </w:rPr>
        <w:t xml:space="preserve"> 17.-22. april 2024</w:t>
      </w:r>
      <w:r w:rsidR="00174809" w:rsidRPr="007E4620">
        <w:rPr>
          <w:rFonts w:cs="Arial"/>
          <w:szCs w:val="20"/>
          <w:lang w:eastAsia="sl-SI"/>
        </w:rPr>
        <w:t xml:space="preserve">, </w:t>
      </w:r>
      <w:r w:rsidR="001D42F0">
        <w:rPr>
          <w:rFonts w:cs="Arial"/>
          <w:szCs w:val="20"/>
          <w:lang w:eastAsia="sl-SI"/>
        </w:rPr>
        <w:t>projekt</w:t>
      </w:r>
      <w:r w:rsidR="001D42F0" w:rsidRPr="007E4620">
        <w:rPr>
          <w:rFonts w:cs="Arial"/>
          <w:szCs w:val="20"/>
          <w:lang w:eastAsia="sl-SI"/>
        </w:rPr>
        <w:t xml:space="preserve"> </w:t>
      </w:r>
      <w:r w:rsidR="00174809" w:rsidRPr="007E4620">
        <w:rPr>
          <w:rFonts w:cs="Arial"/>
          <w:szCs w:val="20"/>
          <w:lang w:eastAsia="sl-SI"/>
        </w:rPr>
        <w:t>2330</w:t>
      </w:r>
      <w:r w:rsidR="00174809" w:rsidRPr="007928A7">
        <w:rPr>
          <w:rFonts w:cs="Arial"/>
          <w:szCs w:val="20"/>
          <w:lang w:eastAsia="sl-SI"/>
        </w:rPr>
        <w:t>-25-0039 Izpad dohodka - pozeba 2024</w:t>
      </w:r>
      <w:r w:rsidR="00174809">
        <w:rPr>
          <w:rFonts w:cs="Arial"/>
          <w:szCs w:val="20"/>
          <w:lang w:eastAsia="sl-SI"/>
        </w:rPr>
        <w:t>. Podrobnejša razdelitev sredstev po namenu je predstavljena v preglednici 1.</w:t>
      </w:r>
    </w:p>
    <w:p w14:paraId="4EB215FF" w14:textId="77777777" w:rsidR="00174809" w:rsidRPr="00766E6F" w:rsidRDefault="00174809" w:rsidP="00174809">
      <w:pPr>
        <w:autoSpaceDE w:val="0"/>
        <w:autoSpaceDN w:val="0"/>
        <w:adjustRightInd w:val="0"/>
        <w:jc w:val="both"/>
        <w:rPr>
          <w:rFonts w:cs="Arial"/>
          <w:szCs w:val="20"/>
          <w:lang w:eastAsia="sl-SI"/>
        </w:rPr>
      </w:pPr>
    </w:p>
    <w:p w14:paraId="2102B8AC" w14:textId="77777777" w:rsidR="00174809" w:rsidRDefault="00174809" w:rsidP="00174809">
      <w:pPr>
        <w:autoSpaceDE w:val="0"/>
        <w:autoSpaceDN w:val="0"/>
        <w:adjustRightInd w:val="0"/>
        <w:jc w:val="both"/>
        <w:rPr>
          <w:rFonts w:cs="Arial"/>
          <w:bCs/>
          <w:szCs w:val="20"/>
          <w:lang w:eastAsia="sl-SI"/>
        </w:rPr>
      </w:pPr>
      <w:r>
        <w:rPr>
          <w:rFonts w:cs="Arial"/>
          <w:bCs/>
          <w:szCs w:val="20"/>
          <w:lang w:eastAsia="sl-SI"/>
        </w:rPr>
        <w:t>Preglednica 1: Razdelitev sredstev programa po namenu</w:t>
      </w:r>
    </w:p>
    <w:tbl>
      <w:tblPr>
        <w:tblStyle w:val="Tabela-mrea111"/>
        <w:tblW w:w="0" w:type="auto"/>
        <w:tblLook w:val="01E0" w:firstRow="1" w:lastRow="1" w:firstColumn="1" w:lastColumn="1" w:noHBand="0" w:noVBand="0"/>
      </w:tblPr>
      <w:tblGrid>
        <w:gridCol w:w="4957"/>
        <w:gridCol w:w="3407"/>
      </w:tblGrid>
      <w:tr w:rsidR="00174809" w:rsidRPr="00D42202" w14:paraId="520E1673" w14:textId="77777777" w:rsidTr="00DD2F47">
        <w:tc>
          <w:tcPr>
            <w:tcW w:w="4957" w:type="dxa"/>
          </w:tcPr>
          <w:p w14:paraId="00735A95" w14:textId="77777777" w:rsidR="00174809" w:rsidRPr="00D42202" w:rsidRDefault="00174809" w:rsidP="00DD2F47">
            <w:pPr>
              <w:keepNext/>
              <w:keepLines/>
              <w:rPr>
                <w:rFonts w:cs="Arial"/>
                <w:b/>
                <w:szCs w:val="20"/>
              </w:rPr>
            </w:pPr>
            <w:r w:rsidRPr="00D42202">
              <w:rPr>
                <w:rFonts w:cs="Arial"/>
                <w:b/>
                <w:szCs w:val="20"/>
              </w:rPr>
              <w:t>Namen</w:t>
            </w:r>
          </w:p>
        </w:tc>
        <w:tc>
          <w:tcPr>
            <w:tcW w:w="3407" w:type="dxa"/>
          </w:tcPr>
          <w:p w14:paraId="6466AD2A" w14:textId="77777777" w:rsidR="00174809" w:rsidRPr="00D42202" w:rsidRDefault="00174809" w:rsidP="00DD2F47">
            <w:pPr>
              <w:keepNext/>
              <w:keepLines/>
              <w:rPr>
                <w:rFonts w:cs="Arial"/>
                <w:b/>
                <w:szCs w:val="20"/>
              </w:rPr>
            </w:pPr>
            <w:r w:rsidRPr="00D42202">
              <w:rPr>
                <w:rFonts w:cs="Arial"/>
                <w:b/>
                <w:szCs w:val="20"/>
              </w:rPr>
              <w:t>Višina sredstev v letu 2025 (EUR)</w:t>
            </w:r>
          </w:p>
        </w:tc>
      </w:tr>
      <w:tr w:rsidR="00174809" w:rsidRPr="00D42202" w14:paraId="1188D543" w14:textId="77777777" w:rsidTr="00DD2F47">
        <w:trPr>
          <w:trHeight w:val="295"/>
        </w:trPr>
        <w:tc>
          <w:tcPr>
            <w:tcW w:w="4957" w:type="dxa"/>
          </w:tcPr>
          <w:p w14:paraId="01801831" w14:textId="77777777" w:rsidR="00174809" w:rsidRPr="00D42202" w:rsidRDefault="00174809" w:rsidP="00DD2F47">
            <w:pPr>
              <w:keepNext/>
              <w:keepLines/>
              <w:rPr>
                <w:rFonts w:cs="Arial"/>
                <w:szCs w:val="20"/>
              </w:rPr>
            </w:pPr>
            <w:r w:rsidRPr="00D42202">
              <w:rPr>
                <w:rFonts w:cs="Arial"/>
                <w:szCs w:val="20"/>
              </w:rPr>
              <w:t>Državna pomoč za pozeb</w:t>
            </w:r>
            <w:r>
              <w:rPr>
                <w:rFonts w:cs="Arial"/>
                <w:szCs w:val="20"/>
              </w:rPr>
              <w:t>o</w:t>
            </w:r>
          </w:p>
        </w:tc>
        <w:tc>
          <w:tcPr>
            <w:tcW w:w="3407" w:type="dxa"/>
          </w:tcPr>
          <w:p w14:paraId="2A2CBE2F" w14:textId="77777777" w:rsidR="00174809" w:rsidRPr="00D42202" w:rsidRDefault="00174809" w:rsidP="00DD2F47">
            <w:pPr>
              <w:keepNext/>
              <w:keepLines/>
              <w:ind w:right="357"/>
              <w:jc w:val="right"/>
              <w:rPr>
                <w:rFonts w:cs="Arial"/>
                <w:szCs w:val="20"/>
                <w:lang w:eastAsia="zh-CN"/>
              </w:rPr>
            </w:pPr>
            <w:r w:rsidRPr="00D42202">
              <w:rPr>
                <w:rFonts w:cs="Arial"/>
                <w:szCs w:val="20"/>
                <w:lang w:eastAsia="zh-CN"/>
              </w:rPr>
              <w:t>3.498.467,11</w:t>
            </w:r>
          </w:p>
        </w:tc>
      </w:tr>
      <w:tr w:rsidR="00174809" w:rsidRPr="00D42202" w14:paraId="225095C1" w14:textId="77777777" w:rsidTr="00DD2F47">
        <w:trPr>
          <w:trHeight w:val="317"/>
        </w:trPr>
        <w:tc>
          <w:tcPr>
            <w:tcW w:w="4957" w:type="dxa"/>
          </w:tcPr>
          <w:p w14:paraId="496A358E" w14:textId="77777777" w:rsidR="00174809" w:rsidRPr="00D42202" w:rsidRDefault="00174809" w:rsidP="00DD2F47">
            <w:pPr>
              <w:keepNext/>
              <w:keepLines/>
              <w:rPr>
                <w:rFonts w:cs="Arial"/>
                <w:szCs w:val="20"/>
              </w:rPr>
            </w:pPr>
            <w:r w:rsidRPr="00D42202">
              <w:rPr>
                <w:rFonts w:cs="Arial"/>
                <w:szCs w:val="20"/>
              </w:rPr>
              <w:t>Stroški obdelave vlog</w:t>
            </w:r>
          </w:p>
        </w:tc>
        <w:tc>
          <w:tcPr>
            <w:tcW w:w="3407" w:type="dxa"/>
          </w:tcPr>
          <w:p w14:paraId="0A95725A" w14:textId="77777777" w:rsidR="00174809" w:rsidRPr="00D42202" w:rsidRDefault="00174809" w:rsidP="00DD2F47">
            <w:pPr>
              <w:keepNext/>
              <w:keepLines/>
              <w:ind w:right="357"/>
              <w:jc w:val="right"/>
              <w:rPr>
                <w:rFonts w:cs="Arial"/>
                <w:szCs w:val="20"/>
                <w:lang w:eastAsia="zh-CN"/>
              </w:rPr>
            </w:pPr>
            <w:r w:rsidRPr="00D42202">
              <w:rPr>
                <w:rFonts w:cs="Arial"/>
                <w:szCs w:val="20"/>
                <w:lang w:eastAsia="zh-CN"/>
              </w:rPr>
              <w:t>1.532,89</w:t>
            </w:r>
          </w:p>
        </w:tc>
      </w:tr>
      <w:tr w:rsidR="00174809" w:rsidRPr="00D42202" w14:paraId="59E0227F" w14:textId="77777777" w:rsidTr="00DD2F47">
        <w:trPr>
          <w:trHeight w:val="325"/>
        </w:trPr>
        <w:tc>
          <w:tcPr>
            <w:tcW w:w="4957" w:type="dxa"/>
          </w:tcPr>
          <w:p w14:paraId="088DC34A" w14:textId="77777777" w:rsidR="00174809" w:rsidRPr="00D42202" w:rsidRDefault="00174809" w:rsidP="00DD2F47">
            <w:pPr>
              <w:keepNext/>
              <w:keepLines/>
              <w:rPr>
                <w:rFonts w:cs="Arial"/>
                <w:b/>
                <w:szCs w:val="20"/>
              </w:rPr>
            </w:pPr>
            <w:r w:rsidRPr="00D42202">
              <w:rPr>
                <w:rFonts w:cs="Arial"/>
                <w:b/>
                <w:szCs w:val="20"/>
              </w:rPr>
              <w:t>SKUPAJ</w:t>
            </w:r>
          </w:p>
        </w:tc>
        <w:tc>
          <w:tcPr>
            <w:tcW w:w="3407" w:type="dxa"/>
          </w:tcPr>
          <w:p w14:paraId="4189ADDF" w14:textId="77777777" w:rsidR="00174809" w:rsidRPr="00D42202" w:rsidRDefault="00174809" w:rsidP="00DD2F47">
            <w:pPr>
              <w:keepNext/>
              <w:keepLines/>
              <w:ind w:right="357"/>
              <w:jc w:val="right"/>
              <w:rPr>
                <w:rFonts w:cs="Arial"/>
                <w:b/>
                <w:bCs/>
                <w:szCs w:val="20"/>
              </w:rPr>
            </w:pPr>
            <w:r w:rsidRPr="00D42202">
              <w:rPr>
                <w:rFonts w:cs="Arial"/>
                <w:b/>
                <w:bCs/>
                <w:szCs w:val="20"/>
              </w:rPr>
              <w:t>3.500.000</w:t>
            </w:r>
          </w:p>
        </w:tc>
      </w:tr>
    </w:tbl>
    <w:p w14:paraId="06983DDA" w14:textId="79D9844C" w:rsidR="00174809" w:rsidRPr="001C3473" w:rsidRDefault="00174809" w:rsidP="00174809">
      <w:pPr>
        <w:autoSpaceDE w:val="0"/>
        <w:autoSpaceDN w:val="0"/>
        <w:adjustRightInd w:val="0"/>
        <w:jc w:val="both"/>
        <w:rPr>
          <w:rFonts w:cs="Arial"/>
          <w:bCs/>
          <w:sz w:val="18"/>
          <w:szCs w:val="18"/>
          <w:lang w:eastAsia="sl-SI"/>
        </w:rPr>
      </w:pPr>
      <w:r w:rsidRPr="001C3473">
        <w:rPr>
          <w:rFonts w:cs="Arial"/>
          <w:bCs/>
          <w:sz w:val="18"/>
          <w:szCs w:val="18"/>
          <w:lang w:eastAsia="sl-SI"/>
        </w:rPr>
        <w:t>Vir: M</w:t>
      </w:r>
      <w:r>
        <w:rPr>
          <w:rFonts w:cs="Arial"/>
          <w:bCs/>
          <w:sz w:val="18"/>
          <w:szCs w:val="18"/>
          <w:lang w:eastAsia="sl-SI"/>
        </w:rPr>
        <w:t xml:space="preserve">inistrstvo </w:t>
      </w:r>
      <w:r w:rsidR="007F4C5F">
        <w:rPr>
          <w:rFonts w:cs="Arial"/>
          <w:bCs/>
          <w:sz w:val="18"/>
          <w:szCs w:val="18"/>
          <w:lang w:eastAsia="sl-SI"/>
        </w:rPr>
        <w:t xml:space="preserve">pristojno </w:t>
      </w:r>
      <w:r>
        <w:rPr>
          <w:rFonts w:cs="Arial"/>
          <w:bCs/>
          <w:sz w:val="18"/>
          <w:szCs w:val="18"/>
          <w:lang w:eastAsia="sl-SI"/>
        </w:rPr>
        <w:t>za kmetijstvo</w:t>
      </w:r>
      <w:r w:rsidRPr="001C3473">
        <w:rPr>
          <w:rFonts w:cs="Arial"/>
          <w:bCs/>
          <w:sz w:val="18"/>
          <w:szCs w:val="18"/>
          <w:lang w:eastAsia="sl-SI"/>
        </w:rPr>
        <w:t xml:space="preserve"> in </w:t>
      </w:r>
      <w:r w:rsidR="007F4C5F">
        <w:rPr>
          <w:rFonts w:cs="Arial"/>
          <w:bCs/>
          <w:sz w:val="18"/>
          <w:szCs w:val="18"/>
          <w:lang w:eastAsia="sl-SI"/>
        </w:rPr>
        <w:t>a</w:t>
      </w:r>
      <w:r w:rsidRPr="001C3473">
        <w:rPr>
          <w:rFonts w:cs="Arial"/>
          <w:bCs/>
          <w:sz w:val="18"/>
          <w:szCs w:val="18"/>
          <w:lang w:eastAsia="sl-SI"/>
        </w:rPr>
        <w:t>gencija</w:t>
      </w:r>
    </w:p>
    <w:bookmarkEnd w:id="1"/>
    <w:p w14:paraId="1CF16862" w14:textId="77777777" w:rsidR="00174809" w:rsidRDefault="00174809" w:rsidP="00716FA8">
      <w:pPr>
        <w:autoSpaceDE w:val="0"/>
        <w:autoSpaceDN w:val="0"/>
        <w:adjustRightInd w:val="0"/>
        <w:jc w:val="both"/>
        <w:rPr>
          <w:rFonts w:cs="Arial"/>
          <w:szCs w:val="20"/>
          <w:lang w:eastAsia="sl-SI"/>
        </w:rPr>
      </w:pPr>
    </w:p>
    <w:p w14:paraId="7DD9D4C1" w14:textId="77777777" w:rsidR="005B58CE" w:rsidRPr="005345E4" w:rsidRDefault="005B58CE" w:rsidP="005B58CE">
      <w:pPr>
        <w:jc w:val="both"/>
        <w:rPr>
          <w:rFonts w:cs="Arial"/>
          <w:strike/>
          <w:szCs w:val="20"/>
        </w:rPr>
      </w:pPr>
      <w:bookmarkStart w:id="2" w:name="_Hlk194029055"/>
      <w:r w:rsidRPr="00516031">
        <w:rPr>
          <w:rFonts w:cs="Arial"/>
          <w:szCs w:val="20"/>
        </w:rPr>
        <w:t>Na podlagi programa je agencija obravnavala 1.167 vlog. V letu 2025 je bilo izdanih 509 pozitivnih odločb in 652 negativnih odločb.</w:t>
      </w:r>
      <w:bookmarkEnd w:id="2"/>
      <w:r w:rsidRPr="009E6977">
        <w:rPr>
          <w:rFonts w:cs="Arial"/>
          <w:szCs w:val="20"/>
        </w:rPr>
        <w:t xml:space="preserve"> </w:t>
      </w:r>
      <w:r w:rsidRPr="00516031">
        <w:rPr>
          <w:rFonts w:cs="Arial"/>
          <w:szCs w:val="20"/>
        </w:rPr>
        <w:t xml:space="preserve">Agencija </w:t>
      </w:r>
      <w:r w:rsidRPr="00516031">
        <w:rPr>
          <w:rFonts w:cs="Arial"/>
          <w:szCs w:val="20"/>
          <w:lang w:eastAsia="ar-SA"/>
        </w:rPr>
        <w:t>v letu 2025 ni mogla izdati 6 odločb zaradi smrti nosilcev kmetijskih gospodarstev in posledično čakanja na odločitev sodišča - zapuščinski postopek.</w:t>
      </w:r>
    </w:p>
    <w:p w14:paraId="28C3DC89" w14:textId="77777777" w:rsidR="005B58CE" w:rsidRDefault="005B58CE" w:rsidP="005B58CE">
      <w:pPr>
        <w:jc w:val="both"/>
        <w:rPr>
          <w:rFonts w:cs="Arial"/>
          <w:szCs w:val="20"/>
          <w:highlight w:val="yellow"/>
        </w:rPr>
      </w:pPr>
    </w:p>
    <w:p w14:paraId="119F4BFC" w14:textId="77777777" w:rsidR="005B58CE" w:rsidRDefault="005B58CE" w:rsidP="005B58CE">
      <w:pPr>
        <w:jc w:val="both"/>
        <w:rPr>
          <w:rFonts w:cs="Arial"/>
          <w:szCs w:val="20"/>
        </w:rPr>
      </w:pPr>
    </w:p>
    <w:p w14:paraId="076E86FE" w14:textId="77777777" w:rsidR="007F4C5F" w:rsidRDefault="007F4C5F" w:rsidP="005B58CE">
      <w:pPr>
        <w:jc w:val="both"/>
        <w:rPr>
          <w:rFonts w:cs="Arial"/>
          <w:szCs w:val="20"/>
        </w:rPr>
      </w:pPr>
    </w:p>
    <w:p w14:paraId="28ECB635" w14:textId="527FAF22" w:rsidR="005B58CE" w:rsidRPr="00516031" w:rsidRDefault="005B58CE" w:rsidP="005B58CE">
      <w:pPr>
        <w:jc w:val="both"/>
        <w:rPr>
          <w:rFonts w:cs="Arial"/>
          <w:szCs w:val="20"/>
        </w:rPr>
      </w:pPr>
      <w:r w:rsidRPr="00516031">
        <w:rPr>
          <w:rFonts w:cs="Arial"/>
          <w:szCs w:val="20"/>
        </w:rPr>
        <w:lastRenderedPageBreak/>
        <w:t>Preglednica 2:</w:t>
      </w:r>
      <w:r>
        <w:rPr>
          <w:rFonts w:cs="Arial"/>
          <w:szCs w:val="20"/>
        </w:rPr>
        <w:t xml:space="preserve"> Število obravnavanih odločb</w:t>
      </w:r>
    </w:p>
    <w:tbl>
      <w:tblPr>
        <w:tblW w:w="0" w:type="auto"/>
        <w:tblLook w:val="01E0" w:firstRow="1" w:lastRow="1" w:firstColumn="1" w:lastColumn="1" w:noHBand="0" w:noVBand="0"/>
      </w:tblPr>
      <w:tblGrid>
        <w:gridCol w:w="4957"/>
        <w:gridCol w:w="3407"/>
      </w:tblGrid>
      <w:tr w:rsidR="005B58CE" w:rsidRPr="006800B8" w14:paraId="210397D8" w14:textId="77777777" w:rsidTr="00585D6B">
        <w:tc>
          <w:tcPr>
            <w:tcW w:w="4957" w:type="dxa"/>
            <w:tcBorders>
              <w:top w:val="single" w:sz="4" w:space="0" w:color="auto"/>
              <w:left w:val="single" w:sz="4" w:space="0" w:color="auto"/>
              <w:bottom w:val="single" w:sz="4" w:space="0" w:color="auto"/>
              <w:right w:val="single" w:sz="4" w:space="0" w:color="auto"/>
            </w:tcBorders>
            <w:vAlign w:val="center"/>
          </w:tcPr>
          <w:p w14:paraId="1C16E9B2" w14:textId="77777777" w:rsidR="005B58CE" w:rsidRPr="00516031" w:rsidRDefault="005B58CE" w:rsidP="00585D6B">
            <w:pPr>
              <w:keepNext/>
              <w:keepLines/>
              <w:autoSpaceDE w:val="0"/>
              <w:autoSpaceDN w:val="0"/>
              <w:adjustRightInd w:val="0"/>
              <w:rPr>
                <w:rFonts w:cs="Arial"/>
                <w:noProof/>
                <w:szCs w:val="20"/>
                <w:lang w:eastAsia="sl-SI"/>
              </w:rPr>
            </w:pPr>
            <w:r w:rsidRPr="00516031">
              <w:rPr>
                <w:rFonts w:cs="Arial"/>
                <w:noProof/>
                <w:szCs w:val="20"/>
                <w:lang w:eastAsia="sl-SI"/>
              </w:rPr>
              <w:t>Število pozitivnih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36100E5B" w14:textId="77777777" w:rsidR="005B58CE" w:rsidRPr="006800B8" w:rsidRDefault="005B58CE" w:rsidP="00585D6B">
            <w:pPr>
              <w:keepNext/>
              <w:keepLines/>
              <w:autoSpaceDE w:val="0"/>
              <w:autoSpaceDN w:val="0"/>
              <w:adjustRightInd w:val="0"/>
              <w:jc w:val="right"/>
              <w:rPr>
                <w:rFonts w:cs="Arial"/>
                <w:b/>
                <w:bCs/>
                <w:noProof/>
                <w:szCs w:val="20"/>
                <w:lang w:eastAsia="sl-SI"/>
              </w:rPr>
            </w:pPr>
            <w:r>
              <w:rPr>
                <w:rFonts w:cs="Arial"/>
                <w:b/>
                <w:bCs/>
                <w:noProof/>
                <w:szCs w:val="20"/>
                <w:lang w:eastAsia="sl-SI"/>
              </w:rPr>
              <w:t>509</w:t>
            </w:r>
          </w:p>
        </w:tc>
      </w:tr>
      <w:tr w:rsidR="005B58CE" w:rsidRPr="006800B8" w14:paraId="7B417779" w14:textId="77777777" w:rsidTr="00585D6B">
        <w:trPr>
          <w:trHeight w:val="295"/>
        </w:trPr>
        <w:tc>
          <w:tcPr>
            <w:tcW w:w="4957" w:type="dxa"/>
            <w:tcBorders>
              <w:top w:val="single" w:sz="4" w:space="0" w:color="auto"/>
              <w:left w:val="single" w:sz="4" w:space="0" w:color="auto"/>
              <w:bottom w:val="single" w:sz="4" w:space="0" w:color="auto"/>
              <w:right w:val="single" w:sz="4" w:space="0" w:color="auto"/>
            </w:tcBorders>
            <w:vAlign w:val="center"/>
          </w:tcPr>
          <w:p w14:paraId="21E50AB1" w14:textId="77777777" w:rsidR="005B58CE" w:rsidRPr="006800B8" w:rsidRDefault="005B58CE" w:rsidP="00585D6B">
            <w:pPr>
              <w:keepNext/>
              <w:keepLines/>
              <w:autoSpaceDE w:val="0"/>
              <w:autoSpaceDN w:val="0"/>
              <w:adjustRightInd w:val="0"/>
              <w:rPr>
                <w:rFonts w:cs="Arial"/>
                <w:bCs/>
                <w:noProof/>
                <w:szCs w:val="20"/>
                <w:lang w:eastAsia="sl-SI"/>
              </w:rPr>
            </w:pPr>
            <w:r>
              <w:rPr>
                <w:rFonts w:cs="Arial"/>
                <w:bCs/>
                <w:noProof/>
                <w:szCs w:val="20"/>
                <w:lang w:eastAsia="sl-SI"/>
              </w:rPr>
              <w:t>Število negativnih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6AD7FE3E" w14:textId="77777777" w:rsidR="005B58CE" w:rsidRPr="006800B8" w:rsidRDefault="005B58CE" w:rsidP="00585D6B">
            <w:pPr>
              <w:keepNext/>
              <w:keepLines/>
              <w:autoSpaceDE w:val="0"/>
              <w:autoSpaceDN w:val="0"/>
              <w:adjustRightInd w:val="0"/>
              <w:jc w:val="right"/>
              <w:rPr>
                <w:rFonts w:cs="Arial"/>
                <w:bCs/>
                <w:noProof/>
                <w:szCs w:val="20"/>
                <w:lang w:eastAsia="sl-SI"/>
              </w:rPr>
            </w:pPr>
            <w:r>
              <w:rPr>
                <w:rFonts w:cs="Arial"/>
                <w:bCs/>
                <w:noProof/>
                <w:szCs w:val="20"/>
                <w:lang w:eastAsia="sl-SI"/>
              </w:rPr>
              <w:t>652</w:t>
            </w:r>
          </w:p>
        </w:tc>
      </w:tr>
      <w:tr w:rsidR="005B58CE" w:rsidRPr="006800B8" w14:paraId="7DEE7E8D" w14:textId="77777777" w:rsidTr="00585D6B">
        <w:trPr>
          <w:trHeight w:val="317"/>
        </w:trPr>
        <w:tc>
          <w:tcPr>
            <w:tcW w:w="4957" w:type="dxa"/>
            <w:tcBorders>
              <w:top w:val="single" w:sz="4" w:space="0" w:color="auto"/>
              <w:left w:val="single" w:sz="4" w:space="0" w:color="auto"/>
              <w:bottom w:val="single" w:sz="4" w:space="0" w:color="auto"/>
              <w:right w:val="single" w:sz="4" w:space="0" w:color="auto"/>
            </w:tcBorders>
            <w:vAlign w:val="center"/>
          </w:tcPr>
          <w:p w14:paraId="19914CFA" w14:textId="77777777" w:rsidR="005B58CE" w:rsidRPr="006800B8" w:rsidRDefault="005B58CE" w:rsidP="00585D6B">
            <w:pPr>
              <w:keepNext/>
              <w:keepLines/>
              <w:autoSpaceDE w:val="0"/>
              <w:autoSpaceDN w:val="0"/>
              <w:adjustRightInd w:val="0"/>
              <w:rPr>
                <w:rFonts w:cs="Arial"/>
                <w:bCs/>
                <w:noProof/>
                <w:szCs w:val="20"/>
                <w:lang w:eastAsia="sl-SI"/>
              </w:rPr>
            </w:pPr>
            <w:r>
              <w:rPr>
                <w:rFonts w:cs="Arial"/>
                <w:bCs/>
                <w:noProof/>
                <w:szCs w:val="20"/>
                <w:lang w:eastAsia="sl-SI"/>
              </w:rPr>
              <w:t>Število (ne) izdanih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7642DB93" w14:textId="77777777" w:rsidR="005B58CE" w:rsidRPr="006800B8" w:rsidRDefault="005B58CE" w:rsidP="00585D6B">
            <w:pPr>
              <w:keepNext/>
              <w:keepLines/>
              <w:autoSpaceDE w:val="0"/>
              <w:autoSpaceDN w:val="0"/>
              <w:adjustRightInd w:val="0"/>
              <w:jc w:val="right"/>
              <w:rPr>
                <w:rFonts w:cs="Arial"/>
                <w:bCs/>
                <w:noProof/>
                <w:szCs w:val="20"/>
                <w:lang w:eastAsia="sl-SI"/>
              </w:rPr>
            </w:pPr>
            <w:r>
              <w:rPr>
                <w:rFonts w:cs="Arial"/>
                <w:bCs/>
                <w:noProof/>
                <w:szCs w:val="20"/>
                <w:lang w:eastAsia="sl-SI"/>
              </w:rPr>
              <w:t>6</w:t>
            </w:r>
          </w:p>
        </w:tc>
      </w:tr>
      <w:tr w:rsidR="005B58CE" w:rsidRPr="006800B8" w14:paraId="511F6731" w14:textId="77777777" w:rsidTr="00585D6B">
        <w:trPr>
          <w:trHeight w:val="325"/>
        </w:trPr>
        <w:tc>
          <w:tcPr>
            <w:tcW w:w="4957" w:type="dxa"/>
            <w:tcBorders>
              <w:top w:val="single" w:sz="4" w:space="0" w:color="auto"/>
              <w:left w:val="single" w:sz="4" w:space="0" w:color="auto"/>
              <w:bottom w:val="single" w:sz="4" w:space="0" w:color="auto"/>
              <w:right w:val="single" w:sz="4" w:space="0" w:color="auto"/>
            </w:tcBorders>
            <w:vAlign w:val="center"/>
            <w:hideMark/>
          </w:tcPr>
          <w:p w14:paraId="4179D3A5" w14:textId="77777777" w:rsidR="005B58CE" w:rsidRPr="006800B8" w:rsidRDefault="005B58CE" w:rsidP="00585D6B">
            <w:pPr>
              <w:keepNext/>
              <w:keepLines/>
              <w:autoSpaceDE w:val="0"/>
              <w:autoSpaceDN w:val="0"/>
              <w:adjustRightInd w:val="0"/>
              <w:rPr>
                <w:rFonts w:cs="Arial"/>
                <w:b/>
                <w:bCs/>
                <w:noProof/>
                <w:szCs w:val="20"/>
                <w:lang w:eastAsia="sl-SI"/>
              </w:rPr>
            </w:pPr>
            <w:r>
              <w:rPr>
                <w:rFonts w:cs="Arial"/>
                <w:b/>
                <w:bCs/>
                <w:noProof/>
                <w:szCs w:val="20"/>
                <w:lang w:eastAsia="sl-SI"/>
              </w:rPr>
              <w:t>Število obravnavanih odločb skupaj</w:t>
            </w:r>
          </w:p>
        </w:tc>
        <w:tc>
          <w:tcPr>
            <w:tcW w:w="3407" w:type="dxa"/>
            <w:tcBorders>
              <w:top w:val="single" w:sz="4" w:space="0" w:color="auto"/>
              <w:left w:val="single" w:sz="4" w:space="0" w:color="auto"/>
              <w:bottom w:val="single" w:sz="4" w:space="0" w:color="auto"/>
              <w:right w:val="single" w:sz="4" w:space="0" w:color="auto"/>
            </w:tcBorders>
            <w:vAlign w:val="center"/>
            <w:hideMark/>
          </w:tcPr>
          <w:p w14:paraId="79B9347C" w14:textId="77777777" w:rsidR="005B58CE" w:rsidRPr="006800B8" w:rsidRDefault="005B58CE" w:rsidP="00585D6B">
            <w:pPr>
              <w:keepNext/>
              <w:keepLines/>
              <w:autoSpaceDE w:val="0"/>
              <w:autoSpaceDN w:val="0"/>
              <w:adjustRightInd w:val="0"/>
              <w:jc w:val="right"/>
              <w:rPr>
                <w:rFonts w:cs="Arial"/>
                <w:b/>
                <w:bCs/>
                <w:noProof/>
                <w:szCs w:val="20"/>
                <w:lang w:eastAsia="sl-SI"/>
              </w:rPr>
            </w:pPr>
            <w:r>
              <w:rPr>
                <w:rFonts w:cs="Arial"/>
                <w:b/>
                <w:bCs/>
                <w:noProof/>
                <w:szCs w:val="20"/>
                <w:lang w:eastAsia="sl-SI"/>
              </w:rPr>
              <w:t>1.167</w:t>
            </w:r>
          </w:p>
        </w:tc>
      </w:tr>
    </w:tbl>
    <w:p w14:paraId="3CC69D3D" w14:textId="79692A10" w:rsidR="005B58CE" w:rsidRDefault="005B58CE" w:rsidP="005B58CE">
      <w:pPr>
        <w:jc w:val="both"/>
        <w:rPr>
          <w:rFonts w:cs="Arial"/>
          <w:sz w:val="18"/>
          <w:szCs w:val="18"/>
          <w:lang w:eastAsia="ar-SA"/>
        </w:rPr>
      </w:pPr>
      <w:r w:rsidRPr="004351B1">
        <w:rPr>
          <w:rFonts w:cs="Arial"/>
          <w:sz w:val="18"/>
          <w:szCs w:val="18"/>
          <w:lang w:eastAsia="ar-SA"/>
        </w:rPr>
        <w:t xml:space="preserve">Vir: </w:t>
      </w:r>
      <w:r w:rsidR="007F4C5F">
        <w:rPr>
          <w:rFonts w:cs="Arial"/>
          <w:sz w:val="18"/>
          <w:szCs w:val="18"/>
          <w:lang w:eastAsia="ar-SA"/>
        </w:rPr>
        <w:t>a</w:t>
      </w:r>
      <w:r w:rsidRPr="004351B1">
        <w:rPr>
          <w:rFonts w:cs="Arial"/>
          <w:sz w:val="18"/>
          <w:szCs w:val="18"/>
          <w:lang w:eastAsia="ar-SA"/>
        </w:rPr>
        <w:t>gencija</w:t>
      </w:r>
    </w:p>
    <w:p w14:paraId="2A8B1038" w14:textId="77777777" w:rsidR="005B58CE" w:rsidRDefault="005B58CE" w:rsidP="005B58CE">
      <w:pPr>
        <w:jc w:val="both"/>
        <w:rPr>
          <w:rFonts w:cs="Arial"/>
          <w:szCs w:val="20"/>
          <w:highlight w:val="yellow"/>
        </w:rPr>
      </w:pPr>
    </w:p>
    <w:p w14:paraId="33F9ECC4" w14:textId="77777777" w:rsidR="005B58CE" w:rsidRPr="00516031" w:rsidRDefault="005B58CE" w:rsidP="005B58CE">
      <w:pPr>
        <w:autoSpaceDE w:val="0"/>
        <w:autoSpaceDN w:val="0"/>
        <w:adjustRightInd w:val="0"/>
        <w:jc w:val="both"/>
        <w:rPr>
          <w:rFonts w:cs="Arial"/>
          <w:szCs w:val="20"/>
          <w:lang w:eastAsia="ar-SA"/>
        </w:rPr>
      </w:pPr>
      <w:r w:rsidRPr="00516031">
        <w:rPr>
          <w:rFonts w:cs="Arial"/>
          <w:szCs w:val="20"/>
          <w:lang w:eastAsia="ar-SA"/>
        </w:rPr>
        <w:t>Razlogi za izdajo negativnih odločb:</w:t>
      </w:r>
    </w:p>
    <w:p w14:paraId="15FCEC6E" w14:textId="77777777" w:rsidR="005B58CE" w:rsidRPr="00516031" w:rsidRDefault="005B58CE" w:rsidP="005B58CE">
      <w:pPr>
        <w:numPr>
          <w:ilvl w:val="0"/>
          <w:numId w:val="8"/>
        </w:numPr>
        <w:autoSpaceDE w:val="0"/>
        <w:autoSpaceDN w:val="0"/>
        <w:adjustRightInd w:val="0"/>
        <w:jc w:val="both"/>
        <w:rPr>
          <w:rFonts w:cs="Arial"/>
          <w:szCs w:val="20"/>
          <w:lang w:eastAsia="ar-SA"/>
        </w:rPr>
      </w:pPr>
      <w:bookmarkStart w:id="3" w:name="_Hlk194029128"/>
      <w:r w:rsidRPr="00516031">
        <w:rPr>
          <w:rFonts w:cs="Arial"/>
          <w:szCs w:val="20"/>
          <w:lang w:eastAsia="ar-SA"/>
        </w:rPr>
        <w:t>oškodovanec ni imel nobene površine poškodovane nad 80%</w:t>
      </w:r>
      <w:r>
        <w:rPr>
          <w:rFonts w:cs="Arial"/>
          <w:szCs w:val="20"/>
          <w:lang w:eastAsia="ar-SA"/>
        </w:rPr>
        <w:t>,</w:t>
      </w:r>
    </w:p>
    <w:p w14:paraId="2306E78B" w14:textId="77777777" w:rsidR="005B58CE" w:rsidRPr="00516031" w:rsidRDefault="005B58CE" w:rsidP="005B58CE">
      <w:pPr>
        <w:numPr>
          <w:ilvl w:val="0"/>
          <w:numId w:val="8"/>
        </w:numPr>
        <w:autoSpaceDE w:val="0"/>
        <w:autoSpaceDN w:val="0"/>
        <w:adjustRightInd w:val="0"/>
        <w:jc w:val="both"/>
        <w:rPr>
          <w:rFonts w:cs="Arial"/>
          <w:szCs w:val="20"/>
          <w:lang w:eastAsia="ar-SA"/>
        </w:rPr>
      </w:pPr>
      <w:r w:rsidRPr="00516031">
        <w:rPr>
          <w:rFonts w:cs="Arial"/>
          <w:szCs w:val="20"/>
          <w:lang w:eastAsia="ar-SA"/>
        </w:rPr>
        <w:t>upravičena izračunana pomoč je znašala manj kot 100 evr</w:t>
      </w:r>
      <w:r>
        <w:rPr>
          <w:rFonts w:cs="Arial"/>
          <w:szCs w:val="20"/>
          <w:lang w:eastAsia="ar-SA"/>
        </w:rPr>
        <w:t>ov</w:t>
      </w:r>
      <w:r w:rsidRPr="00516031">
        <w:rPr>
          <w:rFonts w:cs="Arial"/>
          <w:szCs w:val="20"/>
          <w:lang w:eastAsia="ar-SA"/>
        </w:rPr>
        <w:t>, zato se pomoč ne dodeli</w:t>
      </w:r>
      <w:r>
        <w:rPr>
          <w:rFonts w:cs="Arial"/>
          <w:szCs w:val="20"/>
          <w:lang w:eastAsia="ar-SA"/>
        </w:rPr>
        <w:t>,</w:t>
      </w:r>
    </w:p>
    <w:p w14:paraId="5AED8015" w14:textId="77777777" w:rsidR="005B58CE" w:rsidRPr="00516031" w:rsidRDefault="005B58CE" w:rsidP="005B58CE">
      <w:pPr>
        <w:numPr>
          <w:ilvl w:val="0"/>
          <w:numId w:val="8"/>
        </w:numPr>
        <w:autoSpaceDE w:val="0"/>
        <w:autoSpaceDN w:val="0"/>
        <w:adjustRightInd w:val="0"/>
        <w:jc w:val="both"/>
        <w:rPr>
          <w:rFonts w:cs="Arial"/>
          <w:szCs w:val="20"/>
          <w:lang w:eastAsia="ar-SA"/>
        </w:rPr>
      </w:pPr>
      <w:r w:rsidRPr="00516031">
        <w:rPr>
          <w:rFonts w:cs="Aptos"/>
          <w:lang w:eastAsia="sl-SI"/>
        </w:rPr>
        <w:t>upravičencu je priznana višja odškodnina s strani zavarovalnice od ocenjene škode</w:t>
      </w:r>
      <w:r>
        <w:rPr>
          <w:rFonts w:cs="Aptos"/>
          <w:lang w:eastAsia="sl-SI"/>
        </w:rPr>
        <w:t>.</w:t>
      </w:r>
    </w:p>
    <w:bookmarkEnd w:id="3"/>
    <w:p w14:paraId="6457957F" w14:textId="77777777" w:rsidR="005B58CE" w:rsidRPr="001F6841" w:rsidRDefault="005B58CE" w:rsidP="005B58CE">
      <w:pPr>
        <w:autoSpaceDE w:val="0"/>
        <w:autoSpaceDN w:val="0"/>
        <w:adjustRightInd w:val="0"/>
        <w:jc w:val="both"/>
        <w:rPr>
          <w:rFonts w:cs="Arial"/>
          <w:szCs w:val="20"/>
          <w:highlight w:val="yellow"/>
          <w:lang w:eastAsia="ar-SA"/>
        </w:rPr>
      </w:pPr>
    </w:p>
    <w:p w14:paraId="0F0F0A3F" w14:textId="77777777" w:rsidR="005B58CE" w:rsidRDefault="005B58CE" w:rsidP="005B58CE">
      <w:pPr>
        <w:overflowPunct w:val="0"/>
        <w:autoSpaceDE w:val="0"/>
        <w:autoSpaceDN w:val="0"/>
        <w:adjustRightInd w:val="0"/>
        <w:jc w:val="both"/>
        <w:textAlignment w:val="baseline"/>
        <w:rPr>
          <w:rFonts w:cs="Arial"/>
          <w:color w:val="000000"/>
          <w:szCs w:val="20"/>
        </w:rPr>
      </w:pPr>
      <w:r w:rsidRPr="00105267">
        <w:rPr>
          <w:rFonts w:cs="Arial"/>
          <w:szCs w:val="20"/>
          <w:lang w:eastAsia="ar-SA"/>
        </w:rPr>
        <w:t xml:space="preserve">V letu 2025 je bilo tako </w:t>
      </w:r>
      <w:r w:rsidRPr="00105267">
        <w:rPr>
          <w:rFonts w:cs="Arial"/>
          <w:bCs/>
          <w:szCs w:val="20"/>
        </w:rPr>
        <w:t>proračunske postavke</w:t>
      </w:r>
      <w:r w:rsidRPr="00105267">
        <w:rPr>
          <w:rFonts w:cs="Arial"/>
          <w:color w:val="000000"/>
          <w:szCs w:val="20"/>
        </w:rPr>
        <w:t xml:space="preserve"> </w:t>
      </w:r>
      <w:r w:rsidRPr="00105267">
        <w:rPr>
          <w:rFonts w:cs="Arial"/>
          <w:bCs/>
          <w:color w:val="000000"/>
          <w:szCs w:val="20"/>
        </w:rPr>
        <w:t xml:space="preserve">10266 – Programi odprave posledic nesreč – </w:t>
      </w:r>
      <w:r w:rsidRPr="00516031">
        <w:rPr>
          <w:rFonts w:cs="Arial"/>
          <w:bCs/>
          <w:color w:val="000000"/>
          <w:szCs w:val="20"/>
        </w:rPr>
        <w:t>pozeba 17.-22. april 2024</w:t>
      </w:r>
      <w:r w:rsidRPr="00516031">
        <w:rPr>
          <w:rFonts w:cs="Arial"/>
          <w:color w:val="000000"/>
          <w:szCs w:val="20"/>
        </w:rPr>
        <w:t>, NRP 2330-25-0039 »Izpad dohodka – pozeba 2024 izplačanih 2.5</w:t>
      </w:r>
      <w:r>
        <w:rPr>
          <w:rFonts w:cs="Arial"/>
          <w:color w:val="000000"/>
          <w:szCs w:val="20"/>
        </w:rPr>
        <w:t>10.817,38</w:t>
      </w:r>
      <w:r w:rsidRPr="00516031">
        <w:rPr>
          <w:rFonts w:cs="Arial"/>
          <w:color w:val="000000"/>
          <w:szCs w:val="20"/>
        </w:rPr>
        <w:t xml:space="preserve"> evra. Stroški obdelave vlog pa so znašali: 374,09 evra.</w:t>
      </w:r>
      <w:r w:rsidRPr="00105267">
        <w:rPr>
          <w:rFonts w:cs="Arial"/>
          <w:color w:val="000000"/>
          <w:szCs w:val="20"/>
        </w:rPr>
        <w:t xml:space="preserve"> </w:t>
      </w:r>
      <w:r>
        <w:rPr>
          <w:rFonts w:cs="Arial"/>
          <w:color w:val="000000"/>
          <w:szCs w:val="20"/>
        </w:rPr>
        <w:t>Podrobnejša razdelitev sredstev je razvidna iz spodnjih preglednic.</w:t>
      </w:r>
    </w:p>
    <w:p w14:paraId="4F08D5F2" w14:textId="77777777" w:rsidR="005B58CE" w:rsidRDefault="005B58CE" w:rsidP="005B58CE">
      <w:pPr>
        <w:overflowPunct w:val="0"/>
        <w:autoSpaceDE w:val="0"/>
        <w:autoSpaceDN w:val="0"/>
        <w:adjustRightInd w:val="0"/>
        <w:jc w:val="both"/>
        <w:textAlignment w:val="baseline"/>
        <w:rPr>
          <w:rFonts w:cs="Arial"/>
          <w:color w:val="000000"/>
          <w:szCs w:val="20"/>
        </w:rPr>
      </w:pPr>
    </w:p>
    <w:p w14:paraId="3D7441A4" w14:textId="5EDFBCF7" w:rsidR="005B58CE" w:rsidRPr="008D12F2" w:rsidRDefault="005B58CE" w:rsidP="005B58CE">
      <w:pPr>
        <w:autoSpaceDE w:val="0"/>
        <w:autoSpaceDN w:val="0"/>
        <w:adjustRightInd w:val="0"/>
        <w:jc w:val="both"/>
        <w:rPr>
          <w:rFonts w:cs="Arial"/>
          <w:bCs/>
          <w:szCs w:val="20"/>
        </w:rPr>
      </w:pPr>
      <w:r>
        <w:rPr>
          <w:rFonts w:cs="Arial"/>
          <w:bCs/>
          <w:szCs w:val="20"/>
        </w:rPr>
        <w:t>Preglednica</w:t>
      </w:r>
      <w:r w:rsidRPr="008D12F2">
        <w:rPr>
          <w:rFonts w:cs="Arial"/>
          <w:bCs/>
          <w:szCs w:val="20"/>
        </w:rPr>
        <w:t xml:space="preserve"> </w:t>
      </w:r>
      <w:r>
        <w:rPr>
          <w:rFonts w:cs="Arial"/>
          <w:bCs/>
          <w:szCs w:val="20"/>
        </w:rPr>
        <w:t>3</w:t>
      </w:r>
      <w:r w:rsidRPr="008D12F2">
        <w:rPr>
          <w:rFonts w:cs="Arial"/>
          <w:bCs/>
          <w:szCs w:val="20"/>
        </w:rPr>
        <w:t>: Višina izplačanih sredstev po naravni nesreči ter stroški obdelave vlog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2268"/>
        <w:gridCol w:w="850"/>
        <w:gridCol w:w="2369"/>
      </w:tblGrid>
      <w:tr w:rsidR="005B58CE" w:rsidRPr="003F6E77" w14:paraId="37773F42" w14:textId="77777777" w:rsidTr="00585D6B">
        <w:tc>
          <w:tcPr>
            <w:tcW w:w="3227" w:type="dxa"/>
            <w:shd w:val="clear" w:color="auto" w:fill="D9D9D9"/>
            <w:vAlign w:val="center"/>
          </w:tcPr>
          <w:p w14:paraId="30071775" w14:textId="77777777" w:rsidR="005B58CE" w:rsidRPr="007E0412" w:rsidRDefault="005B58CE" w:rsidP="00585D6B">
            <w:pPr>
              <w:autoSpaceDE w:val="0"/>
              <w:autoSpaceDN w:val="0"/>
              <w:adjustRightInd w:val="0"/>
              <w:rPr>
                <w:rFonts w:cs="Arial"/>
                <w:b/>
                <w:szCs w:val="20"/>
              </w:rPr>
            </w:pPr>
            <w:r w:rsidRPr="007E0412">
              <w:rPr>
                <w:rFonts w:cs="Arial"/>
                <w:b/>
                <w:szCs w:val="20"/>
              </w:rPr>
              <w:t>Vrsta stroška</w:t>
            </w:r>
          </w:p>
        </w:tc>
        <w:tc>
          <w:tcPr>
            <w:tcW w:w="2268" w:type="dxa"/>
            <w:shd w:val="clear" w:color="auto" w:fill="D9D9D9"/>
          </w:tcPr>
          <w:p w14:paraId="1B1BA60B" w14:textId="77777777" w:rsidR="005B58CE" w:rsidRPr="007E0412" w:rsidRDefault="005B58CE" w:rsidP="00585D6B">
            <w:pPr>
              <w:autoSpaceDE w:val="0"/>
              <w:autoSpaceDN w:val="0"/>
              <w:adjustRightInd w:val="0"/>
              <w:rPr>
                <w:rFonts w:cs="Arial"/>
                <w:b/>
                <w:szCs w:val="20"/>
              </w:rPr>
            </w:pPr>
            <w:r w:rsidRPr="007E0412">
              <w:rPr>
                <w:rFonts w:cs="Arial"/>
                <w:b/>
                <w:szCs w:val="20"/>
              </w:rPr>
              <w:t>Št</w:t>
            </w:r>
            <w:r>
              <w:rPr>
                <w:rFonts w:cs="Arial"/>
                <w:b/>
                <w:szCs w:val="20"/>
              </w:rPr>
              <w:t>. oškodovancev</w:t>
            </w:r>
          </w:p>
        </w:tc>
        <w:tc>
          <w:tcPr>
            <w:tcW w:w="850" w:type="dxa"/>
            <w:shd w:val="clear" w:color="auto" w:fill="D9D9D9"/>
          </w:tcPr>
          <w:p w14:paraId="0EBDB2DD" w14:textId="77777777" w:rsidR="005B58CE" w:rsidRPr="007E0412" w:rsidRDefault="005B58CE" w:rsidP="00585D6B">
            <w:pPr>
              <w:autoSpaceDE w:val="0"/>
              <w:autoSpaceDN w:val="0"/>
              <w:adjustRightInd w:val="0"/>
              <w:rPr>
                <w:rFonts w:cs="Arial"/>
                <w:b/>
                <w:szCs w:val="20"/>
              </w:rPr>
            </w:pPr>
            <w:r w:rsidRPr="007E0412">
              <w:rPr>
                <w:rFonts w:cs="Arial"/>
                <w:b/>
                <w:szCs w:val="20"/>
              </w:rPr>
              <w:t>Konto</w:t>
            </w:r>
          </w:p>
        </w:tc>
        <w:tc>
          <w:tcPr>
            <w:tcW w:w="2369" w:type="dxa"/>
            <w:shd w:val="clear" w:color="auto" w:fill="D9D9D9"/>
            <w:vAlign w:val="center"/>
          </w:tcPr>
          <w:p w14:paraId="1E838AF9" w14:textId="77777777" w:rsidR="005B58CE" w:rsidRPr="007E0412" w:rsidRDefault="005B58CE" w:rsidP="00585D6B">
            <w:pPr>
              <w:autoSpaceDE w:val="0"/>
              <w:autoSpaceDN w:val="0"/>
              <w:adjustRightInd w:val="0"/>
              <w:rPr>
                <w:rFonts w:cs="Arial"/>
                <w:b/>
                <w:szCs w:val="20"/>
              </w:rPr>
            </w:pPr>
            <w:r w:rsidRPr="007E0412">
              <w:rPr>
                <w:rFonts w:cs="Arial"/>
                <w:b/>
                <w:szCs w:val="20"/>
              </w:rPr>
              <w:t>Znesek izplačil (EUR)</w:t>
            </w:r>
          </w:p>
        </w:tc>
      </w:tr>
      <w:tr w:rsidR="005B58CE" w:rsidRPr="003F6E77" w14:paraId="33425789" w14:textId="77777777" w:rsidTr="00585D6B">
        <w:tc>
          <w:tcPr>
            <w:tcW w:w="3227" w:type="dxa"/>
            <w:vAlign w:val="center"/>
          </w:tcPr>
          <w:p w14:paraId="74C2A7C8" w14:textId="77777777" w:rsidR="005B58CE" w:rsidRPr="007E0412" w:rsidRDefault="005B58CE" w:rsidP="00585D6B">
            <w:pPr>
              <w:autoSpaceDE w:val="0"/>
              <w:autoSpaceDN w:val="0"/>
              <w:adjustRightInd w:val="0"/>
              <w:rPr>
                <w:rFonts w:cs="Arial"/>
                <w:bCs/>
                <w:szCs w:val="20"/>
              </w:rPr>
            </w:pPr>
            <w:r w:rsidRPr="007E0412">
              <w:rPr>
                <w:rFonts w:cs="Arial"/>
                <w:bCs/>
                <w:szCs w:val="20"/>
              </w:rPr>
              <w:t>Državna pomoč upravičencem za škodo po p</w:t>
            </w:r>
            <w:r>
              <w:rPr>
                <w:rFonts w:cs="Arial"/>
                <w:bCs/>
                <w:szCs w:val="20"/>
              </w:rPr>
              <w:t>ozebi</w:t>
            </w:r>
          </w:p>
        </w:tc>
        <w:tc>
          <w:tcPr>
            <w:tcW w:w="2268" w:type="dxa"/>
            <w:vAlign w:val="center"/>
          </w:tcPr>
          <w:p w14:paraId="6AAB9791" w14:textId="77777777" w:rsidR="005B58CE" w:rsidRPr="00516031" w:rsidRDefault="005B58CE" w:rsidP="00585D6B">
            <w:pPr>
              <w:autoSpaceDE w:val="0"/>
              <w:autoSpaceDN w:val="0"/>
              <w:adjustRightInd w:val="0"/>
              <w:jc w:val="right"/>
            </w:pPr>
            <w:r w:rsidRPr="00516031">
              <w:t>509</w:t>
            </w:r>
          </w:p>
        </w:tc>
        <w:tc>
          <w:tcPr>
            <w:tcW w:w="850" w:type="dxa"/>
            <w:vAlign w:val="center"/>
          </w:tcPr>
          <w:p w14:paraId="53E295E1" w14:textId="77777777" w:rsidR="005B58CE" w:rsidRPr="00516031" w:rsidRDefault="005B58CE" w:rsidP="00585D6B">
            <w:pPr>
              <w:autoSpaceDE w:val="0"/>
              <w:autoSpaceDN w:val="0"/>
              <w:adjustRightInd w:val="0"/>
              <w:jc w:val="right"/>
            </w:pPr>
            <w:r w:rsidRPr="00516031">
              <w:t>4102</w:t>
            </w:r>
          </w:p>
        </w:tc>
        <w:tc>
          <w:tcPr>
            <w:tcW w:w="2369" w:type="dxa"/>
            <w:vAlign w:val="center"/>
          </w:tcPr>
          <w:p w14:paraId="369CAA69" w14:textId="77777777" w:rsidR="005B58CE" w:rsidRPr="00516031" w:rsidRDefault="005B58CE" w:rsidP="00585D6B">
            <w:pPr>
              <w:autoSpaceDE w:val="0"/>
              <w:autoSpaceDN w:val="0"/>
              <w:adjustRightInd w:val="0"/>
              <w:jc w:val="right"/>
              <w:rPr>
                <w:rFonts w:cs="Arial"/>
                <w:bCs/>
                <w:szCs w:val="20"/>
              </w:rPr>
            </w:pPr>
            <w:r w:rsidRPr="00516031">
              <w:rPr>
                <w:rFonts w:cs="Arial"/>
                <w:color w:val="000000"/>
                <w:szCs w:val="20"/>
              </w:rPr>
              <w:t>2.510.817,38</w:t>
            </w:r>
          </w:p>
        </w:tc>
      </w:tr>
      <w:tr w:rsidR="005B58CE" w:rsidRPr="003F6E77" w14:paraId="2146E7F1" w14:textId="77777777" w:rsidTr="00585D6B">
        <w:tc>
          <w:tcPr>
            <w:tcW w:w="3227" w:type="dxa"/>
            <w:vAlign w:val="center"/>
          </w:tcPr>
          <w:p w14:paraId="1324F0FF" w14:textId="77777777" w:rsidR="005B58CE" w:rsidRPr="00994DD9" w:rsidRDefault="005B58CE" w:rsidP="00585D6B">
            <w:pPr>
              <w:autoSpaceDE w:val="0"/>
              <w:autoSpaceDN w:val="0"/>
              <w:adjustRightInd w:val="0"/>
              <w:rPr>
                <w:rFonts w:cs="Arial"/>
                <w:szCs w:val="20"/>
              </w:rPr>
            </w:pPr>
            <w:r w:rsidRPr="00994DD9">
              <w:rPr>
                <w:rFonts w:cs="Arial"/>
                <w:szCs w:val="20"/>
              </w:rPr>
              <w:t>Stroški obdelave vlog</w:t>
            </w:r>
            <w:r>
              <w:rPr>
                <w:rFonts w:cs="Arial"/>
                <w:szCs w:val="20"/>
              </w:rPr>
              <w:t xml:space="preserve"> (pozitivne in negativne odločbe)</w:t>
            </w:r>
          </w:p>
        </w:tc>
        <w:tc>
          <w:tcPr>
            <w:tcW w:w="2268" w:type="dxa"/>
            <w:vAlign w:val="center"/>
          </w:tcPr>
          <w:p w14:paraId="0B3E3265" w14:textId="77777777" w:rsidR="005B58CE" w:rsidRPr="005B58CE" w:rsidRDefault="005B58CE" w:rsidP="00585D6B">
            <w:pPr>
              <w:autoSpaceDE w:val="0"/>
              <w:autoSpaceDN w:val="0"/>
              <w:adjustRightInd w:val="0"/>
              <w:jc w:val="right"/>
            </w:pPr>
            <w:r w:rsidRPr="005B58CE">
              <w:t>1.161</w:t>
            </w:r>
          </w:p>
        </w:tc>
        <w:tc>
          <w:tcPr>
            <w:tcW w:w="850" w:type="dxa"/>
            <w:vAlign w:val="center"/>
          </w:tcPr>
          <w:p w14:paraId="6C1FF24E" w14:textId="77777777" w:rsidR="005B58CE" w:rsidRPr="005B58CE" w:rsidRDefault="005B58CE" w:rsidP="00585D6B">
            <w:pPr>
              <w:autoSpaceDE w:val="0"/>
              <w:autoSpaceDN w:val="0"/>
              <w:adjustRightInd w:val="0"/>
              <w:jc w:val="right"/>
            </w:pPr>
            <w:r w:rsidRPr="005B58CE">
              <w:t>4020</w:t>
            </w:r>
          </w:p>
        </w:tc>
        <w:tc>
          <w:tcPr>
            <w:tcW w:w="2369" w:type="dxa"/>
            <w:vAlign w:val="center"/>
          </w:tcPr>
          <w:p w14:paraId="209F7B38" w14:textId="77777777" w:rsidR="005B58CE" w:rsidRPr="00516031" w:rsidRDefault="005B58CE" w:rsidP="00585D6B">
            <w:pPr>
              <w:autoSpaceDE w:val="0"/>
              <w:autoSpaceDN w:val="0"/>
              <w:adjustRightInd w:val="0"/>
              <w:jc w:val="right"/>
              <w:rPr>
                <w:rFonts w:cs="Arial"/>
                <w:b/>
                <w:bCs/>
                <w:color w:val="000000"/>
                <w:szCs w:val="20"/>
              </w:rPr>
            </w:pPr>
            <w:r w:rsidRPr="00516031">
              <w:rPr>
                <w:rFonts w:cs="Arial"/>
                <w:color w:val="000000"/>
                <w:szCs w:val="20"/>
              </w:rPr>
              <w:t>374,09</w:t>
            </w:r>
          </w:p>
        </w:tc>
      </w:tr>
      <w:tr w:rsidR="005B58CE" w:rsidRPr="003F6E77" w14:paraId="1B2FC211" w14:textId="77777777" w:rsidTr="00585D6B">
        <w:tc>
          <w:tcPr>
            <w:tcW w:w="3227" w:type="dxa"/>
            <w:vAlign w:val="center"/>
          </w:tcPr>
          <w:p w14:paraId="383CBECD" w14:textId="77777777" w:rsidR="005B58CE" w:rsidRDefault="005B58CE" w:rsidP="00585D6B">
            <w:pPr>
              <w:autoSpaceDE w:val="0"/>
              <w:autoSpaceDN w:val="0"/>
              <w:adjustRightInd w:val="0"/>
              <w:rPr>
                <w:rFonts w:cs="Arial"/>
                <w:b/>
                <w:bCs/>
                <w:szCs w:val="20"/>
              </w:rPr>
            </w:pPr>
            <w:r w:rsidRPr="007E0412">
              <w:rPr>
                <w:rFonts w:cs="Arial"/>
                <w:b/>
                <w:bCs/>
                <w:szCs w:val="20"/>
              </w:rPr>
              <w:t>SKUPAJ</w:t>
            </w:r>
          </w:p>
        </w:tc>
        <w:tc>
          <w:tcPr>
            <w:tcW w:w="2268" w:type="dxa"/>
            <w:vAlign w:val="center"/>
          </w:tcPr>
          <w:p w14:paraId="0D70856F" w14:textId="77777777" w:rsidR="005B58CE" w:rsidRPr="00516031" w:rsidRDefault="005B58CE" w:rsidP="00585D6B">
            <w:pPr>
              <w:autoSpaceDE w:val="0"/>
              <w:autoSpaceDN w:val="0"/>
              <w:adjustRightInd w:val="0"/>
              <w:jc w:val="right"/>
              <w:rPr>
                <w:b/>
                <w:bCs/>
              </w:rPr>
            </w:pPr>
          </w:p>
        </w:tc>
        <w:tc>
          <w:tcPr>
            <w:tcW w:w="850" w:type="dxa"/>
            <w:vAlign w:val="center"/>
          </w:tcPr>
          <w:p w14:paraId="30BBA753" w14:textId="77777777" w:rsidR="005B58CE" w:rsidRPr="00516031" w:rsidRDefault="005B58CE" w:rsidP="00585D6B">
            <w:pPr>
              <w:autoSpaceDE w:val="0"/>
              <w:autoSpaceDN w:val="0"/>
              <w:adjustRightInd w:val="0"/>
              <w:jc w:val="right"/>
              <w:rPr>
                <w:b/>
                <w:bCs/>
              </w:rPr>
            </w:pPr>
          </w:p>
        </w:tc>
        <w:tc>
          <w:tcPr>
            <w:tcW w:w="2369" w:type="dxa"/>
            <w:vAlign w:val="center"/>
          </w:tcPr>
          <w:p w14:paraId="2A0EF73E" w14:textId="77777777" w:rsidR="005B58CE" w:rsidRPr="00516031" w:rsidRDefault="005B58CE" w:rsidP="00585D6B">
            <w:pPr>
              <w:autoSpaceDE w:val="0"/>
              <w:autoSpaceDN w:val="0"/>
              <w:adjustRightInd w:val="0"/>
              <w:jc w:val="right"/>
              <w:rPr>
                <w:rFonts w:cs="Arial"/>
                <w:b/>
                <w:bCs/>
                <w:color w:val="000000"/>
                <w:szCs w:val="20"/>
              </w:rPr>
            </w:pPr>
            <w:r w:rsidRPr="00516031">
              <w:rPr>
                <w:rFonts w:cs="Arial"/>
                <w:b/>
                <w:bCs/>
                <w:color w:val="000000"/>
                <w:szCs w:val="20"/>
              </w:rPr>
              <w:t>2.51</w:t>
            </w:r>
            <w:r>
              <w:rPr>
                <w:rFonts w:cs="Arial"/>
                <w:b/>
                <w:bCs/>
                <w:color w:val="000000"/>
                <w:szCs w:val="20"/>
              </w:rPr>
              <w:t>1</w:t>
            </w:r>
            <w:r w:rsidRPr="00516031">
              <w:rPr>
                <w:rFonts w:cs="Arial"/>
                <w:b/>
                <w:bCs/>
                <w:color w:val="000000"/>
                <w:szCs w:val="20"/>
              </w:rPr>
              <w:t>.</w:t>
            </w:r>
            <w:r>
              <w:rPr>
                <w:rFonts w:cs="Arial"/>
                <w:b/>
                <w:bCs/>
                <w:color w:val="000000"/>
                <w:szCs w:val="20"/>
              </w:rPr>
              <w:t>191</w:t>
            </w:r>
            <w:r w:rsidRPr="00516031">
              <w:rPr>
                <w:rFonts w:cs="Arial"/>
                <w:b/>
                <w:bCs/>
                <w:color w:val="000000"/>
                <w:szCs w:val="20"/>
              </w:rPr>
              <w:t>,</w:t>
            </w:r>
            <w:r>
              <w:rPr>
                <w:rFonts w:cs="Arial"/>
                <w:b/>
                <w:bCs/>
                <w:color w:val="000000"/>
                <w:szCs w:val="20"/>
              </w:rPr>
              <w:t>47</w:t>
            </w:r>
          </w:p>
        </w:tc>
      </w:tr>
    </w:tbl>
    <w:p w14:paraId="1234D707" w14:textId="430E8B65" w:rsidR="005B58CE" w:rsidRDefault="005B58CE" w:rsidP="005B58CE">
      <w:pPr>
        <w:jc w:val="both"/>
        <w:rPr>
          <w:rFonts w:cs="Arial"/>
          <w:sz w:val="18"/>
          <w:szCs w:val="18"/>
          <w:lang w:eastAsia="ar-SA"/>
        </w:rPr>
      </w:pPr>
      <w:r w:rsidRPr="004351B1">
        <w:rPr>
          <w:rFonts w:cs="Arial"/>
          <w:sz w:val="18"/>
          <w:szCs w:val="18"/>
          <w:lang w:eastAsia="ar-SA"/>
        </w:rPr>
        <w:t xml:space="preserve">Vir: </w:t>
      </w:r>
      <w:r w:rsidR="007F4C5F">
        <w:rPr>
          <w:rFonts w:cs="Arial"/>
          <w:sz w:val="18"/>
          <w:szCs w:val="18"/>
          <w:lang w:eastAsia="ar-SA"/>
        </w:rPr>
        <w:t>a</w:t>
      </w:r>
      <w:r w:rsidRPr="004351B1">
        <w:rPr>
          <w:rFonts w:cs="Arial"/>
          <w:sz w:val="18"/>
          <w:szCs w:val="18"/>
          <w:lang w:eastAsia="ar-SA"/>
        </w:rPr>
        <w:t>gencija</w:t>
      </w:r>
    </w:p>
    <w:p w14:paraId="1029DAA6" w14:textId="77777777" w:rsidR="005B58CE" w:rsidRPr="003F6E77" w:rsidRDefault="005B58CE" w:rsidP="005B58CE">
      <w:pPr>
        <w:jc w:val="both"/>
        <w:rPr>
          <w:rFonts w:cs="Arial"/>
          <w:sz w:val="18"/>
          <w:szCs w:val="18"/>
          <w:lang w:eastAsia="ar-SA"/>
        </w:rPr>
      </w:pPr>
    </w:p>
    <w:p w14:paraId="30B5C123" w14:textId="77777777" w:rsidR="005B58CE" w:rsidRDefault="005B58CE" w:rsidP="005B58CE">
      <w:pPr>
        <w:autoSpaceDE w:val="0"/>
        <w:autoSpaceDN w:val="0"/>
        <w:adjustRightInd w:val="0"/>
        <w:jc w:val="both"/>
        <w:rPr>
          <w:rFonts w:cs="Arial"/>
          <w:bCs/>
          <w:szCs w:val="20"/>
        </w:rPr>
      </w:pPr>
      <w:r>
        <w:rPr>
          <w:rFonts w:cs="Arial"/>
          <w:bCs/>
          <w:szCs w:val="20"/>
        </w:rPr>
        <w:t>Preglednica</w:t>
      </w:r>
      <w:r w:rsidRPr="003F6E77">
        <w:rPr>
          <w:rFonts w:cs="Arial"/>
          <w:bCs/>
          <w:szCs w:val="20"/>
        </w:rPr>
        <w:t xml:space="preserve"> </w:t>
      </w:r>
      <w:r>
        <w:rPr>
          <w:rFonts w:cs="Arial"/>
          <w:bCs/>
          <w:szCs w:val="20"/>
        </w:rPr>
        <w:t>4</w:t>
      </w:r>
      <w:r w:rsidRPr="003F6E77">
        <w:rPr>
          <w:rFonts w:cs="Arial"/>
          <w:bCs/>
          <w:szCs w:val="20"/>
        </w:rPr>
        <w:t xml:space="preserve">: Višina izplačanih sredstev za </w:t>
      </w:r>
      <w:r>
        <w:rPr>
          <w:rFonts w:cs="Arial"/>
          <w:bCs/>
          <w:szCs w:val="20"/>
        </w:rPr>
        <w:t>mala in srednje velika podjetja</w:t>
      </w:r>
      <w:r w:rsidRPr="003F6E77">
        <w:rPr>
          <w:rFonts w:cs="Arial"/>
          <w:bCs/>
          <w:szCs w:val="20"/>
        </w:rPr>
        <w:t xml:space="preserve"> in </w:t>
      </w:r>
      <w:r>
        <w:rPr>
          <w:rFonts w:cs="Arial"/>
          <w:bCs/>
          <w:szCs w:val="20"/>
        </w:rPr>
        <w:t>velika podjetja</w:t>
      </w:r>
    </w:p>
    <w:p w14:paraId="47BF2359" w14:textId="77777777" w:rsidR="005B58CE" w:rsidRPr="003F6E77" w:rsidRDefault="005B58CE" w:rsidP="005B58CE">
      <w:pPr>
        <w:autoSpaceDE w:val="0"/>
        <w:autoSpaceDN w:val="0"/>
        <w:adjustRightInd w:val="0"/>
        <w:jc w:val="both"/>
        <w:rPr>
          <w:rFonts w:cs="Arial"/>
          <w:bCs/>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9"/>
        <w:gridCol w:w="2367"/>
        <w:gridCol w:w="1711"/>
        <w:gridCol w:w="1897"/>
      </w:tblGrid>
      <w:tr w:rsidR="005B58CE" w:rsidRPr="007E0412" w14:paraId="70274F33" w14:textId="77777777" w:rsidTr="00585D6B">
        <w:tc>
          <w:tcPr>
            <w:tcW w:w="2739" w:type="dxa"/>
            <w:shd w:val="clear" w:color="auto" w:fill="D9D9D9"/>
            <w:vAlign w:val="center"/>
          </w:tcPr>
          <w:p w14:paraId="0ABBD9B0" w14:textId="77777777" w:rsidR="005B58CE" w:rsidRPr="007E0412" w:rsidRDefault="005B58CE" w:rsidP="00585D6B">
            <w:pPr>
              <w:autoSpaceDE w:val="0"/>
              <w:autoSpaceDN w:val="0"/>
              <w:adjustRightInd w:val="0"/>
              <w:jc w:val="center"/>
              <w:rPr>
                <w:rFonts w:cs="Arial"/>
                <w:b/>
                <w:szCs w:val="20"/>
              </w:rPr>
            </w:pPr>
            <w:r w:rsidRPr="007E0412">
              <w:rPr>
                <w:rFonts w:cs="Arial"/>
                <w:b/>
                <w:szCs w:val="20"/>
              </w:rPr>
              <w:t>Vrsta stroška</w:t>
            </w:r>
          </w:p>
        </w:tc>
        <w:tc>
          <w:tcPr>
            <w:tcW w:w="2367" w:type="dxa"/>
            <w:shd w:val="clear" w:color="auto" w:fill="D9D9D9"/>
            <w:vAlign w:val="center"/>
          </w:tcPr>
          <w:p w14:paraId="639AEBEF" w14:textId="77777777" w:rsidR="005B58CE" w:rsidRPr="00516031" w:rsidRDefault="005B58CE" w:rsidP="00585D6B">
            <w:pPr>
              <w:autoSpaceDE w:val="0"/>
              <w:autoSpaceDN w:val="0"/>
              <w:adjustRightInd w:val="0"/>
              <w:jc w:val="center"/>
              <w:rPr>
                <w:rFonts w:cs="Arial"/>
                <w:b/>
                <w:szCs w:val="20"/>
              </w:rPr>
            </w:pPr>
            <w:r w:rsidRPr="00516031">
              <w:rPr>
                <w:rFonts w:cs="Arial"/>
                <w:b/>
                <w:szCs w:val="20"/>
              </w:rPr>
              <w:t>Obseg do pomoči upravičenih kmetijskih površin (ha)</w:t>
            </w:r>
          </w:p>
        </w:tc>
        <w:tc>
          <w:tcPr>
            <w:tcW w:w="1711" w:type="dxa"/>
            <w:shd w:val="clear" w:color="auto" w:fill="D9D9D9"/>
            <w:vAlign w:val="center"/>
          </w:tcPr>
          <w:p w14:paraId="495A161A" w14:textId="77777777" w:rsidR="005B58CE" w:rsidRPr="00516031" w:rsidRDefault="005B58CE" w:rsidP="00585D6B">
            <w:pPr>
              <w:autoSpaceDE w:val="0"/>
              <w:autoSpaceDN w:val="0"/>
              <w:adjustRightInd w:val="0"/>
              <w:jc w:val="center"/>
              <w:rPr>
                <w:rFonts w:cs="Arial"/>
                <w:b/>
                <w:szCs w:val="20"/>
              </w:rPr>
            </w:pPr>
            <w:r w:rsidRPr="00516031">
              <w:rPr>
                <w:rFonts w:cs="Arial"/>
                <w:b/>
                <w:szCs w:val="20"/>
              </w:rPr>
              <w:t>Število upravičencev</w:t>
            </w:r>
          </w:p>
        </w:tc>
        <w:tc>
          <w:tcPr>
            <w:tcW w:w="1897" w:type="dxa"/>
            <w:shd w:val="clear" w:color="auto" w:fill="D9D9D9"/>
            <w:vAlign w:val="center"/>
          </w:tcPr>
          <w:p w14:paraId="200EBAF7" w14:textId="77777777" w:rsidR="005B58CE" w:rsidRPr="00516031" w:rsidRDefault="005B58CE" w:rsidP="00585D6B">
            <w:pPr>
              <w:autoSpaceDE w:val="0"/>
              <w:autoSpaceDN w:val="0"/>
              <w:adjustRightInd w:val="0"/>
              <w:jc w:val="center"/>
              <w:rPr>
                <w:rFonts w:cs="Arial"/>
                <w:b/>
                <w:szCs w:val="20"/>
              </w:rPr>
            </w:pPr>
            <w:r w:rsidRPr="00516031">
              <w:rPr>
                <w:rFonts w:cs="Arial"/>
                <w:b/>
                <w:szCs w:val="20"/>
              </w:rPr>
              <w:t>Znesek izplačil (EUR)</w:t>
            </w:r>
          </w:p>
        </w:tc>
      </w:tr>
      <w:tr w:rsidR="005B58CE" w:rsidRPr="007E0412" w14:paraId="691146FE" w14:textId="77777777" w:rsidTr="00585D6B">
        <w:tc>
          <w:tcPr>
            <w:tcW w:w="2739" w:type="dxa"/>
            <w:vAlign w:val="center"/>
          </w:tcPr>
          <w:p w14:paraId="2F163D95" w14:textId="77777777" w:rsidR="005B58CE" w:rsidRPr="007E0412" w:rsidRDefault="005B58CE" w:rsidP="00585D6B">
            <w:pPr>
              <w:autoSpaceDE w:val="0"/>
              <w:autoSpaceDN w:val="0"/>
              <w:adjustRightInd w:val="0"/>
              <w:rPr>
                <w:rFonts w:cs="Arial"/>
                <w:bCs/>
                <w:szCs w:val="20"/>
              </w:rPr>
            </w:pPr>
            <w:r w:rsidRPr="007E0412">
              <w:rPr>
                <w:rFonts w:cs="Arial"/>
                <w:bCs/>
                <w:szCs w:val="20"/>
              </w:rPr>
              <w:t xml:space="preserve">Mala in srednje velika podjetja </w:t>
            </w:r>
          </w:p>
        </w:tc>
        <w:tc>
          <w:tcPr>
            <w:tcW w:w="2367" w:type="dxa"/>
            <w:vAlign w:val="center"/>
          </w:tcPr>
          <w:p w14:paraId="03453FE5" w14:textId="77777777" w:rsidR="005B58CE" w:rsidRPr="00516031" w:rsidRDefault="005B58CE" w:rsidP="00585D6B">
            <w:pPr>
              <w:autoSpaceDE w:val="0"/>
              <w:autoSpaceDN w:val="0"/>
              <w:adjustRightInd w:val="0"/>
              <w:jc w:val="right"/>
            </w:pPr>
            <w:r w:rsidRPr="00516031">
              <w:t>1.117,58</w:t>
            </w:r>
          </w:p>
        </w:tc>
        <w:tc>
          <w:tcPr>
            <w:tcW w:w="1711" w:type="dxa"/>
            <w:vAlign w:val="center"/>
          </w:tcPr>
          <w:p w14:paraId="12B0E19A" w14:textId="77777777" w:rsidR="005B58CE" w:rsidRPr="00516031" w:rsidRDefault="005B58CE" w:rsidP="00585D6B">
            <w:pPr>
              <w:autoSpaceDE w:val="0"/>
              <w:autoSpaceDN w:val="0"/>
              <w:adjustRightInd w:val="0"/>
              <w:jc w:val="right"/>
              <w:rPr>
                <w:rFonts w:cs="Arial"/>
                <w:bCs/>
                <w:szCs w:val="20"/>
              </w:rPr>
            </w:pPr>
            <w:r w:rsidRPr="00516031">
              <w:t>507</w:t>
            </w:r>
          </w:p>
        </w:tc>
        <w:tc>
          <w:tcPr>
            <w:tcW w:w="1897" w:type="dxa"/>
            <w:vAlign w:val="center"/>
          </w:tcPr>
          <w:p w14:paraId="26CB8746" w14:textId="77777777" w:rsidR="005B58CE" w:rsidRPr="00516031" w:rsidRDefault="005B58CE" w:rsidP="00585D6B">
            <w:pPr>
              <w:spacing w:line="240" w:lineRule="auto"/>
              <w:jc w:val="right"/>
              <w:rPr>
                <w:rFonts w:ascii="Aptos Narrow" w:hAnsi="Aptos Narrow"/>
                <w:color w:val="000000"/>
                <w:sz w:val="22"/>
                <w:szCs w:val="22"/>
                <w:lang w:eastAsia="sl-SI"/>
              </w:rPr>
            </w:pPr>
            <w:r>
              <w:rPr>
                <w:rFonts w:ascii="Aptos Narrow" w:hAnsi="Aptos Narrow"/>
                <w:color w:val="000000"/>
                <w:sz w:val="22"/>
                <w:szCs w:val="22"/>
              </w:rPr>
              <w:t>2.506.654,38</w:t>
            </w:r>
          </w:p>
        </w:tc>
      </w:tr>
      <w:tr w:rsidR="005B58CE" w:rsidRPr="007E0412" w14:paraId="451D78F1" w14:textId="77777777" w:rsidTr="00585D6B">
        <w:tc>
          <w:tcPr>
            <w:tcW w:w="2739" w:type="dxa"/>
            <w:vAlign w:val="center"/>
          </w:tcPr>
          <w:p w14:paraId="56DD71D0" w14:textId="77777777" w:rsidR="005B58CE" w:rsidRPr="007E0412" w:rsidRDefault="005B58CE" w:rsidP="00585D6B">
            <w:pPr>
              <w:autoSpaceDE w:val="0"/>
              <w:autoSpaceDN w:val="0"/>
              <w:adjustRightInd w:val="0"/>
              <w:rPr>
                <w:rFonts w:cs="Arial"/>
                <w:bCs/>
                <w:szCs w:val="20"/>
              </w:rPr>
            </w:pPr>
            <w:r w:rsidRPr="007E0412">
              <w:rPr>
                <w:rFonts w:cs="Arial"/>
                <w:bCs/>
                <w:szCs w:val="20"/>
              </w:rPr>
              <w:t xml:space="preserve">Velika podjetja </w:t>
            </w:r>
          </w:p>
        </w:tc>
        <w:tc>
          <w:tcPr>
            <w:tcW w:w="2367" w:type="dxa"/>
            <w:vAlign w:val="center"/>
          </w:tcPr>
          <w:p w14:paraId="086415DA" w14:textId="77777777" w:rsidR="005B58CE" w:rsidRPr="00516031" w:rsidRDefault="005B58CE" w:rsidP="00585D6B">
            <w:pPr>
              <w:autoSpaceDE w:val="0"/>
              <w:autoSpaceDN w:val="0"/>
              <w:adjustRightInd w:val="0"/>
              <w:jc w:val="right"/>
            </w:pPr>
            <w:r w:rsidRPr="00516031">
              <w:t>5,60</w:t>
            </w:r>
          </w:p>
        </w:tc>
        <w:tc>
          <w:tcPr>
            <w:tcW w:w="1711" w:type="dxa"/>
            <w:vAlign w:val="center"/>
          </w:tcPr>
          <w:p w14:paraId="02A70525" w14:textId="77777777" w:rsidR="005B58CE" w:rsidRPr="00516031" w:rsidRDefault="005B58CE" w:rsidP="00585D6B">
            <w:pPr>
              <w:autoSpaceDE w:val="0"/>
              <w:autoSpaceDN w:val="0"/>
              <w:adjustRightInd w:val="0"/>
              <w:jc w:val="right"/>
              <w:rPr>
                <w:rFonts w:cs="Arial"/>
                <w:bCs/>
                <w:szCs w:val="20"/>
              </w:rPr>
            </w:pPr>
            <w:r w:rsidRPr="00516031">
              <w:t>2</w:t>
            </w:r>
          </w:p>
        </w:tc>
        <w:tc>
          <w:tcPr>
            <w:tcW w:w="1897" w:type="dxa"/>
            <w:vAlign w:val="center"/>
          </w:tcPr>
          <w:p w14:paraId="5C7D11B7" w14:textId="77777777" w:rsidR="005B58CE" w:rsidRPr="00516031" w:rsidRDefault="005B58CE" w:rsidP="00585D6B">
            <w:pPr>
              <w:autoSpaceDE w:val="0"/>
              <w:autoSpaceDN w:val="0"/>
              <w:adjustRightInd w:val="0"/>
              <w:jc w:val="right"/>
              <w:rPr>
                <w:rFonts w:cs="Arial"/>
                <w:bCs/>
                <w:szCs w:val="20"/>
              </w:rPr>
            </w:pPr>
            <w:r w:rsidRPr="00516031">
              <w:t>4.163,00</w:t>
            </w:r>
          </w:p>
        </w:tc>
      </w:tr>
      <w:tr w:rsidR="005B58CE" w:rsidRPr="007E0412" w14:paraId="56E3D02F" w14:textId="77777777" w:rsidTr="00585D6B">
        <w:tc>
          <w:tcPr>
            <w:tcW w:w="2739" w:type="dxa"/>
            <w:vAlign w:val="center"/>
          </w:tcPr>
          <w:p w14:paraId="16B58FC4" w14:textId="77777777" w:rsidR="005B58CE" w:rsidRPr="007E0412" w:rsidRDefault="005B58CE" w:rsidP="00585D6B">
            <w:pPr>
              <w:autoSpaceDE w:val="0"/>
              <w:autoSpaceDN w:val="0"/>
              <w:adjustRightInd w:val="0"/>
              <w:rPr>
                <w:rFonts w:cs="Arial"/>
                <w:b/>
                <w:bCs/>
                <w:szCs w:val="20"/>
              </w:rPr>
            </w:pPr>
            <w:r w:rsidRPr="007E0412">
              <w:rPr>
                <w:rFonts w:cs="Arial"/>
                <w:b/>
                <w:bCs/>
                <w:szCs w:val="20"/>
              </w:rPr>
              <w:t>SKUPAJ</w:t>
            </w:r>
          </w:p>
        </w:tc>
        <w:tc>
          <w:tcPr>
            <w:tcW w:w="2367" w:type="dxa"/>
            <w:vAlign w:val="center"/>
          </w:tcPr>
          <w:p w14:paraId="4E59205A" w14:textId="77777777" w:rsidR="005B58CE" w:rsidRPr="00516031" w:rsidRDefault="005B58CE" w:rsidP="00585D6B">
            <w:pPr>
              <w:autoSpaceDE w:val="0"/>
              <w:autoSpaceDN w:val="0"/>
              <w:adjustRightInd w:val="0"/>
              <w:jc w:val="right"/>
              <w:rPr>
                <w:b/>
                <w:bCs/>
              </w:rPr>
            </w:pPr>
            <w:r w:rsidRPr="00516031">
              <w:rPr>
                <w:b/>
                <w:bCs/>
              </w:rPr>
              <w:t>1123,18</w:t>
            </w:r>
          </w:p>
        </w:tc>
        <w:tc>
          <w:tcPr>
            <w:tcW w:w="1711" w:type="dxa"/>
            <w:vAlign w:val="center"/>
          </w:tcPr>
          <w:p w14:paraId="4C3B07D8" w14:textId="77777777" w:rsidR="005B58CE" w:rsidRPr="00516031" w:rsidRDefault="005B58CE" w:rsidP="00585D6B">
            <w:pPr>
              <w:autoSpaceDE w:val="0"/>
              <w:autoSpaceDN w:val="0"/>
              <w:adjustRightInd w:val="0"/>
              <w:jc w:val="right"/>
              <w:rPr>
                <w:rFonts w:cs="Arial"/>
                <w:b/>
                <w:bCs/>
                <w:szCs w:val="20"/>
              </w:rPr>
            </w:pPr>
            <w:r w:rsidRPr="00516031">
              <w:rPr>
                <w:b/>
                <w:bCs/>
              </w:rPr>
              <w:t>509</w:t>
            </w:r>
          </w:p>
        </w:tc>
        <w:tc>
          <w:tcPr>
            <w:tcW w:w="1897" w:type="dxa"/>
            <w:vAlign w:val="center"/>
          </w:tcPr>
          <w:p w14:paraId="0FA8B992" w14:textId="77777777" w:rsidR="005B58CE" w:rsidRPr="00516031" w:rsidRDefault="005B58CE" w:rsidP="00585D6B">
            <w:pPr>
              <w:autoSpaceDE w:val="0"/>
              <w:autoSpaceDN w:val="0"/>
              <w:adjustRightInd w:val="0"/>
              <w:jc w:val="right"/>
              <w:rPr>
                <w:rFonts w:cs="Arial"/>
                <w:b/>
                <w:bCs/>
                <w:szCs w:val="20"/>
              </w:rPr>
            </w:pPr>
            <w:r w:rsidRPr="00516031">
              <w:rPr>
                <w:rFonts w:cs="Arial"/>
                <w:b/>
                <w:bCs/>
                <w:color w:val="000000"/>
                <w:szCs w:val="20"/>
              </w:rPr>
              <w:t>2.510.817,38</w:t>
            </w:r>
          </w:p>
        </w:tc>
      </w:tr>
    </w:tbl>
    <w:p w14:paraId="7CB6731D" w14:textId="31599DA0" w:rsidR="005B58CE" w:rsidRPr="007E0412" w:rsidRDefault="005B58CE" w:rsidP="005B58CE">
      <w:pPr>
        <w:jc w:val="both"/>
        <w:rPr>
          <w:rFonts w:cs="Arial"/>
          <w:sz w:val="18"/>
          <w:szCs w:val="18"/>
          <w:lang w:eastAsia="ar-SA"/>
        </w:rPr>
      </w:pPr>
      <w:r w:rsidRPr="007E0412">
        <w:rPr>
          <w:rFonts w:cs="Arial"/>
          <w:sz w:val="18"/>
          <w:szCs w:val="18"/>
          <w:lang w:eastAsia="ar-SA"/>
        </w:rPr>
        <w:t xml:space="preserve">Vir: </w:t>
      </w:r>
      <w:r w:rsidR="007F4C5F">
        <w:rPr>
          <w:rFonts w:cs="Arial"/>
          <w:sz w:val="18"/>
          <w:szCs w:val="18"/>
          <w:lang w:eastAsia="ar-SA"/>
        </w:rPr>
        <w:t>a</w:t>
      </w:r>
      <w:r w:rsidRPr="007E0412">
        <w:rPr>
          <w:rFonts w:cs="Arial"/>
          <w:sz w:val="18"/>
          <w:szCs w:val="18"/>
          <w:lang w:eastAsia="ar-SA"/>
        </w:rPr>
        <w:t>gencija</w:t>
      </w:r>
    </w:p>
    <w:p w14:paraId="6239438E" w14:textId="77777777" w:rsidR="009828E7" w:rsidRDefault="009828E7" w:rsidP="00716FA8">
      <w:pPr>
        <w:autoSpaceDE w:val="0"/>
        <w:autoSpaceDN w:val="0"/>
        <w:adjustRightInd w:val="0"/>
        <w:jc w:val="both"/>
        <w:rPr>
          <w:rFonts w:cs="Arial"/>
          <w:szCs w:val="20"/>
          <w:highlight w:val="yellow"/>
          <w:lang w:eastAsia="sl-SI"/>
        </w:rPr>
      </w:pPr>
    </w:p>
    <w:p w14:paraId="5B87E436" w14:textId="77777777" w:rsidR="005B58CE" w:rsidRDefault="005B58CE" w:rsidP="005B58CE">
      <w:pPr>
        <w:jc w:val="both"/>
        <w:rPr>
          <w:rFonts w:cs="Arial"/>
          <w:noProof/>
          <w:szCs w:val="20"/>
        </w:rPr>
      </w:pPr>
      <w:r w:rsidRPr="007C3E8C">
        <w:rPr>
          <w:rFonts w:cs="Arial"/>
          <w:noProof/>
          <w:szCs w:val="20"/>
        </w:rPr>
        <w:t xml:space="preserve">V okviru projekta smo zagotovili stabilne razmere 509 najbolj prizadetim kmetijskim gospodarstvom, ki jih je v letu 2024 prizadela pozeba. Sredstva so se </w:t>
      </w:r>
      <w:r w:rsidRPr="007C3E8C">
        <w:rPr>
          <w:rFonts w:cs="Arial"/>
          <w:szCs w:val="20"/>
          <w:lang w:eastAsia="ar-SA"/>
        </w:rPr>
        <w:t xml:space="preserve">namenila </w:t>
      </w:r>
      <w:r w:rsidRPr="007C3E8C">
        <w:rPr>
          <w:rFonts w:cs="Arial"/>
          <w:noProof/>
          <w:szCs w:val="20"/>
        </w:rPr>
        <w:t>za izpad dohodka zaradi popolnega ali delnega uničenja primarne kmetijske proizvodnje.</w:t>
      </w:r>
      <w:r>
        <w:rPr>
          <w:rFonts w:cs="Arial"/>
          <w:noProof/>
          <w:szCs w:val="20"/>
        </w:rPr>
        <w:t xml:space="preserve"> </w:t>
      </w:r>
    </w:p>
    <w:p w14:paraId="074AC276" w14:textId="77777777" w:rsidR="005B58CE" w:rsidRPr="007C3E8C" w:rsidRDefault="005B58CE" w:rsidP="005B58CE">
      <w:pPr>
        <w:jc w:val="both"/>
        <w:rPr>
          <w:rFonts w:cs="Arial"/>
          <w:noProof/>
          <w:szCs w:val="20"/>
        </w:rPr>
      </w:pPr>
    </w:p>
    <w:p w14:paraId="4EB71033" w14:textId="21916171" w:rsidR="005B58CE" w:rsidRPr="005B58CE" w:rsidRDefault="005B58CE" w:rsidP="005B58CE">
      <w:pPr>
        <w:jc w:val="both"/>
        <w:rPr>
          <w:szCs w:val="20"/>
        </w:rPr>
      </w:pPr>
      <w:r w:rsidRPr="005345E4">
        <w:rPr>
          <w:szCs w:val="20"/>
        </w:rPr>
        <w:t xml:space="preserve">Pomoč za škodo po pozebi se je izplačala kot nadomestilo za izpad dohodka na 515,74 ha sadja in 607,44 ha grozdja. </w:t>
      </w:r>
    </w:p>
    <w:p w14:paraId="632DA267" w14:textId="77777777" w:rsidR="005B58CE" w:rsidRPr="00174809" w:rsidRDefault="005B58CE" w:rsidP="00716FA8">
      <w:pPr>
        <w:autoSpaceDE w:val="0"/>
        <w:autoSpaceDN w:val="0"/>
        <w:adjustRightInd w:val="0"/>
        <w:jc w:val="both"/>
        <w:rPr>
          <w:rFonts w:cs="Arial"/>
          <w:szCs w:val="20"/>
          <w:highlight w:val="yellow"/>
          <w:lang w:eastAsia="sl-SI"/>
        </w:rPr>
      </w:pPr>
    </w:p>
    <w:p w14:paraId="56AE9D2E" w14:textId="77777777" w:rsidR="00DB498F" w:rsidRDefault="00DB498F" w:rsidP="00716FA8">
      <w:pPr>
        <w:rPr>
          <w:rFonts w:cs="Arial"/>
          <w:szCs w:val="20"/>
          <w:lang w:eastAsia="sl-SI"/>
        </w:rPr>
      </w:pPr>
      <w:r>
        <w:rPr>
          <w:rFonts w:cs="Arial"/>
          <w:szCs w:val="20"/>
          <w:lang w:eastAsia="sl-SI"/>
        </w:rPr>
        <w:br w:type="page"/>
      </w:r>
    </w:p>
    <w:p w14:paraId="1B702DC3" w14:textId="7F8721C9" w:rsidR="00174809" w:rsidRPr="00174809" w:rsidRDefault="009828E7" w:rsidP="00174809">
      <w:pPr>
        <w:numPr>
          <w:ilvl w:val="0"/>
          <w:numId w:val="12"/>
        </w:numPr>
        <w:autoSpaceDE w:val="0"/>
        <w:autoSpaceDN w:val="0"/>
        <w:adjustRightInd w:val="0"/>
        <w:jc w:val="both"/>
        <w:rPr>
          <w:rFonts w:cs="Arial"/>
          <w:b/>
          <w:bCs/>
          <w:szCs w:val="20"/>
          <w:lang w:eastAsia="sl-SI"/>
        </w:rPr>
      </w:pPr>
      <w:bookmarkStart w:id="4" w:name="_Hlk205814674"/>
      <w:r w:rsidRPr="00174809">
        <w:rPr>
          <w:rFonts w:cs="Arial"/>
          <w:b/>
          <w:bCs/>
          <w:szCs w:val="20"/>
          <w:lang w:eastAsia="sl-SI"/>
        </w:rPr>
        <w:lastRenderedPageBreak/>
        <w:t xml:space="preserve">Poraba sredstev po </w:t>
      </w:r>
      <w:r w:rsidR="00174809" w:rsidRPr="00174809">
        <w:rPr>
          <w:rFonts w:cs="Arial"/>
          <w:b/>
          <w:bCs/>
          <w:szCs w:val="20"/>
          <w:lang w:eastAsia="sl-SI"/>
        </w:rPr>
        <w:t>Odlok</w:t>
      </w:r>
      <w:r w:rsidR="00174809">
        <w:rPr>
          <w:rFonts w:cs="Arial"/>
          <w:b/>
          <w:bCs/>
          <w:szCs w:val="20"/>
          <w:lang w:eastAsia="sl-SI"/>
        </w:rPr>
        <w:t>u</w:t>
      </w:r>
      <w:r w:rsidR="00174809" w:rsidRPr="00174809">
        <w:rPr>
          <w:rFonts w:cs="Arial"/>
          <w:b/>
          <w:bCs/>
          <w:szCs w:val="20"/>
          <w:lang w:eastAsia="sl-SI"/>
        </w:rPr>
        <w:t xml:space="preserve"> o finančni pomoči za odpravo posledic škode v kmetijstvu zaradi pozebe leta 2024</w:t>
      </w:r>
    </w:p>
    <w:bookmarkEnd w:id="4"/>
    <w:p w14:paraId="6456A273" w14:textId="77777777" w:rsidR="00174809" w:rsidRDefault="00174809" w:rsidP="00716FA8">
      <w:pPr>
        <w:autoSpaceDE w:val="0"/>
        <w:autoSpaceDN w:val="0"/>
        <w:adjustRightInd w:val="0"/>
        <w:jc w:val="both"/>
        <w:rPr>
          <w:rFonts w:cs="Arial"/>
          <w:szCs w:val="20"/>
          <w:lang w:eastAsia="sl-SI"/>
        </w:rPr>
      </w:pPr>
    </w:p>
    <w:p w14:paraId="5E634305" w14:textId="5E39DC6D" w:rsidR="005B58CE" w:rsidRDefault="005B58CE" w:rsidP="00716FA8">
      <w:pPr>
        <w:autoSpaceDE w:val="0"/>
        <w:autoSpaceDN w:val="0"/>
        <w:adjustRightInd w:val="0"/>
        <w:jc w:val="both"/>
        <w:rPr>
          <w:rFonts w:cs="Arial"/>
          <w:szCs w:val="20"/>
          <w:lang w:eastAsia="sl-SI"/>
        </w:rPr>
      </w:pPr>
      <w:r w:rsidRPr="00735692">
        <w:rPr>
          <w:rFonts w:cs="Arial"/>
          <w:bCs/>
          <w:szCs w:val="20"/>
        </w:rPr>
        <w:t>Pozeba je leta 2024 v 107</w:t>
      </w:r>
      <w:r>
        <w:rPr>
          <w:rFonts w:cs="Arial"/>
          <w:bCs/>
          <w:szCs w:val="20"/>
        </w:rPr>
        <w:t> </w:t>
      </w:r>
      <w:r w:rsidRPr="00735692">
        <w:rPr>
          <w:rFonts w:cs="Arial"/>
          <w:bCs/>
          <w:szCs w:val="20"/>
        </w:rPr>
        <w:t>občinah prizadela 1.207</w:t>
      </w:r>
      <w:r>
        <w:rPr>
          <w:rFonts w:cs="Arial"/>
          <w:bCs/>
          <w:szCs w:val="20"/>
        </w:rPr>
        <w:t> </w:t>
      </w:r>
      <w:r w:rsidRPr="00735692">
        <w:rPr>
          <w:rFonts w:cs="Arial"/>
          <w:bCs/>
          <w:szCs w:val="20"/>
        </w:rPr>
        <w:t>oškodovancev, na skupno 4.472,6 ha kmetijskih površin. Od tega je 100 % škodo utrpelo 121</w:t>
      </w:r>
      <w:r>
        <w:rPr>
          <w:rFonts w:cs="Arial"/>
          <w:bCs/>
          <w:szCs w:val="20"/>
        </w:rPr>
        <w:t> </w:t>
      </w:r>
      <w:r w:rsidRPr="00735692">
        <w:rPr>
          <w:rFonts w:cs="Arial"/>
          <w:bCs/>
          <w:szCs w:val="20"/>
        </w:rPr>
        <w:t>oškodovancev na 112,28 ha v višini 1.387.504,21 evra</w:t>
      </w:r>
    </w:p>
    <w:p w14:paraId="57414E0A" w14:textId="77777777" w:rsidR="005B58CE" w:rsidRDefault="005B58CE" w:rsidP="00716FA8">
      <w:pPr>
        <w:autoSpaceDE w:val="0"/>
        <w:autoSpaceDN w:val="0"/>
        <w:adjustRightInd w:val="0"/>
        <w:jc w:val="both"/>
        <w:rPr>
          <w:rFonts w:cs="Arial"/>
          <w:szCs w:val="20"/>
          <w:lang w:eastAsia="sl-SI"/>
        </w:rPr>
      </w:pPr>
    </w:p>
    <w:p w14:paraId="20CFCEB0" w14:textId="549B9E59" w:rsidR="009828E7" w:rsidRPr="00377126" w:rsidRDefault="009828E7" w:rsidP="00716FA8">
      <w:pPr>
        <w:autoSpaceDE w:val="0"/>
        <w:autoSpaceDN w:val="0"/>
        <w:adjustRightInd w:val="0"/>
        <w:jc w:val="both"/>
        <w:rPr>
          <w:rFonts w:cs="Arial"/>
          <w:szCs w:val="20"/>
          <w:lang w:eastAsia="sl-SI"/>
        </w:rPr>
      </w:pPr>
      <w:r w:rsidRPr="00766E6F">
        <w:rPr>
          <w:rFonts w:cs="Arial"/>
          <w:szCs w:val="20"/>
          <w:lang w:eastAsia="sl-SI"/>
        </w:rPr>
        <w:t>O višini finančn</w:t>
      </w:r>
      <w:r w:rsidR="00174809">
        <w:rPr>
          <w:rFonts w:cs="Arial"/>
          <w:szCs w:val="20"/>
          <w:lang w:eastAsia="sl-SI"/>
        </w:rPr>
        <w:t>e</w:t>
      </w:r>
      <w:r w:rsidRPr="00766E6F">
        <w:rPr>
          <w:rFonts w:cs="Arial"/>
          <w:szCs w:val="20"/>
          <w:lang w:eastAsia="sl-SI"/>
        </w:rPr>
        <w:t xml:space="preserve"> pomoči po</w:t>
      </w:r>
      <w:r w:rsidRPr="00BC159C">
        <w:rPr>
          <w:rFonts w:cs="Arial"/>
          <w:szCs w:val="20"/>
          <w:lang w:eastAsia="sl-SI"/>
        </w:rPr>
        <w:t xml:space="preserve"> </w:t>
      </w:r>
      <w:r w:rsidR="00174809" w:rsidRPr="00174809">
        <w:rPr>
          <w:rFonts w:cs="Arial"/>
          <w:szCs w:val="20"/>
          <w:lang w:eastAsia="sl-SI"/>
        </w:rPr>
        <w:t>Odlok</w:t>
      </w:r>
      <w:r w:rsidR="00174809">
        <w:rPr>
          <w:rFonts w:cs="Arial"/>
          <w:szCs w:val="20"/>
          <w:lang w:eastAsia="sl-SI"/>
        </w:rPr>
        <w:t>u</w:t>
      </w:r>
      <w:r w:rsidR="00174809" w:rsidRPr="00174809">
        <w:rPr>
          <w:rFonts w:cs="Arial"/>
          <w:szCs w:val="20"/>
          <w:lang w:eastAsia="sl-SI"/>
        </w:rPr>
        <w:t xml:space="preserve"> o finančni pomoči za odpravo posledic škode v kmetijstvu zaradi pozebe leta 2024</w:t>
      </w:r>
      <w:r w:rsidR="00174809">
        <w:rPr>
          <w:rFonts w:cs="Arial"/>
          <w:szCs w:val="20"/>
          <w:lang w:eastAsia="sl-SI"/>
        </w:rPr>
        <w:t xml:space="preserve"> (</w:t>
      </w:r>
      <w:r w:rsidR="00174809" w:rsidRPr="00174809">
        <w:rPr>
          <w:rFonts w:cs="Arial"/>
          <w:szCs w:val="20"/>
          <w:lang w:eastAsia="sl-SI"/>
        </w:rPr>
        <w:t>Uradni list RS, št. 53/25</w:t>
      </w:r>
      <w:r w:rsidR="00174809">
        <w:rPr>
          <w:rFonts w:cs="Arial"/>
          <w:szCs w:val="20"/>
          <w:lang w:eastAsia="sl-SI"/>
        </w:rPr>
        <w:t xml:space="preserve">), (v nadaljnjem besedilu: odlok), </w:t>
      </w:r>
      <w:r w:rsidRPr="00377126">
        <w:rPr>
          <w:rFonts w:cs="Arial"/>
          <w:szCs w:val="20"/>
          <w:lang w:eastAsia="sl-SI"/>
        </w:rPr>
        <w:t>je za posameznega oškodovanca odločala agencija.</w:t>
      </w:r>
    </w:p>
    <w:p w14:paraId="5F38F686" w14:textId="77777777" w:rsidR="009828E7" w:rsidRPr="00377126" w:rsidRDefault="009828E7" w:rsidP="00716FA8">
      <w:pPr>
        <w:autoSpaceDE w:val="0"/>
        <w:autoSpaceDN w:val="0"/>
        <w:adjustRightInd w:val="0"/>
        <w:jc w:val="both"/>
        <w:rPr>
          <w:rFonts w:cs="Arial"/>
          <w:szCs w:val="20"/>
          <w:lang w:eastAsia="sl-SI"/>
        </w:rPr>
      </w:pPr>
    </w:p>
    <w:p w14:paraId="5E69A0C3" w14:textId="47710F9A" w:rsidR="009828E7" w:rsidRPr="00766E6F" w:rsidRDefault="009828E7" w:rsidP="00716FA8">
      <w:pPr>
        <w:autoSpaceDE w:val="0"/>
        <w:autoSpaceDN w:val="0"/>
        <w:adjustRightInd w:val="0"/>
        <w:jc w:val="both"/>
        <w:rPr>
          <w:rFonts w:cs="Arial"/>
          <w:szCs w:val="20"/>
          <w:lang w:eastAsia="sl-SI"/>
        </w:rPr>
      </w:pPr>
      <w:r w:rsidRPr="00766E6F">
        <w:rPr>
          <w:rFonts w:cs="Arial"/>
          <w:szCs w:val="20"/>
          <w:lang w:eastAsia="sl-SI"/>
        </w:rPr>
        <w:t xml:space="preserve">Agencija je odločala na podlagi podatkov iz </w:t>
      </w:r>
      <w:r w:rsidR="00174809">
        <w:rPr>
          <w:rFonts w:cs="Arial"/>
          <w:szCs w:val="20"/>
          <w:lang w:eastAsia="sl-SI"/>
        </w:rPr>
        <w:t>o</w:t>
      </w:r>
      <w:r w:rsidR="00174809" w:rsidRPr="00174809">
        <w:rPr>
          <w:rFonts w:cs="Arial"/>
          <w:szCs w:val="20"/>
          <w:lang w:eastAsia="sl-SI"/>
        </w:rPr>
        <w:t>cen</w:t>
      </w:r>
      <w:r w:rsidR="00174809">
        <w:rPr>
          <w:rFonts w:cs="Arial"/>
          <w:szCs w:val="20"/>
          <w:lang w:eastAsia="sl-SI"/>
        </w:rPr>
        <w:t>e</w:t>
      </w:r>
      <w:r w:rsidR="00174809" w:rsidRPr="00174809">
        <w:rPr>
          <w:rFonts w:cs="Arial"/>
          <w:szCs w:val="20"/>
          <w:lang w:eastAsia="sl-SI"/>
        </w:rPr>
        <w:t xml:space="preserve"> neposredne škode na trajnih nasadih zaradi posledic pozebe med 17. in 22. aprilom 2024, ki jo je Vlada Republike Slovenije potrdila s sklepom št. 84400-2/2025/3 z dne 20. februarja 2025</w:t>
      </w:r>
      <w:r w:rsidR="00174809">
        <w:rPr>
          <w:rFonts w:cs="Arial"/>
          <w:szCs w:val="20"/>
          <w:lang w:eastAsia="sl-SI"/>
        </w:rPr>
        <w:t xml:space="preserve"> (v nadaljnjem besedilu: ocena škode), </w:t>
      </w:r>
      <w:r w:rsidRPr="00766E6F">
        <w:rPr>
          <w:rFonts w:cs="Arial"/>
          <w:szCs w:val="20"/>
          <w:lang w:eastAsia="sl-SI"/>
        </w:rPr>
        <w:t>ki jih je prevzela iz aplikacije AJDA</w:t>
      </w:r>
      <w:r w:rsidR="00174809">
        <w:rPr>
          <w:rFonts w:cs="Arial"/>
          <w:szCs w:val="20"/>
          <w:lang w:eastAsia="sl-SI"/>
        </w:rPr>
        <w:t>, ki jo upravlja Uprava RS za zaščito in reševanje.</w:t>
      </w:r>
    </w:p>
    <w:p w14:paraId="6C65566E" w14:textId="77777777" w:rsidR="005B58CE" w:rsidRDefault="005B58CE" w:rsidP="005B58CE">
      <w:pPr>
        <w:overflowPunct w:val="0"/>
        <w:autoSpaceDE w:val="0"/>
        <w:autoSpaceDN w:val="0"/>
        <w:adjustRightInd w:val="0"/>
        <w:jc w:val="both"/>
        <w:textAlignment w:val="baseline"/>
        <w:rPr>
          <w:rFonts w:cs="Arial"/>
          <w:color w:val="000000"/>
          <w:szCs w:val="20"/>
        </w:rPr>
      </w:pPr>
    </w:p>
    <w:p w14:paraId="6A451F6E" w14:textId="78D3B21F" w:rsidR="005B58CE" w:rsidRDefault="005B58CE" w:rsidP="005B58CE">
      <w:pPr>
        <w:overflowPunct w:val="0"/>
        <w:autoSpaceDE w:val="0"/>
        <w:autoSpaceDN w:val="0"/>
        <w:adjustRightInd w:val="0"/>
        <w:jc w:val="both"/>
        <w:textAlignment w:val="baseline"/>
        <w:rPr>
          <w:rFonts w:cs="Arial"/>
          <w:color w:val="000000"/>
          <w:szCs w:val="20"/>
        </w:rPr>
      </w:pPr>
      <w:r w:rsidRPr="00CF7DFE">
        <w:rPr>
          <w:rFonts w:cs="Arial"/>
          <w:color w:val="000000"/>
          <w:szCs w:val="20"/>
        </w:rPr>
        <w:t>Pomoč se je dodelila in izplačala kot de minimis pomoč v skladu z Uredbo Komisije (EU) št. 1408/2013 z dne 18. decembra 2013 o uporabi členov 107 in 108 Pogodbe o delovanju Evropske unije pri pomoči de minimis v kmetijskem sektorju (UL L št. 352 z dne 24. 12. 2013, str. 9), zadnjič spremenjeno z Uredbo Komisije (EU) 2024/3118 z dne 10. decembra 2024 o spremembi Uredbe (EU) št. 1408/2013 o uporabi členov 107 in 108 Pogodbe o delovanju Evropske unije pri pomoči de minimis v kmetijskem sektorju (UL L št. 2024/3118 z dne 13. 12. 2024)</w:t>
      </w:r>
      <w:r>
        <w:rPr>
          <w:rFonts w:cs="Arial"/>
          <w:color w:val="000000"/>
          <w:szCs w:val="20"/>
        </w:rPr>
        <w:t>.</w:t>
      </w:r>
    </w:p>
    <w:p w14:paraId="7B5BC3F2" w14:textId="77777777" w:rsidR="00CF7DFE" w:rsidRDefault="00CF7DFE" w:rsidP="00716FA8">
      <w:pPr>
        <w:autoSpaceDE w:val="0"/>
        <w:autoSpaceDN w:val="0"/>
        <w:adjustRightInd w:val="0"/>
        <w:jc w:val="both"/>
        <w:rPr>
          <w:rFonts w:cs="Arial"/>
          <w:szCs w:val="20"/>
          <w:lang w:eastAsia="sl-SI"/>
        </w:rPr>
      </w:pPr>
    </w:p>
    <w:p w14:paraId="45DE537B" w14:textId="195A75EE" w:rsidR="005B58CE" w:rsidRDefault="004C0F05" w:rsidP="00716FA8">
      <w:pPr>
        <w:overflowPunct w:val="0"/>
        <w:autoSpaceDE w:val="0"/>
        <w:autoSpaceDN w:val="0"/>
        <w:adjustRightInd w:val="0"/>
        <w:jc w:val="both"/>
        <w:textAlignment w:val="baseline"/>
        <w:rPr>
          <w:rFonts w:cs="Arial"/>
          <w:color w:val="000000"/>
          <w:szCs w:val="20"/>
        </w:rPr>
      </w:pPr>
      <w:bookmarkStart w:id="5" w:name="_Hlk197588689"/>
      <w:r>
        <w:rPr>
          <w:rFonts w:cs="Arial"/>
          <w:noProof/>
          <w:szCs w:val="20"/>
          <w:lang w:eastAsia="sl-SI"/>
        </w:rPr>
        <w:t>Za dodelitev</w:t>
      </w:r>
      <w:r w:rsidR="00174809">
        <w:rPr>
          <w:rFonts w:cs="Arial"/>
          <w:noProof/>
          <w:szCs w:val="20"/>
          <w:lang w:eastAsia="sl-SI"/>
        </w:rPr>
        <w:t xml:space="preserve"> finančne</w:t>
      </w:r>
      <w:r>
        <w:rPr>
          <w:rFonts w:cs="Arial"/>
          <w:noProof/>
          <w:szCs w:val="20"/>
          <w:lang w:eastAsia="sl-SI"/>
        </w:rPr>
        <w:t xml:space="preserve"> pomoči za odpravo posledic pozebe leta 202</w:t>
      </w:r>
      <w:r w:rsidR="00174809">
        <w:rPr>
          <w:rFonts w:cs="Arial"/>
          <w:noProof/>
          <w:szCs w:val="20"/>
          <w:lang w:eastAsia="sl-SI"/>
        </w:rPr>
        <w:t>4</w:t>
      </w:r>
      <w:r>
        <w:rPr>
          <w:rFonts w:cs="Arial"/>
          <w:noProof/>
          <w:szCs w:val="20"/>
          <w:lang w:eastAsia="sl-SI"/>
        </w:rPr>
        <w:t xml:space="preserve"> so bila v letu 202</w:t>
      </w:r>
      <w:r w:rsidR="00CF7DFE">
        <w:rPr>
          <w:rFonts w:cs="Arial"/>
          <w:noProof/>
          <w:szCs w:val="20"/>
          <w:lang w:eastAsia="sl-SI"/>
        </w:rPr>
        <w:t>5</w:t>
      </w:r>
      <w:r>
        <w:rPr>
          <w:rFonts w:cs="Arial"/>
          <w:noProof/>
          <w:szCs w:val="20"/>
          <w:lang w:eastAsia="sl-SI"/>
        </w:rPr>
        <w:t xml:space="preserve"> zagotovljena sredstva </w:t>
      </w:r>
      <w:r w:rsidR="00027B4A">
        <w:rPr>
          <w:rFonts w:cs="Arial"/>
          <w:noProof/>
          <w:szCs w:val="20"/>
          <w:lang w:eastAsia="sl-SI"/>
        </w:rPr>
        <w:t xml:space="preserve">proračunske rezerve </w:t>
      </w:r>
      <w:r>
        <w:rPr>
          <w:rFonts w:cs="Arial"/>
          <w:noProof/>
          <w:szCs w:val="20"/>
          <w:lang w:eastAsia="sl-SI"/>
        </w:rPr>
        <w:t xml:space="preserve">v </w:t>
      </w:r>
      <w:r w:rsidRPr="00CF7DFE">
        <w:rPr>
          <w:rFonts w:cs="Arial"/>
          <w:noProof/>
          <w:szCs w:val="20"/>
          <w:lang w:eastAsia="sl-SI"/>
        </w:rPr>
        <w:t xml:space="preserve">višini </w:t>
      </w:r>
      <w:r w:rsidR="00CF7DFE" w:rsidRPr="00CF7DFE">
        <w:rPr>
          <w:rFonts w:cs="Arial"/>
          <w:szCs w:val="20"/>
          <w:lang w:eastAsia="zh-CN"/>
        </w:rPr>
        <w:t>420</w:t>
      </w:r>
      <w:r w:rsidRPr="00CF7DFE">
        <w:rPr>
          <w:rFonts w:cs="Arial"/>
          <w:szCs w:val="20"/>
          <w:lang w:eastAsia="zh-CN"/>
        </w:rPr>
        <w:t xml:space="preserve">.000 </w:t>
      </w:r>
      <w:r w:rsidRPr="00CF7DFE">
        <w:rPr>
          <w:rFonts w:cs="Arial"/>
          <w:noProof/>
          <w:szCs w:val="20"/>
          <w:lang w:eastAsia="sl-SI"/>
        </w:rPr>
        <w:t xml:space="preserve">evra iz </w:t>
      </w:r>
      <w:bookmarkStart w:id="6" w:name="_Hlk191624557"/>
      <w:r w:rsidRPr="00CF7DFE">
        <w:rPr>
          <w:rFonts w:cs="Arial"/>
          <w:bCs/>
          <w:szCs w:val="20"/>
        </w:rPr>
        <w:t>proračunske postavke</w:t>
      </w:r>
      <w:r w:rsidRPr="00CF7DFE">
        <w:rPr>
          <w:rFonts w:cs="Arial"/>
          <w:color w:val="000000"/>
          <w:szCs w:val="20"/>
        </w:rPr>
        <w:t xml:space="preserve"> </w:t>
      </w:r>
      <w:r w:rsidR="005B58CE" w:rsidRPr="005B58CE">
        <w:rPr>
          <w:rFonts w:cs="Arial"/>
          <w:color w:val="000000"/>
          <w:szCs w:val="20"/>
        </w:rPr>
        <w:t>10266 – Programi odprave posledic nesreč – pozeba 17.-22. april 2024</w:t>
      </w:r>
      <w:r w:rsidR="005B58CE">
        <w:rPr>
          <w:rFonts w:cs="Arial"/>
          <w:color w:val="000000"/>
          <w:szCs w:val="20"/>
        </w:rPr>
        <w:t>, NRP</w:t>
      </w:r>
      <w:r w:rsidR="005B58CE" w:rsidRPr="005B58CE">
        <w:t xml:space="preserve"> </w:t>
      </w:r>
      <w:r w:rsidR="005B58CE" w:rsidRPr="005B58CE">
        <w:rPr>
          <w:rFonts w:cs="Arial"/>
          <w:color w:val="000000"/>
          <w:szCs w:val="20"/>
        </w:rPr>
        <w:t>2330-25-0038 Popolna škoda zaradi pozebe leta 2024</w:t>
      </w:r>
    </w:p>
    <w:p w14:paraId="067A2270" w14:textId="77777777" w:rsidR="005B58CE" w:rsidRDefault="005B58CE" w:rsidP="00716FA8">
      <w:pPr>
        <w:overflowPunct w:val="0"/>
        <w:autoSpaceDE w:val="0"/>
        <w:autoSpaceDN w:val="0"/>
        <w:adjustRightInd w:val="0"/>
        <w:jc w:val="both"/>
        <w:textAlignment w:val="baseline"/>
        <w:rPr>
          <w:rFonts w:cs="Arial"/>
          <w:color w:val="000000"/>
          <w:szCs w:val="20"/>
        </w:rPr>
      </w:pPr>
    </w:p>
    <w:p w14:paraId="3950174F" w14:textId="77777777" w:rsidR="005B58CE" w:rsidRPr="00BF49D7" w:rsidRDefault="005B58CE" w:rsidP="005B58CE">
      <w:pPr>
        <w:jc w:val="both"/>
        <w:rPr>
          <w:rFonts w:cs="Arial"/>
          <w:szCs w:val="20"/>
        </w:rPr>
      </w:pPr>
      <w:bookmarkStart w:id="7" w:name="_Hlk191373869"/>
      <w:bookmarkEnd w:id="5"/>
      <w:bookmarkEnd w:id="6"/>
      <w:r w:rsidRPr="00BF49D7">
        <w:rPr>
          <w:rFonts w:cs="Arial"/>
          <w:szCs w:val="20"/>
        </w:rPr>
        <w:t xml:space="preserve">Na podlagi odloka je agencija v letu 2025 izdala skupno 121 odločb, od tega je bilo 119 pozitivnih in 2 negativnih. </w:t>
      </w:r>
    </w:p>
    <w:p w14:paraId="509B0372" w14:textId="77777777" w:rsidR="005B58CE" w:rsidRPr="00BF49D7" w:rsidRDefault="005B58CE" w:rsidP="005B58CE">
      <w:pPr>
        <w:jc w:val="both"/>
        <w:rPr>
          <w:rFonts w:cs="Arial"/>
          <w:szCs w:val="20"/>
        </w:rPr>
      </w:pPr>
    </w:p>
    <w:p w14:paraId="65E00CC5" w14:textId="77777777" w:rsidR="005B58CE" w:rsidRPr="00BF49D7" w:rsidRDefault="005B58CE" w:rsidP="005B58CE">
      <w:pPr>
        <w:jc w:val="both"/>
        <w:rPr>
          <w:rFonts w:cs="Arial"/>
          <w:szCs w:val="20"/>
        </w:rPr>
      </w:pPr>
      <w:r w:rsidRPr="00BF49D7">
        <w:rPr>
          <w:rFonts w:cs="Arial"/>
          <w:szCs w:val="20"/>
        </w:rPr>
        <w:t>Preglednica 1: Število obravnavanih odločb</w:t>
      </w:r>
    </w:p>
    <w:tbl>
      <w:tblPr>
        <w:tblW w:w="0" w:type="auto"/>
        <w:tblInd w:w="108" w:type="dxa"/>
        <w:tblLook w:val="01E0" w:firstRow="1" w:lastRow="1" w:firstColumn="1" w:lastColumn="1" w:noHBand="0" w:noVBand="0"/>
      </w:tblPr>
      <w:tblGrid>
        <w:gridCol w:w="4849"/>
        <w:gridCol w:w="3407"/>
      </w:tblGrid>
      <w:tr w:rsidR="005B58CE" w:rsidRPr="00BF49D7" w14:paraId="2AF26483" w14:textId="77777777" w:rsidTr="00585D6B">
        <w:tc>
          <w:tcPr>
            <w:tcW w:w="4849" w:type="dxa"/>
            <w:tcBorders>
              <w:top w:val="single" w:sz="4" w:space="0" w:color="auto"/>
              <w:left w:val="single" w:sz="4" w:space="0" w:color="auto"/>
              <w:bottom w:val="single" w:sz="4" w:space="0" w:color="auto"/>
              <w:right w:val="single" w:sz="4" w:space="0" w:color="auto"/>
            </w:tcBorders>
            <w:vAlign w:val="center"/>
          </w:tcPr>
          <w:p w14:paraId="5F56D208" w14:textId="77777777" w:rsidR="005B58CE" w:rsidRPr="00BF49D7" w:rsidRDefault="005B58CE" w:rsidP="00585D6B">
            <w:pPr>
              <w:keepNext/>
              <w:keepLines/>
              <w:autoSpaceDE w:val="0"/>
              <w:autoSpaceDN w:val="0"/>
              <w:adjustRightInd w:val="0"/>
              <w:rPr>
                <w:rFonts w:cs="Arial"/>
                <w:noProof/>
                <w:szCs w:val="20"/>
                <w:lang w:eastAsia="sl-SI"/>
              </w:rPr>
            </w:pPr>
            <w:r w:rsidRPr="00BF49D7">
              <w:rPr>
                <w:rFonts w:cs="Arial"/>
                <w:noProof/>
                <w:szCs w:val="20"/>
                <w:lang w:eastAsia="sl-SI"/>
              </w:rPr>
              <w:t>Število pozitivnih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20C46F66" w14:textId="77777777" w:rsidR="005B58CE" w:rsidRPr="00BF49D7" w:rsidRDefault="005B58CE" w:rsidP="00585D6B">
            <w:pPr>
              <w:keepNext/>
              <w:keepLines/>
              <w:autoSpaceDE w:val="0"/>
              <w:autoSpaceDN w:val="0"/>
              <w:adjustRightInd w:val="0"/>
              <w:jc w:val="right"/>
              <w:rPr>
                <w:rFonts w:cs="Arial"/>
                <w:noProof/>
                <w:szCs w:val="20"/>
                <w:lang w:eastAsia="sl-SI"/>
              </w:rPr>
            </w:pPr>
            <w:r w:rsidRPr="00BF49D7">
              <w:rPr>
                <w:rFonts w:cs="Arial"/>
                <w:noProof/>
                <w:szCs w:val="20"/>
                <w:lang w:eastAsia="sl-SI"/>
              </w:rPr>
              <w:t>119</w:t>
            </w:r>
          </w:p>
        </w:tc>
      </w:tr>
      <w:tr w:rsidR="005B58CE" w:rsidRPr="00BF49D7" w14:paraId="039AC209" w14:textId="77777777" w:rsidTr="00585D6B">
        <w:trPr>
          <w:trHeight w:val="295"/>
        </w:trPr>
        <w:tc>
          <w:tcPr>
            <w:tcW w:w="4849" w:type="dxa"/>
            <w:tcBorders>
              <w:top w:val="single" w:sz="4" w:space="0" w:color="auto"/>
              <w:left w:val="single" w:sz="4" w:space="0" w:color="auto"/>
              <w:bottom w:val="single" w:sz="4" w:space="0" w:color="auto"/>
              <w:right w:val="single" w:sz="4" w:space="0" w:color="auto"/>
            </w:tcBorders>
            <w:vAlign w:val="center"/>
          </w:tcPr>
          <w:p w14:paraId="3006C1DE" w14:textId="77777777" w:rsidR="005B58CE" w:rsidRPr="00BF49D7" w:rsidRDefault="005B58CE" w:rsidP="00585D6B">
            <w:pPr>
              <w:keepNext/>
              <w:keepLines/>
              <w:autoSpaceDE w:val="0"/>
              <w:autoSpaceDN w:val="0"/>
              <w:adjustRightInd w:val="0"/>
              <w:rPr>
                <w:rFonts w:cs="Arial"/>
                <w:bCs/>
                <w:noProof/>
                <w:szCs w:val="20"/>
                <w:lang w:eastAsia="sl-SI"/>
              </w:rPr>
            </w:pPr>
            <w:r w:rsidRPr="00BF49D7">
              <w:rPr>
                <w:rFonts w:cs="Arial"/>
                <w:bCs/>
                <w:noProof/>
                <w:szCs w:val="20"/>
                <w:lang w:eastAsia="sl-SI"/>
              </w:rPr>
              <w:t>Število negativnih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0E48380B" w14:textId="77777777" w:rsidR="005B58CE" w:rsidRPr="00BF49D7" w:rsidRDefault="005B58CE" w:rsidP="00585D6B">
            <w:pPr>
              <w:keepNext/>
              <w:keepLines/>
              <w:autoSpaceDE w:val="0"/>
              <w:autoSpaceDN w:val="0"/>
              <w:adjustRightInd w:val="0"/>
              <w:jc w:val="right"/>
              <w:rPr>
                <w:rFonts w:cs="Arial"/>
                <w:bCs/>
                <w:noProof/>
                <w:szCs w:val="20"/>
                <w:lang w:eastAsia="sl-SI"/>
              </w:rPr>
            </w:pPr>
            <w:r w:rsidRPr="00BF49D7">
              <w:rPr>
                <w:rFonts w:cs="Arial"/>
                <w:bCs/>
                <w:noProof/>
                <w:szCs w:val="20"/>
                <w:lang w:eastAsia="sl-SI"/>
              </w:rPr>
              <w:t>2</w:t>
            </w:r>
          </w:p>
        </w:tc>
      </w:tr>
      <w:tr w:rsidR="005B58CE" w:rsidRPr="00BF49D7" w14:paraId="0E7577C7" w14:textId="77777777" w:rsidTr="00585D6B">
        <w:trPr>
          <w:trHeight w:val="317"/>
        </w:trPr>
        <w:tc>
          <w:tcPr>
            <w:tcW w:w="4849" w:type="dxa"/>
            <w:tcBorders>
              <w:top w:val="single" w:sz="4" w:space="0" w:color="auto"/>
              <w:left w:val="single" w:sz="4" w:space="0" w:color="auto"/>
              <w:bottom w:val="single" w:sz="4" w:space="0" w:color="auto"/>
              <w:right w:val="single" w:sz="4" w:space="0" w:color="auto"/>
            </w:tcBorders>
            <w:vAlign w:val="center"/>
          </w:tcPr>
          <w:p w14:paraId="6312840C" w14:textId="77777777" w:rsidR="005B58CE" w:rsidRPr="00BF49D7" w:rsidRDefault="005B58CE" w:rsidP="00585D6B">
            <w:pPr>
              <w:keepNext/>
              <w:keepLines/>
              <w:shd w:val="clear" w:color="auto" w:fill="FFFFFF"/>
              <w:autoSpaceDE w:val="0"/>
              <w:autoSpaceDN w:val="0"/>
              <w:adjustRightInd w:val="0"/>
              <w:rPr>
                <w:rFonts w:cs="Arial"/>
                <w:bCs/>
                <w:noProof/>
                <w:szCs w:val="20"/>
                <w:lang w:eastAsia="sl-SI"/>
              </w:rPr>
            </w:pPr>
            <w:r w:rsidRPr="00BF49D7">
              <w:rPr>
                <w:rFonts w:cs="Arial"/>
                <w:bCs/>
                <w:noProof/>
                <w:szCs w:val="20"/>
                <w:lang w:eastAsia="sl-SI"/>
              </w:rPr>
              <w:t>Število (ne) izdanih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5860A3B7" w14:textId="77777777" w:rsidR="005B58CE" w:rsidRPr="00BF49D7" w:rsidRDefault="005B58CE" w:rsidP="00585D6B">
            <w:pPr>
              <w:keepNext/>
              <w:keepLines/>
              <w:shd w:val="clear" w:color="auto" w:fill="FFFFFF"/>
              <w:autoSpaceDE w:val="0"/>
              <w:autoSpaceDN w:val="0"/>
              <w:adjustRightInd w:val="0"/>
              <w:jc w:val="right"/>
              <w:rPr>
                <w:rFonts w:cs="Arial"/>
                <w:bCs/>
                <w:noProof/>
                <w:szCs w:val="20"/>
                <w:lang w:eastAsia="sl-SI"/>
              </w:rPr>
            </w:pPr>
            <w:r w:rsidRPr="00BF49D7">
              <w:rPr>
                <w:rFonts w:cs="Arial"/>
                <w:bCs/>
                <w:noProof/>
                <w:szCs w:val="20"/>
                <w:lang w:eastAsia="sl-SI"/>
              </w:rPr>
              <w:t>0</w:t>
            </w:r>
          </w:p>
        </w:tc>
      </w:tr>
      <w:tr w:rsidR="005B58CE" w:rsidRPr="00C76D6D" w14:paraId="16E78F33" w14:textId="77777777" w:rsidTr="00585D6B">
        <w:trPr>
          <w:trHeight w:val="325"/>
        </w:trPr>
        <w:tc>
          <w:tcPr>
            <w:tcW w:w="4849" w:type="dxa"/>
            <w:tcBorders>
              <w:top w:val="single" w:sz="4" w:space="0" w:color="auto"/>
              <w:left w:val="single" w:sz="4" w:space="0" w:color="auto"/>
              <w:bottom w:val="single" w:sz="4" w:space="0" w:color="auto"/>
              <w:right w:val="single" w:sz="4" w:space="0" w:color="auto"/>
            </w:tcBorders>
            <w:vAlign w:val="center"/>
            <w:hideMark/>
          </w:tcPr>
          <w:p w14:paraId="4B80CE08" w14:textId="77777777" w:rsidR="005B58CE" w:rsidRPr="00BF49D7" w:rsidRDefault="005B58CE" w:rsidP="00585D6B">
            <w:pPr>
              <w:keepNext/>
              <w:keepLines/>
              <w:shd w:val="clear" w:color="auto" w:fill="FFFFFF"/>
              <w:autoSpaceDE w:val="0"/>
              <w:autoSpaceDN w:val="0"/>
              <w:adjustRightInd w:val="0"/>
              <w:rPr>
                <w:rFonts w:cs="Arial"/>
                <w:b/>
                <w:bCs/>
                <w:noProof/>
                <w:szCs w:val="20"/>
                <w:lang w:eastAsia="sl-SI"/>
              </w:rPr>
            </w:pPr>
            <w:r w:rsidRPr="00BF49D7">
              <w:rPr>
                <w:rFonts w:cs="Arial"/>
                <w:b/>
                <w:bCs/>
                <w:noProof/>
                <w:szCs w:val="20"/>
                <w:lang w:eastAsia="sl-SI"/>
              </w:rPr>
              <w:t>Število obravnavanih odločb skupaj</w:t>
            </w:r>
          </w:p>
        </w:tc>
        <w:tc>
          <w:tcPr>
            <w:tcW w:w="3407" w:type="dxa"/>
            <w:tcBorders>
              <w:top w:val="single" w:sz="4" w:space="0" w:color="auto"/>
              <w:left w:val="single" w:sz="4" w:space="0" w:color="auto"/>
              <w:bottom w:val="single" w:sz="4" w:space="0" w:color="auto"/>
              <w:right w:val="single" w:sz="4" w:space="0" w:color="auto"/>
            </w:tcBorders>
            <w:vAlign w:val="center"/>
            <w:hideMark/>
          </w:tcPr>
          <w:p w14:paraId="276CE059" w14:textId="77777777" w:rsidR="005B58CE" w:rsidRPr="00C76D6D" w:rsidRDefault="005B58CE" w:rsidP="00585D6B">
            <w:pPr>
              <w:keepNext/>
              <w:keepLines/>
              <w:shd w:val="clear" w:color="auto" w:fill="FFFFFF"/>
              <w:autoSpaceDE w:val="0"/>
              <w:autoSpaceDN w:val="0"/>
              <w:adjustRightInd w:val="0"/>
              <w:jc w:val="right"/>
              <w:rPr>
                <w:rFonts w:cs="Arial"/>
                <w:b/>
                <w:bCs/>
                <w:noProof/>
                <w:szCs w:val="20"/>
                <w:lang w:eastAsia="sl-SI"/>
              </w:rPr>
            </w:pPr>
            <w:r w:rsidRPr="00BF49D7">
              <w:rPr>
                <w:rFonts w:cs="Arial"/>
                <w:b/>
                <w:bCs/>
                <w:noProof/>
                <w:szCs w:val="20"/>
                <w:lang w:eastAsia="sl-SI"/>
              </w:rPr>
              <w:t>121</w:t>
            </w:r>
          </w:p>
        </w:tc>
      </w:tr>
    </w:tbl>
    <w:p w14:paraId="4C6D5B56" w14:textId="6F193AB8" w:rsidR="005B58CE" w:rsidRPr="00C76D6D" w:rsidRDefault="005B58CE" w:rsidP="005B58CE">
      <w:pPr>
        <w:shd w:val="clear" w:color="auto" w:fill="FFFFFF"/>
        <w:jc w:val="both"/>
        <w:rPr>
          <w:rFonts w:cs="Arial"/>
          <w:sz w:val="18"/>
          <w:szCs w:val="18"/>
        </w:rPr>
      </w:pPr>
      <w:r w:rsidRPr="00C76D6D">
        <w:rPr>
          <w:rFonts w:cs="Arial"/>
          <w:sz w:val="18"/>
          <w:szCs w:val="18"/>
        </w:rPr>
        <w:t>Vir:</w:t>
      </w:r>
      <w:r w:rsidR="007F4C5F">
        <w:rPr>
          <w:rFonts w:cs="Arial"/>
          <w:sz w:val="18"/>
          <w:szCs w:val="18"/>
        </w:rPr>
        <w:t xml:space="preserve"> agencija</w:t>
      </w:r>
    </w:p>
    <w:p w14:paraId="1A55DAD8" w14:textId="77777777" w:rsidR="005B58CE" w:rsidRPr="00C76D6D" w:rsidRDefault="005B58CE" w:rsidP="005B58CE">
      <w:pPr>
        <w:shd w:val="clear" w:color="auto" w:fill="FFFFFF"/>
        <w:jc w:val="both"/>
        <w:rPr>
          <w:rFonts w:cs="Arial"/>
          <w:szCs w:val="20"/>
        </w:rPr>
      </w:pPr>
    </w:p>
    <w:p w14:paraId="6AB959D2" w14:textId="77777777" w:rsidR="005B58CE" w:rsidRPr="00C76D6D" w:rsidRDefault="005B58CE" w:rsidP="005B58CE">
      <w:pPr>
        <w:autoSpaceDE w:val="0"/>
        <w:autoSpaceDN w:val="0"/>
        <w:adjustRightInd w:val="0"/>
        <w:jc w:val="both"/>
        <w:rPr>
          <w:rFonts w:cs="Arial"/>
          <w:szCs w:val="20"/>
          <w:lang w:eastAsia="ar-SA"/>
        </w:rPr>
      </w:pPr>
      <w:r w:rsidRPr="00C76D6D">
        <w:rPr>
          <w:rFonts w:cs="Arial"/>
          <w:szCs w:val="20"/>
          <w:lang w:eastAsia="ar-SA"/>
        </w:rPr>
        <w:t>Razlogi za izdajo negativnih odločb: upravičenec je imel na dan 17. 07. 2025 neporavnane zapadle davčne obveznosti v višini, ki presega 50 eurov.</w:t>
      </w:r>
    </w:p>
    <w:p w14:paraId="63B7C6D2" w14:textId="77777777" w:rsidR="005B58CE" w:rsidRPr="00C76D6D" w:rsidRDefault="005B58CE" w:rsidP="005B58CE">
      <w:pPr>
        <w:autoSpaceDE w:val="0"/>
        <w:autoSpaceDN w:val="0"/>
        <w:adjustRightInd w:val="0"/>
        <w:jc w:val="both"/>
        <w:rPr>
          <w:rFonts w:cs="Arial"/>
          <w:szCs w:val="20"/>
          <w:lang w:eastAsia="ar-SA"/>
        </w:rPr>
      </w:pPr>
    </w:p>
    <w:p w14:paraId="44621A89" w14:textId="6C646045" w:rsidR="005B58CE" w:rsidRDefault="005B58CE" w:rsidP="005B58CE">
      <w:pPr>
        <w:spacing w:line="240" w:lineRule="auto"/>
        <w:jc w:val="both"/>
        <w:rPr>
          <w:rFonts w:cs="Arial"/>
          <w:szCs w:val="20"/>
          <w:lang w:eastAsia="ar-SA"/>
        </w:rPr>
      </w:pPr>
      <w:bookmarkStart w:id="8" w:name="_Hlk161649766"/>
      <w:r w:rsidRPr="009F3DB1">
        <w:rPr>
          <w:rFonts w:cs="Arial"/>
          <w:szCs w:val="20"/>
          <w:lang w:eastAsia="ar-SA"/>
        </w:rPr>
        <w:t>V letu 202</w:t>
      </w:r>
      <w:r>
        <w:rPr>
          <w:rFonts w:cs="Arial"/>
          <w:szCs w:val="20"/>
          <w:lang w:eastAsia="ar-SA"/>
        </w:rPr>
        <w:t>5</w:t>
      </w:r>
      <w:r w:rsidRPr="009F3DB1">
        <w:rPr>
          <w:rFonts w:cs="Arial"/>
          <w:szCs w:val="20"/>
          <w:lang w:eastAsia="ar-SA"/>
        </w:rPr>
        <w:t xml:space="preserve"> je bilo s </w:t>
      </w:r>
      <w:r w:rsidRPr="00734FD6">
        <w:rPr>
          <w:rFonts w:cs="Arial"/>
          <w:bCs/>
          <w:szCs w:val="20"/>
        </w:rPr>
        <w:t>proračunske postavke</w:t>
      </w:r>
      <w:r w:rsidRPr="00734FD6">
        <w:rPr>
          <w:rFonts w:cs="Arial"/>
          <w:color w:val="000000"/>
          <w:szCs w:val="20"/>
        </w:rPr>
        <w:t xml:space="preserve"> </w:t>
      </w:r>
      <w:r w:rsidRPr="001D42F0">
        <w:rPr>
          <w:rFonts w:cs="Arial"/>
          <w:bCs/>
          <w:noProof/>
          <w:szCs w:val="20"/>
        </w:rPr>
        <w:t xml:space="preserve">10266 – Programi odprave posledic nesreč – pozeba 17.-22. april 2024, </w:t>
      </w:r>
      <w:r w:rsidR="001D42F0">
        <w:rPr>
          <w:rFonts w:cs="Arial"/>
          <w:bCs/>
          <w:noProof/>
          <w:szCs w:val="20"/>
        </w:rPr>
        <w:t>projekt</w:t>
      </w:r>
      <w:r w:rsidR="001D42F0" w:rsidRPr="00735692">
        <w:rPr>
          <w:rFonts w:cs="Arial"/>
          <w:bCs/>
          <w:noProof/>
          <w:szCs w:val="20"/>
        </w:rPr>
        <w:t xml:space="preserve"> </w:t>
      </w:r>
      <w:r w:rsidRPr="00735692">
        <w:rPr>
          <w:rFonts w:cs="Arial"/>
          <w:bCs/>
          <w:noProof/>
          <w:szCs w:val="20"/>
        </w:rPr>
        <w:t>2330-25-0038 Popolna škoda zaradi pozebe leta 2024</w:t>
      </w:r>
      <w:r>
        <w:rPr>
          <w:rFonts w:cs="Arial"/>
          <w:bCs/>
          <w:noProof/>
          <w:szCs w:val="20"/>
        </w:rPr>
        <w:t xml:space="preserve"> </w:t>
      </w:r>
      <w:r w:rsidRPr="00BF49D7">
        <w:rPr>
          <w:rFonts w:cs="Arial"/>
          <w:szCs w:val="20"/>
          <w:lang w:eastAsia="ar-SA"/>
        </w:rPr>
        <w:t>izplačanih 399.609,08 evrov</w:t>
      </w:r>
      <w:bookmarkEnd w:id="8"/>
      <w:r w:rsidRPr="00BF49D7">
        <w:rPr>
          <w:rFonts w:cs="Arial"/>
          <w:szCs w:val="20"/>
          <w:lang w:eastAsia="ar-SA"/>
        </w:rPr>
        <w:t xml:space="preserve"> na transakcijske</w:t>
      </w:r>
      <w:r w:rsidRPr="009F3DB1">
        <w:rPr>
          <w:rFonts w:cs="Arial"/>
          <w:szCs w:val="20"/>
          <w:lang w:eastAsia="ar-SA"/>
        </w:rPr>
        <w:t xml:space="preserve"> račune upravičencev</w:t>
      </w:r>
      <w:r>
        <w:rPr>
          <w:rFonts w:cs="Arial"/>
          <w:szCs w:val="20"/>
          <w:lang w:eastAsia="ar-SA"/>
        </w:rPr>
        <w:t xml:space="preserve">. </w:t>
      </w:r>
    </w:p>
    <w:p w14:paraId="02A0CD05" w14:textId="77777777" w:rsidR="005B58CE" w:rsidRDefault="005B58CE" w:rsidP="005B58CE">
      <w:pPr>
        <w:spacing w:line="240" w:lineRule="auto"/>
        <w:jc w:val="both"/>
        <w:rPr>
          <w:rFonts w:cs="Arial"/>
          <w:szCs w:val="20"/>
          <w:lang w:eastAsia="ar-SA"/>
        </w:rPr>
      </w:pPr>
    </w:p>
    <w:p w14:paraId="6DE5E4B9" w14:textId="77777777" w:rsidR="005B58CE" w:rsidRPr="00BF49D7" w:rsidRDefault="005B58CE" w:rsidP="005B58CE">
      <w:pPr>
        <w:jc w:val="both"/>
        <w:rPr>
          <w:rFonts w:cs="Arial"/>
          <w:szCs w:val="20"/>
          <w:lang w:eastAsia="ar-SA"/>
        </w:rPr>
      </w:pPr>
      <w:r w:rsidRPr="00BF49D7">
        <w:rPr>
          <w:szCs w:val="20"/>
        </w:rPr>
        <w:t>Pomoč se je izplačala za obnovo 110,32</w:t>
      </w:r>
      <w:r>
        <w:rPr>
          <w:szCs w:val="20"/>
        </w:rPr>
        <w:t> </w:t>
      </w:r>
      <w:r w:rsidRPr="00BF49D7">
        <w:rPr>
          <w:szCs w:val="20"/>
        </w:rPr>
        <w:t xml:space="preserve">ha kmetijskih površin </w:t>
      </w:r>
      <w:r>
        <w:rPr>
          <w:szCs w:val="20"/>
        </w:rPr>
        <w:t xml:space="preserve">in sicer: </w:t>
      </w:r>
      <w:r w:rsidRPr="00BF49D7">
        <w:rPr>
          <w:szCs w:val="20"/>
        </w:rPr>
        <w:t>74,73</w:t>
      </w:r>
      <w:r>
        <w:rPr>
          <w:szCs w:val="20"/>
        </w:rPr>
        <w:t> </w:t>
      </w:r>
      <w:r w:rsidRPr="00BF49D7">
        <w:rPr>
          <w:szCs w:val="20"/>
        </w:rPr>
        <w:t>ha vinogradov in 35,59</w:t>
      </w:r>
      <w:r>
        <w:rPr>
          <w:szCs w:val="20"/>
        </w:rPr>
        <w:t> ha</w:t>
      </w:r>
      <w:r w:rsidRPr="00BF49D7">
        <w:rPr>
          <w:szCs w:val="20"/>
        </w:rPr>
        <w:t xml:space="preserve"> sadovnjakov</w:t>
      </w:r>
      <w:r>
        <w:rPr>
          <w:szCs w:val="20"/>
        </w:rPr>
        <w:t>.</w:t>
      </w:r>
      <w:r w:rsidRPr="00BF49D7">
        <w:rPr>
          <w:szCs w:val="20"/>
        </w:rPr>
        <w:t xml:space="preserve"> (</w:t>
      </w:r>
      <w:r>
        <w:rPr>
          <w:szCs w:val="20"/>
        </w:rPr>
        <w:t>g</w:t>
      </w:r>
      <w:r w:rsidRPr="00BF49D7">
        <w:rPr>
          <w:szCs w:val="20"/>
        </w:rPr>
        <w:t>rozdje belo za pred.,</w:t>
      </w:r>
      <w:r>
        <w:rPr>
          <w:szCs w:val="20"/>
        </w:rPr>
        <w:t xml:space="preserve"> g</w:t>
      </w:r>
      <w:r w:rsidRPr="00BF49D7">
        <w:rPr>
          <w:szCs w:val="20"/>
        </w:rPr>
        <w:t>rozdje rdeče za pred.,</w:t>
      </w:r>
      <w:r>
        <w:rPr>
          <w:szCs w:val="20"/>
        </w:rPr>
        <w:t xml:space="preserve"> b</w:t>
      </w:r>
      <w:r w:rsidRPr="00BF49D7">
        <w:rPr>
          <w:szCs w:val="20"/>
        </w:rPr>
        <w:t>orovnice gojene,</w:t>
      </w:r>
      <w:r>
        <w:rPr>
          <w:szCs w:val="20"/>
        </w:rPr>
        <w:t xml:space="preserve"> o</w:t>
      </w:r>
      <w:r w:rsidRPr="00BF49D7">
        <w:rPr>
          <w:szCs w:val="20"/>
        </w:rPr>
        <w:t>rehi,</w:t>
      </w:r>
      <w:r>
        <w:rPr>
          <w:szCs w:val="20"/>
        </w:rPr>
        <w:t xml:space="preserve"> j</w:t>
      </w:r>
      <w:r w:rsidRPr="00BF49D7">
        <w:rPr>
          <w:szCs w:val="20"/>
        </w:rPr>
        <w:t>abolka I. kakovosti,</w:t>
      </w:r>
      <w:r>
        <w:rPr>
          <w:szCs w:val="20"/>
        </w:rPr>
        <w:t xml:space="preserve"> m</w:t>
      </w:r>
      <w:r w:rsidRPr="00BF49D7">
        <w:rPr>
          <w:szCs w:val="20"/>
        </w:rPr>
        <w:t>arelice,</w:t>
      </w:r>
      <w:r>
        <w:rPr>
          <w:szCs w:val="20"/>
        </w:rPr>
        <w:t xml:space="preserve"> k</w:t>
      </w:r>
      <w:r w:rsidRPr="00BF49D7">
        <w:rPr>
          <w:szCs w:val="20"/>
        </w:rPr>
        <w:t>aki,</w:t>
      </w:r>
      <w:r>
        <w:rPr>
          <w:szCs w:val="20"/>
        </w:rPr>
        <w:t xml:space="preserve"> k</w:t>
      </w:r>
      <w:r w:rsidRPr="00BF49D7">
        <w:rPr>
          <w:szCs w:val="20"/>
        </w:rPr>
        <w:t>ostanj,</w:t>
      </w:r>
      <w:r>
        <w:rPr>
          <w:szCs w:val="20"/>
        </w:rPr>
        <w:t xml:space="preserve"> h</w:t>
      </w:r>
      <w:r w:rsidRPr="00BF49D7">
        <w:rPr>
          <w:szCs w:val="20"/>
        </w:rPr>
        <w:t>ruške I. kakovosti,</w:t>
      </w:r>
      <w:r>
        <w:rPr>
          <w:szCs w:val="20"/>
        </w:rPr>
        <w:t xml:space="preserve"> č</w:t>
      </w:r>
      <w:r w:rsidRPr="00BF49D7">
        <w:rPr>
          <w:szCs w:val="20"/>
        </w:rPr>
        <w:t>ešnje,</w:t>
      </w:r>
      <w:r>
        <w:rPr>
          <w:szCs w:val="20"/>
        </w:rPr>
        <w:t xml:space="preserve"> s</w:t>
      </w:r>
      <w:r w:rsidRPr="00BF49D7">
        <w:rPr>
          <w:szCs w:val="20"/>
        </w:rPr>
        <w:t>live in češplje,</w:t>
      </w:r>
      <w:r>
        <w:rPr>
          <w:szCs w:val="20"/>
        </w:rPr>
        <w:t xml:space="preserve"> r</w:t>
      </w:r>
      <w:r w:rsidRPr="00BF49D7">
        <w:rPr>
          <w:szCs w:val="20"/>
        </w:rPr>
        <w:t>ibez</w:t>
      </w:r>
      <w:r>
        <w:rPr>
          <w:szCs w:val="20"/>
        </w:rPr>
        <w:t xml:space="preserve"> - </w:t>
      </w:r>
      <w:r w:rsidRPr="00BF49D7">
        <w:rPr>
          <w:szCs w:val="20"/>
        </w:rPr>
        <w:t>rdeči,</w:t>
      </w:r>
      <w:r>
        <w:rPr>
          <w:szCs w:val="20"/>
        </w:rPr>
        <w:t xml:space="preserve"> j</w:t>
      </w:r>
      <w:r w:rsidRPr="00BF49D7">
        <w:rPr>
          <w:szCs w:val="20"/>
        </w:rPr>
        <w:t>abolka II. kakovosti,</w:t>
      </w:r>
      <w:r>
        <w:rPr>
          <w:szCs w:val="20"/>
        </w:rPr>
        <w:t xml:space="preserve"> l</w:t>
      </w:r>
      <w:r w:rsidRPr="00BF49D7">
        <w:rPr>
          <w:szCs w:val="20"/>
        </w:rPr>
        <w:t>ešnik v lupini,</w:t>
      </w:r>
      <w:r>
        <w:rPr>
          <w:szCs w:val="20"/>
        </w:rPr>
        <w:t xml:space="preserve"> b</w:t>
      </w:r>
      <w:r w:rsidRPr="00BF49D7">
        <w:rPr>
          <w:szCs w:val="20"/>
        </w:rPr>
        <w:t xml:space="preserve">reskve </w:t>
      </w:r>
      <w:r>
        <w:rPr>
          <w:szCs w:val="20"/>
        </w:rPr>
        <w:t xml:space="preserve">– </w:t>
      </w:r>
      <w:r w:rsidRPr="00BF49D7">
        <w:rPr>
          <w:szCs w:val="20"/>
        </w:rPr>
        <w:t>namizne</w:t>
      </w:r>
      <w:r>
        <w:rPr>
          <w:szCs w:val="20"/>
        </w:rPr>
        <w:t>).</w:t>
      </w:r>
    </w:p>
    <w:p w14:paraId="278477FC" w14:textId="77777777" w:rsidR="005B58CE" w:rsidRPr="00BF49D7" w:rsidRDefault="005B58CE" w:rsidP="005B58CE">
      <w:pPr>
        <w:jc w:val="both"/>
        <w:rPr>
          <w:szCs w:val="20"/>
        </w:rPr>
      </w:pPr>
    </w:p>
    <w:bookmarkEnd w:id="7"/>
    <w:p w14:paraId="7259512D" w14:textId="3DCEE0BA" w:rsidR="00DB498F" w:rsidRDefault="00DB498F" w:rsidP="00716FA8">
      <w:pPr>
        <w:rPr>
          <w:rFonts w:cs="Arial"/>
          <w:b/>
          <w:bCs/>
          <w:szCs w:val="20"/>
          <w:lang w:eastAsia="sl-SI"/>
        </w:rPr>
      </w:pPr>
      <w:r>
        <w:rPr>
          <w:rFonts w:cs="Arial"/>
          <w:b/>
          <w:bCs/>
          <w:szCs w:val="20"/>
          <w:lang w:eastAsia="sl-SI"/>
        </w:rPr>
        <w:br w:type="page"/>
      </w:r>
    </w:p>
    <w:p w14:paraId="64A1AC5B" w14:textId="314B9DB3" w:rsidR="009828E7" w:rsidRPr="00766E6F" w:rsidRDefault="009828E7" w:rsidP="00716FA8">
      <w:pPr>
        <w:numPr>
          <w:ilvl w:val="0"/>
          <w:numId w:val="12"/>
        </w:numPr>
        <w:autoSpaceDE w:val="0"/>
        <w:autoSpaceDN w:val="0"/>
        <w:adjustRightInd w:val="0"/>
        <w:jc w:val="both"/>
        <w:rPr>
          <w:rFonts w:cs="Arial"/>
          <w:szCs w:val="20"/>
          <w:lang w:eastAsia="sl-SI"/>
        </w:rPr>
      </w:pPr>
      <w:bookmarkStart w:id="9" w:name="_Hlk205814918"/>
      <w:r w:rsidRPr="00766E6F">
        <w:rPr>
          <w:rFonts w:cs="Arial"/>
          <w:b/>
          <w:bCs/>
          <w:szCs w:val="20"/>
          <w:lang w:eastAsia="sl-SI"/>
        </w:rPr>
        <w:lastRenderedPageBreak/>
        <w:t xml:space="preserve">Poraba sredstev po </w:t>
      </w:r>
      <w:r w:rsidR="00CF7DFE" w:rsidRPr="00CF7DFE">
        <w:rPr>
          <w:rFonts w:cs="Arial"/>
          <w:b/>
          <w:bCs/>
          <w:szCs w:val="20"/>
          <w:lang w:eastAsia="sl-SI"/>
        </w:rPr>
        <w:t>Odlok</w:t>
      </w:r>
      <w:r w:rsidR="00CF7DFE">
        <w:rPr>
          <w:rFonts w:cs="Arial"/>
          <w:b/>
          <w:bCs/>
          <w:szCs w:val="20"/>
          <w:lang w:eastAsia="sl-SI"/>
        </w:rPr>
        <w:t>u</w:t>
      </w:r>
      <w:r w:rsidR="00CF7DFE" w:rsidRPr="00CF7DFE">
        <w:rPr>
          <w:rFonts w:cs="Arial"/>
          <w:b/>
          <w:bCs/>
          <w:szCs w:val="20"/>
          <w:lang w:eastAsia="sl-SI"/>
        </w:rPr>
        <w:t xml:space="preserve"> o finančni pomoči za nadomestilo izpada dohodka v kmetijski proizvodnji zaradi pozebe leta 2024</w:t>
      </w:r>
    </w:p>
    <w:bookmarkEnd w:id="9"/>
    <w:p w14:paraId="295E1645" w14:textId="77777777" w:rsidR="009828E7" w:rsidRPr="00766E6F" w:rsidRDefault="009828E7" w:rsidP="00716FA8">
      <w:pPr>
        <w:autoSpaceDE w:val="0"/>
        <w:autoSpaceDN w:val="0"/>
        <w:adjustRightInd w:val="0"/>
        <w:jc w:val="both"/>
        <w:rPr>
          <w:rFonts w:cs="Arial"/>
          <w:szCs w:val="20"/>
          <w:lang w:eastAsia="sl-SI"/>
        </w:rPr>
      </w:pPr>
    </w:p>
    <w:p w14:paraId="153B2CB7" w14:textId="7B337749" w:rsidR="00CF7DFE" w:rsidRPr="00377126" w:rsidRDefault="00CF7DFE" w:rsidP="00CF7DFE">
      <w:pPr>
        <w:autoSpaceDE w:val="0"/>
        <w:autoSpaceDN w:val="0"/>
        <w:adjustRightInd w:val="0"/>
        <w:jc w:val="both"/>
        <w:rPr>
          <w:rFonts w:cs="Arial"/>
          <w:szCs w:val="20"/>
          <w:lang w:eastAsia="sl-SI"/>
        </w:rPr>
      </w:pPr>
      <w:r w:rsidRPr="00766E6F">
        <w:rPr>
          <w:rFonts w:cs="Arial"/>
          <w:szCs w:val="20"/>
          <w:lang w:eastAsia="sl-SI"/>
        </w:rPr>
        <w:t>O višini finančn</w:t>
      </w:r>
      <w:r>
        <w:rPr>
          <w:rFonts w:cs="Arial"/>
          <w:szCs w:val="20"/>
          <w:lang w:eastAsia="sl-SI"/>
        </w:rPr>
        <w:t>e</w:t>
      </w:r>
      <w:r w:rsidRPr="00766E6F">
        <w:rPr>
          <w:rFonts w:cs="Arial"/>
          <w:szCs w:val="20"/>
          <w:lang w:eastAsia="sl-SI"/>
        </w:rPr>
        <w:t xml:space="preserve"> pomoči po</w:t>
      </w:r>
      <w:r w:rsidRPr="00BC159C">
        <w:rPr>
          <w:rFonts w:cs="Arial"/>
          <w:szCs w:val="20"/>
          <w:lang w:eastAsia="sl-SI"/>
        </w:rPr>
        <w:t xml:space="preserve"> </w:t>
      </w:r>
      <w:r w:rsidRPr="00174809">
        <w:rPr>
          <w:rFonts w:cs="Arial"/>
          <w:szCs w:val="20"/>
          <w:lang w:eastAsia="sl-SI"/>
        </w:rPr>
        <w:t>Odlok</w:t>
      </w:r>
      <w:r>
        <w:rPr>
          <w:rFonts w:cs="Arial"/>
          <w:szCs w:val="20"/>
          <w:lang w:eastAsia="sl-SI"/>
        </w:rPr>
        <w:t>u</w:t>
      </w:r>
      <w:r w:rsidRPr="00174809">
        <w:rPr>
          <w:rFonts w:cs="Arial"/>
          <w:szCs w:val="20"/>
          <w:lang w:eastAsia="sl-SI"/>
        </w:rPr>
        <w:t xml:space="preserve"> o finančni pomoči za odpravo posledic škode v kmetijstvu zaradi pozebe leta 2024</w:t>
      </w:r>
      <w:r>
        <w:rPr>
          <w:rFonts w:cs="Arial"/>
          <w:szCs w:val="20"/>
          <w:lang w:eastAsia="sl-SI"/>
        </w:rPr>
        <w:t xml:space="preserve"> (</w:t>
      </w:r>
      <w:r w:rsidRPr="00174809">
        <w:rPr>
          <w:rFonts w:cs="Arial"/>
          <w:szCs w:val="20"/>
          <w:lang w:eastAsia="sl-SI"/>
        </w:rPr>
        <w:t>Uradni list RS, št. 53/25</w:t>
      </w:r>
      <w:r>
        <w:rPr>
          <w:rFonts w:cs="Arial"/>
          <w:szCs w:val="20"/>
          <w:lang w:eastAsia="sl-SI"/>
        </w:rPr>
        <w:t xml:space="preserve">), (v nadaljnjem besedilu: odlok EU pozeba), </w:t>
      </w:r>
      <w:r w:rsidRPr="00377126">
        <w:rPr>
          <w:rFonts w:cs="Arial"/>
          <w:szCs w:val="20"/>
          <w:lang w:eastAsia="sl-SI"/>
        </w:rPr>
        <w:t>je za posameznega oškodovanca odločala agencija.</w:t>
      </w:r>
    </w:p>
    <w:p w14:paraId="1A2F2F11" w14:textId="77777777" w:rsidR="00CF7DFE" w:rsidRPr="00377126" w:rsidRDefault="00CF7DFE" w:rsidP="00CF7DFE">
      <w:pPr>
        <w:autoSpaceDE w:val="0"/>
        <w:autoSpaceDN w:val="0"/>
        <w:adjustRightInd w:val="0"/>
        <w:jc w:val="both"/>
        <w:rPr>
          <w:rFonts w:cs="Arial"/>
          <w:szCs w:val="20"/>
          <w:lang w:eastAsia="sl-SI"/>
        </w:rPr>
      </w:pPr>
    </w:p>
    <w:p w14:paraId="1F2D56B3" w14:textId="77777777" w:rsidR="00CF7DFE" w:rsidRPr="00766E6F" w:rsidRDefault="00CF7DFE" w:rsidP="00CF7DFE">
      <w:pPr>
        <w:autoSpaceDE w:val="0"/>
        <w:autoSpaceDN w:val="0"/>
        <w:adjustRightInd w:val="0"/>
        <w:jc w:val="both"/>
        <w:rPr>
          <w:rFonts w:cs="Arial"/>
          <w:szCs w:val="20"/>
          <w:lang w:eastAsia="sl-SI"/>
        </w:rPr>
      </w:pPr>
      <w:r w:rsidRPr="00766E6F">
        <w:rPr>
          <w:rFonts w:cs="Arial"/>
          <w:szCs w:val="20"/>
          <w:lang w:eastAsia="sl-SI"/>
        </w:rPr>
        <w:t xml:space="preserve">Agencija je odločala na podlagi podatkov iz </w:t>
      </w:r>
      <w:r>
        <w:rPr>
          <w:rFonts w:cs="Arial"/>
          <w:szCs w:val="20"/>
          <w:lang w:eastAsia="sl-SI"/>
        </w:rPr>
        <w:t>o</w:t>
      </w:r>
      <w:r w:rsidRPr="00174809">
        <w:rPr>
          <w:rFonts w:cs="Arial"/>
          <w:szCs w:val="20"/>
          <w:lang w:eastAsia="sl-SI"/>
        </w:rPr>
        <w:t>cen</w:t>
      </w:r>
      <w:r>
        <w:rPr>
          <w:rFonts w:cs="Arial"/>
          <w:szCs w:val="20"/>
          <w:lang w:eastAsia="sl-SI"/>
        </w:rPr>
        <w:t>e</w:t>
      </w:r>
      <w:r w:rsidRPr="00174809">
        <w:rPr>
          <w:rFonts w:cs="Arial"/>
          <w:szCs w:val="20"/>
          <w:lang w:eastAsia="sl-SI"/>
        </w:rPr>
        <w:t xml:space="preserve"> neposredne škode na trajnih nasadih zaradi posledic pozebe med 17. in 22. aprilom 2024, ki jo je Vlada Republike Slovenije potrdila s sklepom št. 84400-2/2025/3 z dne 20. februarja 2025</w:t>
      </w:r>
      <w:r>
        <w:rPr>
          <w:rFonts w:cs="Arial"/>
          <w:szCs w:val="20"/>
          <w:lang w:eastAsia="sl-SI"/>
        </w:rPr>
        <w:t xml:space="preserve"> (v nadaljnjem besedilu: ocena škode), </w:t>
      </w:r>
      <w:r w:rsidRPr="00766E6F">
        <w:rPr>
          <w:rFonts w:cs="Arial"/>
          <w:szCs w:val="20"/>
          <w:lang w:eastAsia="sl-SI"/>
        </w:rPr>
        <w:t>ki jih je prevzela iz aplikacije AJDA</w:t>
      </w:r>
      <w:r>
        <w:rPr>
          <w:rFonts w:cs="Arial"/>
          <w:szCs w:val="20"/>
          <w:lang w:eastAsia="sl-SI"/>
        </w:rPr>
        <w:t>, ki jo upravlja Uprava RS za zaščito in reševanje.</w:t>
      </w:r>
    </w:p>
    <w:p w14:paraId="2963DB5C" w14:textId="77777777" w:rsidR="00CF7DFE" w:rsidRDefault="00CF7DFE" w:rsidP="00CF7DFE">
      <w:pPr>
        <w:autoSpaceDE w:val="0"/>
        <w:autoSpaceDN w:val="0"/>
        <w:adjustRightInd w:val="0"/>
        <w:jc w:val="both"/>
        <w:rPr>
          <w:rFonts w:cs="Arial"/>
          <w:szCs w:val="20"/>
          <w:lang w:eastAsia="sl-SI"/>
        </w:rPr>
      </w:pPr>
    </w:p>
    <w:p w14:paraId="4A29BE28" w14:textId="6FA5B851" w:rsidR="00CF7DFE" w:rsidRDefault="00CF7DFE" w:rsidP="00CF7DFE">
      <w:pPr>
        <w:overflowPunct w:val="0"/>
        <w:autoSpaceDE w:val="0"/>
        <w:autoSpaceDN w:val="0"/>
        <w:adjustRightInd w:val="0"/>
        <w:jc w:val="both"/>
        <w:textAlignment w:val="baseline"/>
        <w:rPr>
          <w:rFonts w:cs="Arial"/>
          <w:noProof/>
          <w:szCs w:val="20"/>
          <w:lang w:eastAsia="sl-SI"/>
        </w:rPr>
      </w:pPr>
      <w:r>
        <w:rPr>
          <w:rFonts w:cs="Arial"/>
          <w:noProof/>
          <w:szCs w:val="20"/>
          <w:lang w:eastAsia="sl-SI"/>
        </w:rPr>
        <w:t xml:space="preserve">Za dodelitev finančne pomoči za nadomestilo izoada dohodka v kmetijski proizvodnji zaradi pozebe leta 2024 so bila v letu 2025 zagotovljena sredstva v </w:t>
      </w:r>
      <w:r w:rsidRPr="00CF7DFE">
        <w:rPr>
          <w:rFonts w:cs="Arial"/>
          <w:noProof/>
          <w:szCs w:val="20"/>
          <w:lang w:eastAsia="sl-SI"/>
        </w:rPr>
        <w:t>višini 2,9 milijona eurov iz Evropskega kmetijskega jamstvenega sklada, v skladu z Izvedbeno uredbo Komisije (EU) 2025/1137 z dne 10. junija 2025 o nujni finančni podpori v kmetijskih sektorjih na Češkem in v Sloveniji, ki so jih prizadele slabe vremenske razmere in naravne nesreče, v skladu z Uredbo (EU) št. 1308/2013 Evropskega parlamenta in Sveta (UL L št. 2025/1137 z dne 11. 6. 2025; v nadaljnjem besedilu: Izvedbena uredba 2025/1137/EU)</w:t>
      </w:r>
      <w:r>
        <w:rPr>
          <w:rFonts w:cs="Arial"/>
          <w:noProof/>
          <w:szCs w:val="20"/>
          <w:lang w:eastAsia="sl-SI"/>
        </w:rPr>
        <w:t xml:space="preserve">. Sredstva je moralo najprej Ministrstvo </w:t>
      </w:r>
      <w:r w:rsidR="007F4C5F">
        <w:rPr>
          <w:rFonts w:cs="Arial"/>
          <w:noProof/>
          <w:szCs w:val="20"/>
          <w:lang w:eastAsia="sl-SI"/>
        </w:rPr>
        <w:t xml:space="preserve">pristojno </w:t>
      </w:r>
      <w:r>
        <w:rPr>
          <w:rFonts w:cs="Arial"/>
          <w:noProof/>
          <w:szCs w:val="20"/>
          <w:lang w:eastAsia="sl-SI"/>
        </w:rPr>
        <w:t xml:space="preserve">za kmetijstvo, zagotoviti iz svojega proračuna, nato pa so bila ta sredstva refundirana s strani Evropskega kmetijskega jamstvenega sklada. </w:t>
      </w:r>
    </w:p>
    <w:p w14:paraId="0A8B7A23" w14:textId="77777777" w:rsidR="00CF7DFE" w:rsidRDefault="00CF7DFE" w:rsidP="00CF7DFE">
      <w:pPr>
        <w:overflowPunct w:val="0"/>
        <w:autoSpaceDE w:val="0"/>
        <w:autoSpaceDN w:val="0"/>
        <w:adjustRightInd w:val="0"/>
        <w:jc w:val="both"/>
        <w:textAlignment w:val="baseline"/>
        <w:rPr>
          <w:rFonts w:cs="Arial"/>
          <w:noProof/>
          <w:szCs w:val="20"/>
          <w:lang w:eastAsia="sl-SI"/>
        </w:rPr>
      </w:pPr>
    </w:p>
    <w:p w14:paraId="769C77EB" w14:textId="768F0130" w:rsidR="005B58CE" w:rsidRPr="000E2621" w:rsidRDefault="005B58CE" w:rsidP="005B58CE">
      <w:pPr>
        <w:spacing w:line="240" w:lineRule="auto"/>
        <w:jc w:val="both"/>
        <w:rPr>
          <w:rFonts w:cs="Arial"/>
          <w:b/>
          <w:szCs w:val="20"/>
        </w:rPr>
      </w:pPr>
      <w:r w:rsidRPr="000E2621">
        <w:rPr>
          <w:rFonts w:cs="Arial"/>
          <w:noProof/>
          <w:szCs w:val="20"/>
          <w:lang w:eastAsia="sl-SI"/>
        </w:rPr>
        <w:t xml:space="preserve">Za dodelitev finančne pomoči za odpravo posledic pozebe leta 2024 so se zagotovila sredstva iz </w:t>
      </w:r>
      <w:r w:rsidRPr="000E2621">
        <w:rPr>
          <w:rFonts w:eastAsia="Aptos" w:cs="Arial"/>
          <w:color w:val="000000"/>
          <w:szCs w:val="20"/>
        </w:rPr>
        <w:t>proračunske postavke</w:t>
      </w:r>
      <w:r w:rsidR="00027B4A">
        <w:rPr>
          <w:rFonts w:eastAsia="Aptos" w:cs="Arial"/>
          <w:color w:val="000000"/>
          <w:szCs w:val="20"/>
        </w:rPr>
        <w:t xml:space="preserve"> MKGP</w:t>
      </w:r>
      <w:r w:rsidRPr="000E2621">
        <w:rPr>
          <w:rFonts w:eastAsia="Aptos" w:cs="Arial"/>
          <w:color w:val="000000"/>
          <w:szCs w:val="20"/>
        </w:rPr>
        <w:t xml:space="preserve"> </w:t>
      </w:r>
      <w:r w:rsidRPr="000E2621">
        <w:rPr>
          <w:rFonts w:cs="Arial"/>
          <w:szCs w:val="20"/>
        </w:rPr>
        <w:t xml:space="preserve">221646 Ukrepi proti motnjam na trgu – EU, </w:t>
      </w:r>
      <w:r w:rsidR="001D42F0">
        <w:rPr>
          <w:rFonts w:cs="Arial"/>
          <w:szCs w:val="20"/>
        </w:rPr>
        <w:t>projekt</w:t>
      </w:r>
      <w:r w:rsidRPr="000E2621">
        <w:rPr>
          <w:rFonts w:cs="Arial"/>
          <w:szCs w:val="20"/>
        </w:rPr>
        <w:t>: 2330-</w:t>
      </w:r>
      <w:r w:rsidRPr="000E2621">
        <w:rPr>
          <w:rFonts w:cs="Arial"/>
          <w:bCs/>
          <w:szCs w:val="20"/>
        </w:rPr>
        <w:t xml:space="preserve">23-0029 – Ukrepi proti motnjam na trgu 2023-2027 </w:t>
      </w:r>
      <w:r w:rsidRPr="000E2621">
        <w:rPr>
          <w:rFonts w:cs="Arial"/>
          <w:noProof/>
          <w:szCs w:val="20"/>
          <w:lang w:eastAsia="sl-SI"/>
        </w:rPr>
        <w:t xml:space="preserve">v višini </w:t>
      </w:r>
      <w:r w:rsidRPr="000E2621">
        <w:rPr>
          <w:rFonts w:cs="Arial"/>
          <w:szCs w:val="20"/>
          <w:lang w:eastAsia="zh-CN"/>
        </w:rPr>
        <w:t xml:space="preserve">2.900.000 </w:t>
      </w:r>
      <w:r w:rsidRPr="000E2621">
        <w:rPr>
          <w:rFonts w:cs="Arial"/>
          <w:noProof/>
          <w:szCs w:val="20"/>
          <w:lang w:eastAsia="sl-SI"/>
        </w:rPr>
        <w:t>evra.</w:t>
      </w:r>
    </w:p>
    <w:p w14:paraId="6BB16A54" w14:textId="77777777" w:rsidR="005B58CE" w:rsidRPr="000E2621" w:rsidRDefault="005B58CE" w:rsidP="005B58CE">
      <w:pPr>
        <w:shd w:val="clear" w:color="auto" w:fill="FFFFFF"/>
        <w:overflowPunct w:val="0"/>
        <w:autoSpaceDE w:val="0"/>
        <w:autoSpaceDN w:val="0"/>
        <w:adjustRightInd w:val="0"/>
        <w:jc w:val="both"/>
        <w:textAlignment w:val="baseline"/>
        <w:rPr>
          <w:rFonts w:cs="Arial"/>
          <w:noProof/>
          <w:szCs w:val="20"/>
          <w:lang w:eastAsia="sl-SI"/>
        </w:rPr>
      </w:pPr>
    </w:p>
    <w:p w14:paraId="68CF23ED" w14:textId="5B0E23D6" w:rsidR="005B58CE" w:rsidRDefault="005B58CE" w:rsidP="005B58CE">
      <w:pPr>
        <w:jc w:val="both"/>
        <w:rPr>
          <w:rFonts w:cs="Arial"/>
          <w:szCs w:val="20"/>
        </w:rPr>
      </w:pPr>
      <w:r w:rsidRPr="00191723">
        <w:rPr>
          <w:rFonts w:cs="Arial"/>
          <w:szCs w:val="20"/>
        </w:rPr>
        <w:t xml:space="preserve">Na </w:t>
      </w:r>
      <w:r w:rsidRPr="00AA3A4F">
        <w:rPr>
          <w:rFonts w:cs="Arial"/>
          <w:szCs w:val="20"/>
        </w:rPr>
        <w:t>podlagi odloka je agencija v letu 2025 izdala skupno 1.164 odločb, od tega je bilo 960 pozitivnih in 204 negativnih.</w:t>
      </w:r>
      <w:r w:rsidRPr="009F3DB1">
        <w:rPr>
          <w:rFonts w:cs="Arial"/>
          <w:szCs w:val="20"/>
        </w:rPr>
        <w:t xml:space="preserve"> </w:t>
      </w:r>
    </w:p>
    <w:p w14:paraId="6DA22D36" w14:textId="77777777" w:rsidR="005B58CE" w:rsidRPr="000E2621" w:rsidRDefault="005B58CE" w:rsidP="005B58CE">
      <w:pPr>
        <w:shd w:val="clear" w:color="auto" w:fill="FFFFFF"/>
        <w:jc w:val="both"/>
        <w:rPr>
          <w:rFonts w:cs="Arial"/>
          <w:szCs w:val="20"/>
        </w:rPr>
      </w:pPr>
      <w:r w:rsidRPr="000E2621">
        <w:rPr>
          <w:rFonts w:cs="Arial"/>
          <w:szCs w:val="20"/>
        </w:rPr>
        <w:t>Preglednica 1: Število obravnavanih odločb</w:t>
      </w:r>
    </w:p>
    <w:tbl>
      <w:tblPr>
        <w:tblW w:w="0" w:type="auto"/>
        <w:tblLook w:val="01E0" w:firstRow="1" w:lastRow="1" w:firstColumn="1" w:lastColumn="1" w:noHBand="0" w:noVBand="0"/>
      </w:tblPr>
      <w:tblGrid>
        <w:gridCol w:w="4957"/>
        <w:gridCol w:w="3407"/>
      </w:tblGrid>
      <w:tr w:rsidR="005B58CE" w:rsidRPr="000E2621" w14:paraId="491E65BA" w14:textId="77777777" w:rsidTr="00585D6B">
        <w:tc>
          <w:tcPr>
            <w:tcW w:w="4957" w:type="dxa"/>
            <w:tcBorders>
              <w:top w:val="single" w:sz="4" w:space="0" w:color="auto"/>
              <w:left w:val="single" w:sz="4" w:space="0" w:color="auto"/>
              <w:bottom w:val="single" w:sz="4" w:space="0" w:color="auto"/>
              <w:right w:val="single" w:sz="4" w:space="0" w:color="auto"/>
            </w:tcBorders>
            <w:vAlign w:val="center"/>
          </w:tcPr>
          <w:p w14:paraId="01AD62F6" w14:textId="77777777" w:rsidR="005B58CE" w:rsidRPr="000E2621" w:rsidRDefault="005B58CE" w:rsidP="00585D6B">
            <w:pPr>
              <w:keepNext/>
              <w:keepLines/>
              <w:shd w:val="clear" w:color="auto" w:fill="FFFFFF"/>
              <w:autoSpaceDE w:val="0"/>
              <w:autoSpaceDN w:val="0"/>
              <w:adjustRightInd w:val="0"/>
              <w:rPr>
                <w:rFonts w:cs="Arial"/>
                <w:noProof/>
                <w:szCs w:val="20"/>
                <w:lang w:eastAsia="sl-SI"/>
              </w:rPr>
            </w:pPr>
            <w:r w:rsidRPr="000E2621">
              <w:rPr>
                <w:rFonts w:cs="Arial"/>
                <w:noProof/>
                <w:szCs w:val="20"/>
                <w:lang w:eastAsia="sl-SI"/>
              </w:rPr>
              <w:t>Število pozitivnih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73BA3209" w14:textId="77777777" w:rsidR="005B58CE" w:rsidRPr="00AA3A4F" w:rsidRDefault="005B58CE" w:rsidP="00585D6B">
            <w:pPr>
              <w:keepNext/>
              <w:keepLines/>
              <w:shd w:val="clear" w:color="auto" w:fill="FFFFFF"/>
              <w:autoSpaceDE w:val="0"/>
              <w:autoSpaceDN w:val="0"/>
              <w:adjustRightInd w:val="0"/>
              <w:jc w:val="right"/>
              <w:rPr>
                <w:rFonts w:cs="Arial"/>
                <w:noProof/>
                <w:szCs w:val="20"/>
                <w:lang w:eastAsia="sl-SI"/>
              </w:rPr>
            </w:pPr>
            <w:r w:rsidRPr="00AA3A4F">
              <w:rPr>
                <w:rFonts w:cs="Arial"/>
                <w:noProof/>
                <w:szCs w:val="20"/>
                <w:lang w:eastAsia="sl-SI"/>
              </w:rPr>
              <w:t>960</w:t>
            </w:r>
          </w:p>
        </w:tc>
      </w:tr>
      <w:tr w:rsidR="005B58CE" w:rsidRPr="000E2621" w14:paraId="32965ACA" w14:textId="77777777" w:rsidTr="00585D6B">
        <w:trPr>
          <w:trHeight w:val="295"/>
        </w:trPr>
        <w:tc>
          <w:tcPr>
            <w:tcW w:w="4957" w:type="dxa"/>
            <w:tcBorders>
              <w:top w:val="single" w:sz="4" w:space="0" w:color="auto"/>
              <w:left w:val="single" w:sz="4" w:space="0" w:color="auto"/>
              <w:bottom w:val="single" w:sz="4" w:space="0" w:color="auto"/>
              <w:right w:val="single" w:sz="4" w:space="0" w:color="auto"/>
            </w:tcBorders>
            <w:vAlign w:val="center"/>
          </w:tcPr>
          <w:p w14:paraId="2E31750D" w14:textId="77777777" w:rsidR="005B58CE" w:rsidRPr="000E2621" w:rsidRDefault="005B58CE" w:rsidP="00585D6B">
            <w:pPr>
              <w:keepNext/>
              <w:keepLines/>
              <w:shd w:val="clear" w:color="auto" w:fill="FFFFFF"/>
              <w:autoSpaceDE w:val="0"/>
              <w:autoSpaceDN w:val="0"/>
              <w:adjustRightInd w:val="0"/>
              <w:rPr>
                <w:rFonts w:cs="Arial"/>
                <w:bCs/>
                <w:noProof/>
                <w:szCs w:val="20"/>
                <w:lang w:eastAsia="sl-SI"/>
              </w:rPr>
            </w:pPr>
            <w:r w:rsidRPr="000E2621">
              <w:rPr>
                <w:rFonts w:cs="Arial"/>
                <w:bCs/>
                <w:noProof/>
                <w:szCs w:val="20"/>
                <w:lang w:eastAsia="sl-SI"/>
              </w:rPr>
              <w:t>Število negativnih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3A643D74" w14:textId="77777777" w:rsidR="005B58CE" w:rsidRPr="00AA3A4F" w:rsidRDefault="005B58CE" w:rsidP="00585D6B">
            <w:pPr>
              <w:keepNext/>
              <w:keepLines/>
              <w:shd w:val="clear" w:color="auto" w:fill="FFFFFF"/>
              <w:autoSpaceDE w:val="0"/>
              <w:autoSpaceDN w:val="0"/>
              <w:adjustRightInd w:val="0"/>
              <w:jc w:val="right"/>
              <w:rPr>
                <w:rFonts w:cs="Arial"/>
                <w:bCs/>
                <w:noProof/>
                <w:szCs w:val="20"/>
                <w:lang w:eastAsia="sl-SI"/>
              </w:rPr>
            </w:pPr>
            <w:r w:rsidRPr="00AA3A4F">
              <w:rPr>
                <w:rFonts w:cs="Arial"/>
                <w:bCs/>
                <w:noProof/>
                <w:szCs w:val="20"/>
                <w:lang w:eastAsia="sl-SI"/>
              </w:rPr>
              <w:t>204</w:t>
            </w:r>
          </w:p>
        </w:tc>
      </w:tr>
      <w:tr w:rsidR="005B58CE" w:rsidRPr="000E2621" w14:paraId="1057B0EE" w14:textId="77777777" w:rsidTr="00585D6B">
        <w:trPr>
          <w:trHeight w:val="317"/>
        </w:trPr>
        <w:tc>
          <w:tcPr>
            <w:tcW w:w="4957" w:type="dxa"/>
            <w:tcBorders>
              <w:top w:val="single" w:sz="4" w:space="0" w:color="auto"/>
              <w:left w:val="single" w:sz="4" w:space="0" w:color="auto"/>
              <w:bottom w:val="single" w:sz="4" w:space="0" w:color="auto"/>
              <w:right w:val="single" w:sz="4" w:space="0" w:color="auto"/>
            </w:tcBorders>
            <w:vAlign w:val="center"/>
          </w:tcPr>
          <w:p w14:paraId="4D25D471" w14:textId="77777777" w:rsidR="005B58CE" w:rsidRPr="000E2621" w:rsidRDefault="005B58CE" w:rsidP="00585D6B">
            <w:pPr>
              <w:keepNext/>
              <w:keepLines/>
              <w:shd w:val="clear" w:color="auto" w:fill="FFFFFF"/>
              <w:autoSpaceDE w:val="0"/>
              <w:autoSpaceDN w:val="0"/>
              <w:adjustRightInd w:val="0"/>
              <w:rPr>
                <w:rFonts w:cs="Arial"/>
                <w:bCs/>
                <w:noProof/>
                <w:szCs w:val="20"/>
                <w:lang w:eastAsia="sl-SI"/>
              </w:rPr>
            </w:pPr>
            <w:r w:rsidRPr="000E2621">
              <w:rPr>
                <w:rFonts w:cs="Arial"/>
                <w:bCs/>
                <w:noProof/>
                <w:szCs w:val="20"/>
                <w:lang w:eastAsia="sl-SI"/>
              </w:rPr>
              <w:t>Število (ne) izdanih odločb</w:t>
            </w:r>
          </w:p>
        </w:tc>
        <w:tc>
          <w:tcPr>
            <w:tcW w:w="3407" w:type="dxa"/>
            <w:tcBorders>
              <w:top w:val="single" w:sz="4" w:space="0" w:color="auto"/>
              <w:left w:val="single" w:sz="4" w:space="0" w:color="auto"/>
              <w:bottom w:val="single" w:sz="4" w:space="0" w:color="auto"/>
              <w:right w:val="single" w:sz="4" w:space="0" w:color="auto"/>
            </w:tcBorders>
            <w:vAlign w:val="center"/>
          </w:tcPr>
          <w:p w14:paraId="3F53E3D1" w14:textId="77777777" w:rsidR="005B58CE" w:rsidRPr="00AA3A4F" w:rsidRDefault="005B58CE" w:rsidP="00585D6B">
            <w:pPr>
              <w:keepNext/>
              <w:keepLines/>
              <w:shd w:val="clear" w:color="auto" w:fill="FFFFFF"/>
              <w:autoSpaceDE w:val="0"/>
              <w:autoSpaceDN w:val="0"/>
              <w:adjustRightInd w:val="0"/>
              <w:jc w:val="right"/>
              <w:rPr>
                <w:rFonts w:cs="Arial"/>
                <w:bCs/>
                <w:noProof/>
                <w:szCs w:val="20"/>
                <w:lang w:eastAsia="sl-SI"/>
              </w:rPr>
            </w:pPr>
            <w:r w:rsidRPr="00AA3A4F">
              <w:rPr>
                <w:rFonts w:cs="Arial"/>
                <w:bCs/>
                <w:noProof/>
                <w:szCs w:val="20"/>
                <w:lang w:eastAsia="sl-SI"/>
              </w:rPr>
              <w:t>3</w:t>
            </w:r>
          </w:p>
        </w:tc>
      </w:tr>
      <w:tr w:rsidR="005B58CE" w:rsidRPr="000E2621" w14:paraId="65EFBFC0" w14:textId="77777777" w:rsidTr="00585D6B">
        <w:trPr>
          <w:trHeight w:val="325"/>
        </w:trPr>
        <w:tc>
          <w:tcPr>
            <w:tcW w:w="4957" w:type="dxa"/>
            <w:tcBorders>
              <w:top w:val="single" w:sz="4" w:space="0" w:color="auto"/>
              <w:left w:val="single" w:sz="4" w:space="0" w:color="auto"/>
              <w:bottom w:val="single" w:sz="4" w:space="0" w:color="auto"/>
              <w:right w:val="single" w:sz="4" w:space="0" w:color="auto"/>
            </w:tcBorders>
            <w:vAlign w:val="center"/>
            <w:hideMark/>
          </w:tcPr>
          <w:p w14:paraId="0F2B5270" w14:textId="77777777" w:rsidR="005B58CE" w:rsidRPr="000E2621" w:rsidRDefault="005B58CE" w:rsidP="00585D6B">
            <w:pPr>
              <w:keepNext/>
              <w:keepLines/>
              <w:shd w:val="clear" w:color="auto" w:fill="FFFFFF"/>
              <w:autoSpaceDE w:val="0"/>
              <w:autoSpaceDN w:val="0"/>
              <w:adjustRightInd w:val="0"/>
              <w:rPr>
                <w:rFonts w:cs="Arial"/>
                <w:b/>
                <w:bCs/>
                <w:noProof/>
                <w:szCs w:val="20"/>
                <w:lang w:eastAsia="sl-SI"/>
              </w:rPr>
            </w:pPr>
            <w:r w:rsidRPr="000E2621">
              <w:rPr>
                <w:rFonts w:cs="Arial"/>
                <w:b/>
                <w:bCs/>
                <w:noProof/>
                <w:szCs w:val="20"/>
                <w:lang w:eastAsia="sl-SI"/>
              </w:rPr>
              <w:t>Število obravnavanih odločb skupaj</w:t>
            </w:r>
          </w:p>
        </w:tc>
        <w:tc>
          <w:tcPr>
            <w:tcW w:w="3407" w:type="dxa"/>
            <w:tcBorders>
              <w:top w:val="single" w:sz="4" w:space="0" w:color="auto"/>
              <w:left w:val="single" w:sz="4" w:space="0" w:color="auto"/>
              <w:bottom w:val="single" w:sz="4" w:space="0" w:color="auto"/>
              <w:right w:val="single" w:sz="4" w:space="0" w:color="auto"/>
            </w:tcBorders>
            <w:vAlign w:val="center"/>
            <w:hideMark/>
          </w:tcPr>
          <w:p w14:paraId="0C063A1A" w14:textId="77777777" w:rsidR="005B58CE" w:rsidRPr="00AA3A4F" w:rsidRDefault="005B58CE" w:rsidP="00585D6B">
            <w:pPr>
              <w:keepNext/>
              <w:keepLines/>
              <w:shd w:val="clear" w:color="auto" w:fill="FFFFFF"/>
              <w:autoSpaceDE w:val="0"/>
              <w:autoSpaceDN w:val="0"/>
              <w:adjustRightInd w:val="0"/>
              <w:jc w:val="right"/>
              <w:rPr>
                <w:rFonts w:cs="Arial"/>
                <w:b/>
                <w:bCs/>
                <w:noProof/>
                <w:szCs w:val="20"/>
                <w:lang w:eastAsia="sl-SI"/>
              </w:rPr>
            </w:pPr>
            <w:r w:rsidRPr="00AA3A4F">
              <w:rPr>
                <w:rFonts w:cs="Arial"/>
                <w:b/>
                <w:bCs/>
                <w:noProof/>
                <w:szCs w:val="20"/>
                <w:lang w:eastAsia="sl-SI"/>
              </w:rPr>
              <w:t>1.167</w:t>
            </w:r>
          </w:p>
        </w:tc>
      </w:tr>
    </w:tbl>
    <w:p w14:paraId="399C0D74" w14:textId="27CBF4F4" w:rsidR="005B58CE" w:rsidRPr="000E2621" w:rsidRDefault="007F4C5F" w:rsidP="005B58CE">
      <w:pPr>
        <w:shd w:val="clear" w:color="auto" w:fill="FFFFFF"/>
        <w:jc w:val="both"/>
        <w:rPr>
          <w:rFonts w:cs="Arial"/>
          <w:szCs w:val="20"/>
        </w:rPr>
      </w:pPr>
      <w:r>
        <w:rPr>
          <w:rFonts w:cs="Arial"/>
          <w:szCs w:val="20"/>
        </w:rPr>
        <w:t>Vir: agencija</w:t>
      </w:r>
    </w:p>
    <w:p w14:paraId="2B864ADD" w14:textId="77777777" w:rsidR="007F4C5F" w:rsidRDefault="007F4C5F" w:rsidP="005B58CE">
      <w:pPr>
        <w:jc w:val="both"/>
        <w:rPr>
          <w:rFonts w:cs="Arial"/>
          <w:szCs w:val="20"/>
        </w:rPr>
      </w:pPr>
    </w:p>
    <w:p w14:paraId="32BCF9C7" w14:textId="5680F00F" w:rsidR="005B58CE" w:rsidRDefault="005B58CE" w:rsidP="005B58CE">
      <w:pPr>
        <w:jc w:val="both"/>
        <w:rPr>
          <w:rFonts w:cs="Arial"/>
          <w:szCs w:val="20"/>
          <w:lang w:eastAsia="ar-SA"/>
        </w:rPr>
      </w:pPr>
      <w:r w:rsidRPr="00191723">
        <w:rPr>
          <w:rFonts w:cs="Arial"/>
          <w:szCs w:val="20"/>
        </w:rPr>
        <w:t xml:space="preserve">Agencija </w:t>
      </w:r>
      <w:r w:rsidRPr="00191723">
        <w:rPr>
          <w:rFonts w:cs="Arial"/>
          <w:szCs w:val="20"/>
          <w:lang w:eastAsia="ar-SA"/>
        </w:rPr>
        <w:t>v letu 202</w:t>
      </w:r>
      <w:r>
        <w:rPr>
          <w:rFonts w:cs="Arial"/>
          <w:szCs w:val="20"/>
          <w:lang w:eastAsia="ar-SA"/>
        </w:rPr>
        <w:t>5</w:t>
      </w:r>
      <w:r w:rsidRPr="00191723">
        <w:rPr>
          <w:rFonts w:cs="Arial"/>
          <w:szCs w:val="20"/>
          <w:lang w:eastAsia="ar-SA"/>
        </w:rPr>
        <w:t xml:space="preserve"> ni mogla izdati</w:t>
      </w:r>
      <w:r>
        <w:rPr>
          <w:rFonts w:cs="Arial"/>
          <w:szCs w:val="20"/>
          <w:lang w:eastAsia="ar-SA"/>
        </w:rPr>
        <w:t xml:space="preserve"> 3</w:t>
      </w:r>
      <w:r w:rsidRPr="00191723">
        <w:rPr>
          <w:rFonts w:cs="Arial"/>
          <w:szCs w:val="20"/>
          <w:lang w:eastAsia="ar-SA"/>
        </w:rPr>
        <w:t xml:space="preserve"> odločb zaradi smrti nosilcev kmetijskih gospodarstev in posledično čakanja na odločitev sodišča - zapuščinski postopek.</w:t>
      </w:r>
    </w:p>
    <w:p w14:paraId="16C70A95" w14:textId="77777777" w:rsidR="005B58CE" w:rsidRDefault="005B58CE" w:rsidP="005B58CE">
      <w:pPr>
        <w:jc w:val="both"/>
        <w:rPr>
          <w:rFonts w:cs="Arial"/>
          <w:szCs w:val="20"/>
          <w:lang w:eastAsia="ar-SA"/>
        </w:rPr>
      </w:pPr>
    </w:p>
    <w:p w14:paraId="6CEDADF3" w14:textId="77777777" w:rsidR="005B58CE" w:rsidRPr="00A23D26" w:rsidRDefault="005B58CE" w:rsidP="005B58CE">
      <w:pPr>
        <w:spacing w:line="240" w:lineRule="auto"/>
        <w:jc w:val="both"/>
        <w:rPr>
          <w:rFonts w:cs="Arial"/>
          <w:b/>
          <w:szCs w:val="20"/>
        </w:rPr>
      </w:pPr>
      <w:r w:rsidRPr="009F3DB1">
        <w:rPr>
          <w:rFonts w:cs="Arial"/>
          <w:szCs w:val="20"/>
          <w:lang w:eastAsia="ar-SA"/>
        </w:rPr>
        <w:t>V letu 202</w:t>
      </w:r>
      <w:r>
        <w:rPr>
          <w:rFonts w:cs="Arial"/>
          <w:szCs w:val="20"/>
          <w:lang w:eastAsia="ar-SA"/>
        </w:rPr>
        <w:t>5</w:t>
      </w:r>
      <w:r w:rsidRPr="009F3DB1">
        <w:rPr>
          <w:rFonts w:cs="Arial"/>
          <w:szCs w:val="20"/>
          <w:lang w:eastAsia="ar-SA"/>
        </w:rPr>
        <w:t xml:space="preserve"> je bilo s </w:t>
      </w:r>
      <w:r w:rsidRPr="00734FD6">
        <w:rPr>
          <w:rFonts w:cs="Arial"/>
          <w:bCs/>
          <w:szCs w:val="20"/>
        </w:rPr>
        <w:t>proračunske postavke</w:t>
      </w:r>
      <w:r w:rsidRPr="00734FD6">
        <w:rPr>
          <w:rFonts w:cs="Arial"/>
          <w:color w:val="000000"/>
          <w:szCs w:val="20"/>
        </w:rPr>
        <w:t xml:space="preserve"> </w:t>
      </w:r>
      <w:r w:rsidRPr="006F565B">
        <w:rPr>
          <w:rFonts w:cs="Arial"/>
          <w:szCs w:val="20"/>
        </w:rPr>
        <w:t>221646 Ukrepi proti motnjam na trgu – EU</w:t>
      </w:r>
      <w:r>
        <w:rPr>
          <w:rFonts w:cs="Arial"/>
          <w:b/>
          <w:szCs w:val="20"/>
        </w:rPr>
        <w:t>,</w:t>
      </w:r>
      <w:r w:rsidRPr="006F565B">
        <w:rPr>
          <w:rFonts w:cs="Arial"/>
          <w:b/>
          <w:szCs w:val="20"/>
        </w:rPr>
        <w:t xml:space="preserve"> </w:t>
      </w:r>
      <w:r w:rsidRPr="006F565B">
        <w:rPr>
          <w:rFonts w:cs="Arial"/>
          <w:bCs/>
          <w:szCs w:val="20"/>
        </w:rPr>
        <w:t>NRP:</w:t>
      </w:r>
      <w:r w:rsidRPr="006F565B">
        <w:rPr>
          <w:rFonts w:cs="Arial"/>
          <w:b/>
          <w:szCs w:val="20"/>
        </w:rPr>
        <w:t xml:space="preserve"> </w:t>
      </w:r>
      <w:r w:rsidRPr="006F565B">
        <w:rPr>
          <w:rFonts w:cs="Arial"/>
          <w:bCs/>
          <w:szCs w:val="20"/>
        </w:rPr>
        <w:t>2330-23-0029 – Ukrepi proti motnjam na trgu 2023-2027</w:t>
      </w:r>
      <w:r>
        <w:rPr>
          <w:rFonts w:cs="Arial"/>
          <w:b/>
          <w:szCs w:val="20"/>
        </w:rPr>
        <w:t xml:space="preserve">, </w:t>
      </w:r>
      <w:r w:rsidRPr="006F565B">
        <w:rPr>
          <w:rFonts w:cs="Arial"/>
          <w:bCs/>
          <w:szCs w:val="20"/>
        </w:rPr>
        <w:t>Konto:</w:t>
      </w:r>
      <w:r w:rsidRPr="006F565B">
        <w:rPr>
          <w:rFonts w:cs="Arial"/>
          <w:b/>
          <w:szCs w:val="20"/>
        </w:rPr>
        <w:t xml:space="preserve"> </w:t>
      </w:r>
      <w:r w:rsidRPr="006F565B">
        <w:rPr>
          <w:rFonts w:cs="Arial"/>
          <w:szCs w:val="20"/>
        </w:rPr>
        <w:t>4102</w:t>
      </w:r>
      <w:r w:rsidRPr="001D42F0">
        <w:rPr>
          <w:rFonts w:cs="Arial"/>
          <w:szCs w:val="20"/>
        </w:rPr>
        <w:t xml:space="preserve"> </w:t>
      </w:r>
      <w:r w:rsidRPr="006F565B">
        <w:rPr>
          <w:rFonts w:cs="Arial"/>
          <w:szCs w:val="20"/>
        </w:rPr>
        <w:t xml:space="preserve">Subvencije privatnim </w:t>
      </w:r>
      <w:r w:rsidRPr="00A23D26">
        <w:rPr>
          <w:rFonts w:cs="Arial"/>
          <w:szCs w:val="20"/>
        </w:rPr>
        <w:t>podjetjem in zasebnikom</w:t>
      </w:r>
      <w:r>
        <w:rPr>
          <w:rFonts w:cs="Arial"/>
          <w:szCs w:val="20"/>
        </w:rPr>
        <w:t>,</w:t>
      </w:r>
      <w:r w:rsidRPr="00A23D26">
        <w:rPr>
          <w:rFonts w:cs="Arial"/>
          <w:b/>
          <w:szCs w:val="20"/>
        </w:rPr>
        <w:t xml:space="preserve"> </w:t>
      </w:r>
      <w:r w:rsidRPr="00A23D26">
        <w:rPr>
          <w:rFonts w:cs="Arial"/>
          <w:szCs w:val="20"/>
          <w:lang w:eastAsia="ar-SA"/>
        </w:rPr>
        <w:t xml:space="preserve">izplačanih </w:t>
      </w:r>
      <w:r w:rsidRPr="00A23D26">
        <w:rPr>
          <w:rFonts w:cs="Arial"/>
          <w:b/>
          <w:bCs/>
          <w:szCs w:val="20"/>
          <w:lang w:eastAsia="ar-SA"/>
        </w:rPr>
        <w:t xml:space="preserve">2.894.618,46 evrov </w:t>
      </w:r>
      <w:r w:rsidRPr="00A23D26">
        <w:rPr>
          <w:rFonts w:cs="Arial"/>
          <w:szCs w:val="20"/>
          <w:lang w:eastAsia="ar-SA"/>
        </w:rPr>
        <w:t xml:space="preserve">na transakcijske račune upravičencev. </w:t>
      </w:r>
    </w:p>
    <w:p w14:paraId="7537297A" w14:textId="77777777" w:rsidR="005B58CE" w:rsidRPr="00A23D26" w:rsidRDefault="005B58CE" w:rsidP="005B58CE">
      <w:pPr>
        <w:spacing w:line="240" w:lineRule="auto"/>
        <w:jc w:val="both"/>
        <w:rPr>
          <w:rFonts w:cs="Arial"/>
          <w:szCs w:val="20"/>
          <w:lang w:eastAsia="ar-SA"/>
        </w:rPr>
      </w:pPr>
    </w:p>
    <w:p w14:paraId="603F243B" w14:textId="3201ABE3" w:rsidR="005B58CE" w:rsidRPr="0025126D" w:rsidRDefault="005B58CE" w:rsidP="005B58CE">
      <w:pPr>
        <w:jc w:val="both"/>
        <w:rPr>
          <w:rFonts w:cs="Arial"/>
          <w:color w:val="000000"/>
          <w:szCs w:val="20"/>
          <w:lang w:eastAsia="ar-SA"/>
        </w:rPr>
      </w:pPr>
      <w:r w:rsidRPr="0025126D">
        <w:rPr>
          <w:color w:val="000000"/>
          <w:szCs w:val="20"/>
        </w:rPr>
        <w:t xml:space="preserve">Pomoč se je izplačala </w:t>
      </w:r>
      <w:r w:rsidRPr="0025126D">
        <w:rPr>
          <w:b/>
          <w:bCs/>
          <w:color w:val="000000"/>
          <w:szCs w:val="20"/>
        </w:rPr>
        <w:t>za obnovo 4.460,30 ha kmetijskih površin (2.819,57 ha vinogradov in 1.640,73 ha sadovnjakov</w:t>
      </w:r>
      <w:r w:rsidRPr="0025126D">
        <w:rPr>
          <w:color w:val="000000"/>
          <w:szCs w:val="20"/>
        </w:rPr>
        <w:t>. (grozdje belo za pred., jabolka I. kakovosti, grozdje rdeče za pred., orehi, hruške I. kakovosti, borovnice gojene, češnje, breskve (namizne), jabolka za predelavo, marelice, kaki, kostanj, slive in češplje,…)</w:t>
      </w:r>
      <w:r>
        <w:rPr>
          <w:color w:val="000000"/>
          <w:szCs w:val="20"/>
        </w:rPr>
        <w:t>.</w:t>
      </w:r>
    </w:p>
    <w:p w14:paraId="23B96C23" w14:textId="77777777" w:rsidR="009828E7" w:rsidRDefault="009828E7" w:rsidP="00716FA8">
      <w:pPr>
        <w:autoSpaceDE w:val="0"/>
        <w:autoSpaceDN w:val="0"/>
        <w:adjustRightInd w:val="0"/>
        <w:jc w:val="both"/>
        <w:rPr>
          <w:rFonts w:cs="Arial"/>
          <w:szCs w:val="20"/>
          <w:lang w:eastAsia="sl-SI"/>
        </w:rPr>
      </w:pPr>
    </w:p>
    <w:sectPr w:rsidR="009828E7" w:rsidSect="00996382">
      <w:headerReference w:type="default" r:id="rId9"/>
      <w:footerReference w:type="default" r:id="rId10"/>
      <w:headerReference w:type="first" r:id="rId11"/>
      <w:footerReference w:type="first" r:id="rId12"/>
      <w:pgSz w:w="11900" w:h="16840" w:code="9"/>
      <w:pgMar w:top="1701" w:right="1701" w:bottom="1134"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1DAE" w14:textId="77777777" w:rsidR="00F92D8C" w:rsidRDefault="00F92D8C">
      <w:r>
        <w:separator/>
      </w:r>
    </w:p>
  </w:endnote>
  <w:endnote w:type="continuationSeparator" w:id="0">
    <w:p w14:paraId="075E1FD0" w14:textId="77777777" w:rsidR="00F92D8C" w:rsidRDefault="00F9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598136"/>
      <w:docPartObj>
        <w:docPartGallery w:val="Page Numbers (Bottom of Page)"/>
        <w:docPartUnique/>
      </w:docPartObj>
    </w:sdtPr>
    <w:sdtEndPr/>
    <w:sdtContent>
      <w:p w14:paraId="5250EDDD" w14:textId="596A9EE2" w:rsidR="006033DF" w:rsidRDefault="006033DF">
        <w:pPr>
          <w:pStyle w:val="Noga"/>
          <w:jc w:val="center"/>
        </w:pPr>
        <w:r>
          <w:fldChar w:fldCharType="begin"/>
        </w:r>
        <w:r>
          <w:instrText>PAGE   \* MERGEFORMAT</w:instrText>
        </w:r>
        <w:r>
          <w:fldChar w:fldCharType="separate"/>
        </w:r>
        <w:r>
          <w:t>2</w:t>
        </w:r>
        <w:r>
          <w:fldChar w:fldCharType="end"/>
        </w:r>
        <w:r>
          <w:t>/</w:t>
        </w:r>
        <w:fldSimple w:instr=" NUMPAGES   \* MERGEFORMAT ">
          <w:r>
            <w:rPr>
              <w:noProof/>
            </w:rPr>
            <w:t>11</w:t>
          </w:r>
        </w:fldSimple>
      </w:p>
    </w:sdtContent>
  </w:sdt>
  <w:p w14:paraId="126FDDD0" w14:textId="77777777" w:rsidR="006033DF" w:rsidRDefault="006033D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717158"/>
      <w:docPartObj>
        <w:docPartGallery w:val="Page Numbers (Bottom of Page)"/>
        <w:docPartUnique/>
      </w:docPartObj>
    </w:sdtPr>
    <w:sdtEndPr/>
    <w:sdtContent>
      <w:p w14:paraId="4E131A87" w14:textId="56530448" w:rsidR="006033DF" w:rsidRDefault="006033DF">
        <w:pPr>
          <w:pStyle w:val="Noga"/>
          <w:jc w:val="center"/>
        </w:pPr>
        <w:r>
          <w:fldChar w:fldCharType="begin"/>
        </w:r>
        <w:r>
          <w:instrText>PAGE   \* MERGEFORMAT</w:instrText>
        </w:r>
        <w:r>
          <w:fldChar w:fldCharType="separate"/>
        </w:r>
        <w:r>
          <w:t>2</w:t>
        </w:r>
        <w:r>
          <w:fldChar w:fldCharType="end"/>
        </w:r>
        <w:r>
          <w:t>/</w:t>
        </w:r>
        <w:fldSimple w:instr=" NUMPAGES   \* MERGEFORMAT ">
          <w:r>
            <w:rPr>
              <w:noProof/>
            </w:rPr>
            <w:t>11</w:t>
          </w:r>
        </w:fldSimple>
      </w:p>
    </w:sdtContent>
  </w:sdt>
  <w:p w14:paraId="6F8EBF61" w14:textId="77777777" w:rsidR="006033DF" w:rsidRDefault="006033D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CDD0E" w14:textId="77777777" w:rsidR="00F92D8C" w:rsidRDefault="00F92D8C">
      <w:r>
        <w:separator/>
      </w:r>
    </w:p>
  </w:footnote>
  <w:footnote w:type="continuationSeparator" w:id="0">
    <w:p w14:paraId="0B130D32" w14:textId="77777777" w:rsidR="00F92D8C" w:rsidRDefault="00F92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62AA"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505160F0" w14:textId="77777777">
      <w:trPr>
        <w:cantSplit/>
        <w:trHeight w:hRule="exact" w:val="847"/>
      </w:trPr>
      <w:tc>
        <w:tcPr>
          <w:tcW w:w="567" w:type="dxa"/>
        </w:tcPr>
        <w:p w14:paraId="76A919D8" w14:textId="77777777" w:rsidR="002A2B69" w:rsidRPr="008F3500" w:rsidRDefault="00816037"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FF14285" wp14:editId="35919AF8">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4F7BAF"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761E780" w14:textId="77777777" w:rsidR="002A2B69" w:rsidRPr="008F3500" w:rsidRDefault="002A2B69" w:rsidP="00996382">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90F"/>
    <w:multiLevelType w:val="hybridMultilevel"/>
    <w:tmpl w:val="4336DF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A40C15"/>
    <w:multiLevelType w:val="hybridMultilevel"/>
    <w:tmpl w:val="02D27886"/>
    <w:lvl w:ilvl="0" w:tplc="889C51D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6B42D51"/>
    <w:multiLevelType w:val="hybridMultilevel"/>
    <w:tmpl w:val="6FB859F0"/>
    <w:lvl w:ilvl="0" w:tplc="51EC4E9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D4C38"/>
    <w:multiLevelType w:val="hybridMultilevel"/>
    <w:tmpl w:val="67267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1B642E"/>
    <w:multiLevelType w:val="hybridMultilevel"/>
    <w:tmpl w:val="31FC14D8"/>
    <w:lvl w:ilvl="0" w:tplc="D8C6E10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31530376"/>
    <w:multiLevelType w:val="hybridMultilevel"/>
    <w:tmpl w:val="E4B6B280"/>
    <w:lvl w:ilvl="0" w:tplc="63AC13D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387AC5"/>
    <w:multiLevelType w:val="hybridMultilevel"/>
    <w:tmpl w:val="6372940C"/>
    <w:lvl w:ilvl="0" w:tplc="0424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92E3857"/>
    <w:multiLevelType w:val="hybridMultilevel"/>
    <w:tmpl w:val="7B32B1BE"/>
    <w:lvl w:ilvl="0" w:tplc="CB30916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6CB12CB"/>
    <w:multiLevelType w:val="hybridMultilevel"/>
    <w:tmpl w:val="DC924650"/>
    <w:lvl w:ilvl="0" w:tplc="51EC4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22031942">
    <w:abstractNumId w:val="12"/>
  </w:num>
  <w:num w:numId="2" w16cid:durableId="2011709377">
    <w:abstractNumId w:val="7"/>
  </w:num>
  <w:num w:numId="3" w16cid:durableId="326708032">
    <w:abstractNumId w:val="10"/>
  </w:num>
  <w:num w:numId="4" w16cid:durableId="1057632106">
    <w:abstractNumId w:val="1"/>
  </w:num>
  <w:num w:numId="5" w16cid:durableId="1814522974">
    <w:abstractNumId w:val="3"/>
  </w:num>
  <w:num w:numId="6" w16cid:durableId="2130733884">
    <w:abstractNumId w:val="2"/>
  </w:num>
  <w:num w:numId="7" w16cid:durableId="1401563857">
    <w:abstractNumId w:val="9"/>
    <w:lvlOverride w:ilvl="0">
      <w:startOverride w:val="1"/>
    </w:lvlOverride>
    <w:lvlOverride w:ilvl="1"/>
    <w:lvlOverride w:ilvl="2"/>
    <w:lvlOverride w:ilvl="3"/>
    <w:lvlOverride w:ilvl="4"/>
    <w:lvlOverride w:ilvl="5"/>
    <w:lvlOverride w:ilvl="6"/>
    <w:lvlOverride w:ilvl="7"/>
    <w:lvlOverride w:ilvl="8"/>
  </w:num>
  <w:num w:numId="8" w16cid:durableId="990330178">
    <w:abstractNumId w:val="13"/>
  </w:num>
  <w:num w:numId="9" w16cid:durableId="224266002">
    <w:abstractNumId w:val="0"/>
  </w:num>
  <w:num w:numId="10" w16cid:durableId="1610158189">
    <w:abstractNumId w:val="8"/>
  </w:num>
  <w:num w:numId="11" w16cid:durableId="103422620">
    <w:abstractNumId w:val="5"/>
  </w:num>
  <w:num w:numId="12" w16cid:durableId="1120538967">
    <w:abstractNumId w:val="11"/>
  </w:num>
  <w:num w:numId="13" w16cid:durableId="1748066114">
    <w:abstractNumId w:val="4"/>
  </w:num>
  <w:num w:numId="14" w16cid:durableId="1408189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7F5"/>
    <w:rsid w:val="00004C58"/>
    <w:rsid w:val="00023A88"/>
    <w:rsid w:val="00027B4A"/>
    <w:rsid w:val="00045568"/>
    <w:rsid w:val="000754B6"/>
    <w:rsid w:val="0008021D"/>
    <w:rsid w:val="00096122"/>
    <w:rsid w:val="000A7238"/>
    <w:rsid w:val="001050E7"/>
    <w:rsid w:val="001357B2"/>
    <w:rsid w:val="00154E39"/>
    <w:rsid w:val="0017478F"/>
    <w:rsid w:val="00174809"/>
    <w:rsid w:val="001861CD"/>
    <w:rsid w:val="001D42F0"/>
    <w:rsid w:val="001D7519"/>
    <w:rsid w:val="00202A77"/>
    <w:rsid w:val="00237400"/>
    <w:rsid w:val="00271CE5"/>
    <w:rsid w:val="00282020"/>
    <w:rsid w:val="002A2B69"/>
    <w:rsid w:val="002B3B66"/>
    <w:rsid w:val="002C1E8A"/>
    <w:rsid w:val="002E1B18"/>
    <w:rsid w:val="00306977"/>
    <w:rsid w:val="003459AA"/>
    <w:rsid w:val="003636BF"/>
    <w:rsid w:val="00371442"/>
    <w:rsid w:val="00377126"/>
    <w:rsid w:val="003845B4"/>
    <w:rsid w:val="00387B1A"/>
    <w:rsid w:val="003C5EE5"/>
    <w:rsid w:val="003D421B"/>
    <w:rsid w:val="003E1C74"/>
    <w:rsid w:val="004373E3"/>
    <w:rsid w:val="004657EE"/>
    <w:rsid w:val="004C0F05"/>
    <w:rsid w:val="004E67F5"/>
    <w:rsid w:val="00500892"/>
    <w:rsid w:val="005155B8"/>
    <w:rsid w:val="00526246"/>
    <w:rsid w:val="00567106"/>
    <w:rsid w:val="005B32A2"/>
    <w:rsid w:val="005B58CE"/>
    <w:rsid w:val="005C56C5"/>
    <w:rsid w:val="005C781B"/>
    <w:rsid w:val="005E1D3C"/>
    <w:rsid w:val="006033DF"/>
    <w:rsid w:val="00625637"/>
    <w:rsid w:val="00625AE6"/>
    <w:rsid w:val="00632253"/>
    <w:rsid w:val="00642714"/>
    <w:rsid w:val="006455CE"/>
    <w:rsid w:val="006518F8"/>
    <w:rsid w:val="00655841"/>
    <w:rsid w:val="006954F5"/>
    <w:rsid w:val="006A01C8"/>
    <w:rsid w:val="006B6ADF"/>
    <w:rsid w:val="006D1DE2"/>
    <w:rsid w:val="006D70B7"/>
    <w:rsid w:val="00716FA8"/>
    <w:rsid w:val="00733017"/>
    <w:rsid w:val="00783310"/>
    <w:rsid w:val="007A4A6D"/>
    <w:rsid w:val="007D1BCF"/>
    <w:rsid w:val="007D75CF"/>
    <w:rsid w:val="007E0440"/>
    <w:rsid w:val="007E6DC5"/>
    <w:rsid w:val="007F3D8E"/>
    <w:rsid w:val="007F4C5F"/>
    <w:rsid w:val="00805939"/>
    <w:rsid w:val="00816037"/>
    <w:rsid w:val="00857AE9"/>
    <w:rsid w:val="0088043C"/>
    <w:rsid w:val="00884889"/>
    <w:rsid w:val="00884B4B"/>
    <w:rsid w:val="008906C9"/>
    <w:rsid w:val="008C3EAB"/>
    <w:rsid w:val="008C5738"/>
    <w:rsid w:val="008D04F0"/>
    <w:rsid w:val="008F3500"/>
    <w:rsid w:val="0090099D"/>
    <w:rsid w:val="00903C8A"/>
    <w:rsid w:val="00914956"/>
    <w:rsid w:val="00924E3C"/>
    <w:rsid w:val="0092528A"/>
    <w:rsid w:val="0095271E"/>
    <w:rsid w:val="009612BB"/>
    <w:rsid w:val="009612FE"/>
    <w:rsid w:val="009828E7"/>
    <w:rsid w:val="00986834"/>
    <w:rsid w:val="00996382"/>
    <w:rsid w:val="009C740A"/>
    <w:rsid w:val="00A034FA"/>
    <w:rsid w:val="00A125C5"/>
    <w:rsid w:val="00A2451C"/>
    <w:rsid w:val="00A65EE7"/>
    <w:rsid w:val="00A666BA"/>
    <w:rsid w:val="00A70133"/>
    <w:rsid w:val="00A770A6"/>
    <w:rsid w:val="00A813B1"/>
    <w:rsid w:val="00A9243E"/>
    <w:rsid w:val="00AB36C4"/>
    <w:rsid w:val="00AC32B2"/>
    <w:rsid w:val="00AF404E"/>
    <w:rsid w:val="00B027BC"/>
    <w:rsid w:val="00B05674"/>
    <w:rsid w:val="00B17141"/>
    <w:rsid w:val="00B31575"/>
    <w:rsid w:val="00B8547D"/>
    <w:rsid w:val="00BB5F12"/>
    <w:rsid w:val="00BC7BF5"/>
    <w:rsid w:val="00C0796E"/>
    <w:rsid w:val="00C250D5"/>
    <w:rsid w:val="00C30238"/>
    <w:rsid w:val="00C35666"/>
    <w:rsid w:val="00C55CA2"/>
    <w:rsid w:val="00C60551"/>
    <w:rsid w:val="00C74EC2"/>
    <w:rsid w:val="00C771B5"/>
    <w:rsid w:val="00C92898"/>
    <w:rsid w:val="00CA4340"/>
    <w:rsid w:val="00CB7CA8"/>
    <w:rsid w:val="00CE07F4"/>
    <w:rsid w:val="00CE5238"/>
    <w:rsid w:val="00CE7514"/>
    <w:rsid w:val="00CF7DFE"/>
    <w:rsid w:val="00D248DE"/>
    <w:rsid w:val="00D63F2E"/>
    <w:rsid w:val="00D81059"/>
    <w:rsid w:val="00D81248"/>
    <w:rsid w:val="00D8542D"/>
    <w:rsid w:val="00DB498F"/>
    <w:rsid w:val="00DC6A71"/>
    <w:rsid w:val="00E0357D"/>
    <w:rsid w:val="00E36524"/>
    <w:rsid w:val="00E50A5F"/>
    <w:rsid w:val="00EB7ABC"/>
    <w:rsid w:val="00ED1C3E"/>
    <w:rsid w:val="00F240BB"/>
    <w:rsid w:val="00F57FED"/>
    <w:rsid w:val="00F82138"/>
    <w:rsid w:val="00F92D8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9FA7A5A"/>
  <w15:docId w15:val="{D8ADCC13-1E37-4E21-9049-43D2EDA1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828E7"/>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otevilenodstavekZnak">
    <w:name w:val="Neoštevilčen odstavek Znak"/>
    <w:link w:val="Neotevilenodstavek"/>
    <w:locked/>
    <w:rsid w:val="005C781B"/>
    <w:rPr>
      <w:rFonts w:ascii="Arial" w:hAnsi="Arial" w:cs="Arial"/>
      <w:sz w:val="22"/>
      <w:szCs w:val="22"/>
    </w:rPr>
  </w:style>
  <w:style w:type="paragraph" w:customStyle="1" w:styleId="Neotevilenodstavek">
    <w:name w:val="Neoštevilčen odstavek"/>
    <w:basedOn w:val="Navaden"/>
    <w:link w:val="NeotevilenodstavekZnak"/>
    <w:qFormat/>
    <w:rsid w:val="005C781B"/>
    <w:pPr>
      <w:overflowPunct w:val="0"/>
      <w:autoSpaceDE w:val="0"/>
      <w:autoSpaceDN w:val="0"/>
      <w:adjustRightInd w:val="0"/>
      <w:spacing w:before="60" w:after="60" w:line="200" w:lineRule="exact"/>
      <w:jc w:val="both"/>
    </w:pPr>
    <w:rPr>
      <w:rFonts w:cs="Arial"/>
      <w:sz w:val="22"/>
      <w:szCs w:val="22"/>
      <w:lang w:eastAsia="sl-SI"/>
    </w:rPr>
  </w:style>
  <w:style w:type="character" w:styleId="SledenaHiperpovezava">
    <w:name w:val="FollowedHyperlink"/>
    <w:basedOn w:val="Privzetapisavaodstavka"/>
    <w:semiHidden/>
    <w:unhideWhenUsed/>
    <w:rsid w:val="00996382"/>
    <w:rPr>
      <w:color w:val="800080" w:themeColor="followedHyperlink"/>
      <w:u w:val="single"/>
    </w:rPr>
  </w:style>
  <w:style w:type="character" w:customStyle="1" w:styleId="NogaZnak">
    <w:name w:val="Noga Znak"/>
    <w:basedOn w:val="Privzetapisavaodstavka"/>
    <w:link w:val="Noga"/>
    <w:uiPriority w:val="99"/>
    <w:rsid w:val="006033DF"/>
    <w:rPr>
      <w:rFonts w:ascii="Arial" w:hAnsi="Arial"/>
      <w:szCs w:val="24"/>
      <w:lang w:eastAsia="en-US"/>
    </w:rPr>
  </w:style>
  <w:style w:type="paragraph" w:styleId="Odstavekseznama">
    <w:name w:val="List Paragraph"/>
    <w:basedOn w:val="Navaden"/>
    <w:uiPriority w:val="34"/>
    <w:qFormat/>
    <w:rsid w:val="00D81248"/>
    <w:pPr>
      <w:ind w:left="720"/>
      <w:contextualSpacing/>
    </w:pPr>
  </w:style>
  <w:style w:type="character" w:styleId="Nerazreenaomemba">
    <w:name w:val="Unresolved Mention"/>
    <w:basedOn w:val="Privzetapisavaodstavka"/>
    <w:uiPriority w:val="99"/>
    <w:semiHidden/>
    <w:unhideWhenUsed/>
    <w:rsid w:val="00D81248"/>
    <w:rPr>
      <w:color w:val="605E5C"/>
      <w:shd w:val="clear" w:color="auto" w:fill="E1DFDD"/>
    </w:rPr>
  </w:style>
  <w:style w:type="table" w:customStyle="1" w:styleId="Tabela-mrea111">
    <w:name w:val="Tabela - mreža111"/>
    <w:basedOn w:val="Navadnatabela"/>
    <w:rsid w:val="0017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D42F0"/>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3701">
      <w:bodyDiv w:val="1"/>
      <w:marLeft w:val="0"/>
      <w:marRight w:val="0"/>
      <w:marTop w:val="0"/>
      <w:marBottom w:val="0"/>
      <w:divBdr>
        <w:top w:val="none" w:sz="0" w:space="0" w:color="auto"/>
        <w:left w:val="none" w:sz="0" w:space="0" w:color="auto"/>
        <w:bottom w:val="none" w:sz="0" w:space="0" w:color="auto"/>
        <w:right w:val="none" w:sz="0" w:space="0" w:color="auto"/>
      </w:divBdr>
    </w:div>
    <w:div w:id="194669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novice/2025-11-14-obvestilo-evropske-komisije-o-izvajanju-sheme-pomo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si/novice/2025-06-18-obvestilo-evropske-komisije-o-izvajanju-sheme-pomoci/"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Skupni\PredlogeMKO\MKGP\08-DK\080-DK.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080-DK</Template>
  <TotalTime>232</TotalTime>
  <Pages>4</Pages>
  <Words>1584</Words>
  <Characters>9033</Characters>
  <Application>Microsoft Office Word</Application>
  <DocSecurity>0</DocSecurity>
  <Lines>75</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Martina Šilc Žužek</dc:creator>
  <cp:lastModifiedBy>Vesna Stradar</cp:lastModifiedBy>
  <cp:revision>38</cp:revision>
  <cp:lastPrinted>2010-07-16T07:41:00Z</cp:lastPrinted>
  <dcterms:created xsi:type="dcterms:W3CDTF">2021-09-21T11:56:00Z</dcterms:created>
  <dcterms:modified xsi:type="dcterms:W3CDTF">2026-06-17T08:23:00Z</dcterms:modified>
</cp:coreProperties>
</file>