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ZAKON O SPREMEMBAH IN DOPOLNITVAH ZAKONA O IZVAJANJU UREDBE (EU) O TRGIH KRIPTOSREDSTEV</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2025-1611-0063</w:t>
      </w:r>
    </w:p>
    <w:p>
      <w:pPr>
        <w:spacing w:after="0" w:line="260" w:lineRule="auto"/>
        <w:rPr>
          <w:rFonts w:ascii="Arial" w:hAnsi="Arial" w:cs="Arial"/>
        </w:rPr>
      </w:pPr>
    </w:p>
    <w:p>
      <w:r>
        <w:br w:type="page"/>
      </w:r>
    </w:p>
    <w:p>
      <w:pPr>
        <w:pStyle w:val="Odebeljeno"/>
        <w:spacing w:after="0" w:line="260" w:lineRule="auto"/>
      </w:pPr>
      <w:r>
        <w:t>I.</w:t>
      </w:r>
      <w:r>
        <w:tab/>
      </w:r>
      <w:r>
        <w:t>UVOD</w:t>
      </w:r>
    </w:p>
    <w:p>
      <w:pPr>
        <w:pStyle w:val="Odebeljeno"/>
        <w:spacing w:after="0" w:line="260" w:lineRule="auto"/>
      </w:pPr>
      <w:r>
        <w:t>1.</w:t>
      </w:r>
      <w:r>
        <w:tab/>
      </w:r>
      <w:r>
        <w:t>Ocena stanja in razlogi za sprejetje predloga zakona</w:t>
      </w:r>
    </w:p>
    <w:p>
      <w:pPr>
        <w:spacing w:after="0" w:line="260" w:lineRule="auto"/>
        <w:rPr>
          <w:rFonts w:ascii="Arial" w:hAnsi="Arial" w:cs="Arial"/>
        </w:rPr>
      </w:pPr>
    </w:p>
    <w:p>
      <w:pPr>
        <w:spacing w:after="0" w:line="240" w:lineRule="auto"/>
      </w:pPr>
      <w:r>
        <w:t>Zakon o izvajanju Uredbe (EU) o trgih kriptosredstev (Uradni list RS, št. 95/24 in 10/26 – ZdZEETD; v nadaljnjem besedilu: ZIUTK) je predpis, ki ureja izvajanje Uredbe (EU) 2023/1114 Evropskega parlamenta in Sveta z dne 31. maja 2023 o trgih kriptosredstev in spremembi uredb (EU) št. 1093/2010 in (EU) št. 1095/2010 ter direktiv 2013/36/EU in (EU) 2019/1937 (UL L št. 150 z dne 9. 6. 2023, str. 1), zadnjič spremenjene z Delegirano uredbo Komisije (EU) 2025/1264 z dne 27. junija 2025 o dopolnitvi Uredbe (EU) 2023/1114 Evropskega parlamenta in Sveta v zvezi z regulativnimi tehničnimi standardi za določitev minimalne vsebine politike in postopkov za upravljanje likvidnosti za določene izdajatelje žetonov, vezanih na sredstva, in e-denarnih žetonov (UL L št. 2025/1264 z dne 3. 10. 2025), (v nadaljnjem besedilu: Uredba 2023/1114/EU). ZIUTK v okviru izvajanja navedene uredbe določa pristojna organa, ureja njuno medsebojno sodelovanje ter sodelovanje s pristojnimi organi drugih držav članic in nadzornimi organi Evropske unije, opredeljuje nadzor, nadzorne ukrepe ter prekrškovne določbe.</w:t>
      </w:r>
    </w:p>
    <w:p>
      <w:pPr>
        <w:spacing w:after="0" w:line="240" w:lineRule="auto"/>
      </w:pPr>
      <w:r>
        <w:t xml:space="preserve"> </w:t>
      </w:r>
    </w:p>
    <w:p>
      <w:pPr>
        <w:spacing w:after="0" w:line="240" w:lineRule="auto"/>
      </w:pPr>
      <w:r>
        <w:t>Ob uporabi ZIUTK v praksi so bile ugotovljene posamezne nomotehnične pomanjkljivosti in vsebinske vrzeli veljavnega besedila. V prvem odstavku 15. člena ZIUTK, ki določa prekrške za kršitve Uredbe 2023/1114/EU, ni predvideno sankcioniranje kršitev vseh členov navedene uredbe, katerih sankcioniranje zahteva prvi odstavek 111. člena Uredbe 2023/1114/EU. Konkretno manjka sankcioniranje kršitev 11. člena (pravice ponudnikov kriptosredstev, ki niso žetoni, vezani na sredstva, ali e-denarni žetoni), 28. člena (objava bele knjige o kriptosredstvu za žetone, vezane na sredstva), 34. člena (ureditev upravljanja izdajateljev žetonov, vezanih na sredstva) in 64. člena (okoliščine, ki vodijo v odvzem dovoljenja ponudnika storitev v zvezi s kriptosredstvi) navedene uredbe. Posledično so nepravilna tudi sklicevanja na točke prvega odstavka 15. člena v 16. členu ZIUTK, ki določa višje globe za hujše prekrške, v drugem odstavku 16. člena ZIUTK pa je bila ugotovljena tudi tipkarska napaka v oznaki odstavka.</w:t>
      </w:r>
    </w:p>
    <w:p>
      <w:pPr>
        <w:spacing w:after="0" w:line="240" w:lineRule="auto"/>
      </w:pPr>
      <w:r>
        <w:t xml:space="preserve"> </w:t>
      </w:r>
    </w:p>
    <w:p>
      <w:pPr>
        <w:spacing w:after="0" w:line="240" w:lineRule="auto"/>
      </w:pPr>
      <w:r>
        <w:t>V drugem odstavku 7. člena ZIUTK je bila ugotovljena pravna praznina, saj veljavno besedilo predvideva smiselno uporabo zakonov, ki urejajo trg finančnih instrumentov, Banko Slovenije, bančništvo ter plačilne storitve, le za izrekanje nadzornih ukrepov, ne pa tudi za samo opravljanje nadzora. Ker postopki odločanja o dovoljenjih že imajo procesno podlago v četrtem odstavku 3. člena ZIUTK, faza opravljanja nadzora (pregledi poslovanja, pridobivanje informacij) pa ne, bi morala pristojna organa pri opravljanju nadzora uporabljati splošna pravila upravnega postopka, ki glede na naravo nadzornih postopkov na podlagi Uredbe 2023/1114/EU niso ustrezna.</w:t>
      </w:r>
    </w:p>
    <w:p>
      <w:pPr>
        <w:spacing w:after="0" w:line="240" w:lineRule="auto"/>
      </w:pPr>
      <w:r>
        <w:t xml:space="preserve"> </w:t>
      </w:r>
    </w:p>
    <w:p>
      <w:pPr>
        <w:spacing w:after="0" w:line="240" w:lineRule="auto"/>
      </w:pPr>
      <w:r>
        <w:t>Poleg navedenega veljavno besedilo vsebuje posamezne nomotehnične pomanjkljivosti v 3. členu ZIUTK (dvojno sklicevanje na uredbo v 7. točki prvega odstavka, manjkajoča vejica v 8. točki prvega odstavka ter nepregledna ureditev tretjega odstavka) ter neustrezno poimenovanje 17. člena ZIUTK, katerega naslov ne ustreza vsebini člena.</w:t>
      </w:r>
    </w:p>
    <w:p>
      <w:pPr>
        <w:spacing w:after="0" w:line="240" w:lineRule="auto"/>
      </w:pPr>
      <w:r>
        <w:t xml:space="preserve"> </w:t>
      </w:r>
    </w:p>
    <w:p>
      <w:pPr>
        <w:spacing w:after="0" w:line="240" w:lineRule="auto"/>
      </w:pPr>
      <w:r>
        <w:t>Navedba Uredbe 2023/1114/EU v 1. členu ZIUTK ne vključuje njenega zadnjega posega, in sicer Delegirane uredbe Komisije (EU) 2025/1264 z dne 27. junija 2025 o dopolnitvi navedene uredbe.</w:t>
      </w:r>
    </w:p>
    <w:p>
      <w:pPr>
        <w:spacing w:after="0" w:line="240" w:lineRule="auto"/>
      </w:pPr>
      <w:r>
        <w:t xml:space="preserve"> </w:t>
      </w:r>
    </w:p>
    <w:p>
      <w:pPr>
        <w:spacing w:after="0" w:line="240" w:lineRule="auto"/>
      </w:pPr>
      <w:r>
        <w:t>Glavni razlog za sprejetje predloga zakona je zagotovitev celovite skladnosti prekrškovnih določb ZIUTK z zahtevami iz 111. člena Uredbe 2023/1114/EU ter odprava ugotovljenih pravnih praznin in nomotehničnih pomanjkljivosti.</w:t>
      </w:r>
    </w:p>
    <w:p>
      <w:pPr>
        <w:spacing w:after="0" w:line="260" w:lineRule="auto"/>
        <w:rPr>
          <w:rFonts w:ascii="Arial" w:hAnsi="Arial" w:cs="Arial"/>
        </w:rPr>
      </w:pPr>
    </w:p>
    <w:p>
      <w:pPr>
        <w:pStyle w:val="Odebeljeno"/>
        <w:spacing w:after="0" w:line="260" w:lineRule="auto"/>
      </w:pPr>
      <w:r>
        <w:t>2.</w:t>
      </w:r>
      <w:r>
        <w:tab/>
      </w:r>
      <w:r>
        <w:t>CILJI, NAČELA IN POGLAVITNE REŠITVE PREDLOGA ZAKONA</w:t>
      </w:r>
    </w:p>
    <w:p>
      <w:pPr>
        <w:pStyle w:val="Odebeljeno"/>
        <w:spacing w:after="0" w:line="260" w:lineRule="auto"/>
      </w:pPr>
      <w:r>
        <w:t>2.1</w:t>
      </w:r>
      <w:r>
        <w:tab/>
      </w:r>
      <w:r>
        <w:t>Cilji</w:t>
      </w:r>
    </w:p>
    <w:p>
      <w:pPr>
        <w:spacing w:after="0" w:line="260" w:lineRule="auto"/>
        <w:rPr>
          <w:rFonts w:ascii="Arial" w:hAnsi="Arial" w:cs="Arial"/>
        </w:rPr>
      </w:pPr>
    </w:p>
    <w:p>
      <w:pPr>
        <w:spacing w:after="0" w:line="240" w:lineRule="auto"/>
        <w:jc w:val="both"/>
      </w:pPr>
      <w:r>
        <w:t>Cilj predloga zakona je zagotovitev celovite in pravilne izvedbe Uredbe 2023/1114/EU v slovenskem pravnem redu, zlasti na področju prekrškovnih določb. S predlogom zakona se odpravlja neskladnost veljavnega prvega odstavka 15. člena ZIUTK s prvim odstavkom 111. člena Uredbe 2023/1114/EU, ki zahteva, da države članice zagotovijo sankcioniranje kršitev vseh v njem navedenih členov uredbe. Hkrati se odpravlja pravna praznina pri opravljanju nadzora s strani pristojnih organov, uvaja se možnost odpovedi pravici do sodnega varstva ter odpravljajo posamezne nomotehnične pomanjkljivosti veljavnega besedila.</w:t>
      </w:r>
    </w:p>
    <w:p>
      <w:pPr>
        <w:spacing w:after="0" w:line="260" w:lineRule="auto"/>
        <w:rPr>
          <w:rFonts w:ascii="Arial" w:hAnsi="Arial" w:cs="Arial"/>
        </w:rPr>
      </w:pPr>
    </w:p>
    <w:p>
      <w:pPr>
        <w:spacing w:after="0" w:line="240" w:lineRule="auto"/>
      </w:pPr>
      <w:r>
        <w:t>Doseganje cilja predloga zakona se bo spremljalo z ugotavljanjem skladnosti prekrškovnih določb ZIUTK s prvim odstavkom 111. člena Uredbe 2023/1114/EU v okviru rednega poročanja Agencije za trg vrednostnih papirjev in Banke Slovenije o izvajanju nadzora na podlagi Uredbe 2023/1114/EU ter v okviru morebitnih ugotovitev Evropskega organa za vrednostne papirje in trge (ESMA) ali Evropskega bančnega organa (EBA) glede skladnosti nacionalne zakonodaje z navedeno uredbo.</w:t>
      </w:r>
    </w:p>
    <w:p>
      <w:pPr>
        <w:spacing w:after="0" w:line="260" w:lineRule="auto"/>
        <w:rPr>
          <w:rFonts w:ascii="Arial" w:hAnsi="Arial" w:cs="Arial"/>
        </w:rPr>
      </w:pPr>
    </w:p>
    <w:p>
      <w:pPr>
        <w:pStyle w:val="Odebeljeno"/>
        <w:spacing w:after="0" w:line="260" w:lineRule="auto"/>
      </w:pPr>
      <w:r>
        <w:t>2.2</w:t>
      </w:r>
      <w:r>
        <w:tab/>
      </w:r>
      <w:r>
        <w:t>Načela</w:t>
      </w:r>
    </w:p>
    <w:p>
      <w:pPr>
        <w:spacing w:after="0" w:line="260" w:lineRule="auto"/>
        <w:rPr>
          <w:rFonts w:ascii="Arial" w:hAnsi="Arial" w:cs="Arial"/>
        </w:rPr>
      </w:pPr>
    </w:p>
    <w:p>
      <w:pPr>
        <w:spacing w:after="0" w:line="240" w:lineRule="auto"/>
        <w:jc w:val="both"/>
      </w:pPr>
      <w:r>
        <w:t>Predlog zakona sledi načelom veljavnega ZIUTK: načelu učinkovitega in celovitega izvajanja Uredbe 2023/1114/EU, načelu pravne jasnosti in predvidljivosti postopkov ter načelu sorazmernih in odvračilnih sankcij za kršitve navedene uredbe. Predlog zakona ne uvaja novih načel in ne posega v temeljno zasnovo veljavnega ZIUTK.</w:t>
      </w:r>
    </w:p>
    <w:p>
      <w:pPr>
        <w:spacing w:after="0" w:line="260" w:lineRule="auto"/>
        <w:rPr>
          <w:rFonts w:ascii="Arial" w:hAnsi="Arial" w:cs="Arial"/>
        </w:rPr>
      </w:pPr>
    </w:p>
    <w:p>
      <w:pPr>
        <w:pStyle w:val="Odebeljeno"/>
        <w:spacing w:after="0" w:line="260" w:lineRule="auto"/>
      </w:pPr>
      <w:r>
        <w:t>2.3</w:t>
      </w:r>
      <w:r>
        <w:tab/>
      </w:r>
      <w:r>
        <w:t>Poglavitne rešitve</w:t>
      </w:r>
    </w:p>
    <w:p>
      <w:pPr>
        <w:spacing w:after="0" w:line="260" w:lineRule="auto"/>
        <w:rPr>
          <w:rFonts w:ascii="Arial" w:hAnsi="Arial" w:cs="Arial"/>
        </w:rPr>
      </w:pPr>
    </w:p>
    <w:p>
      <w:pPr>
        <w:spacing w:after="0" w:line="240" w:lineRule="auto"/>
      </w:pPr>
      <w:r>
        <w:t>Predlog zakona vsebuje naslednje poglavitne rešitve:</w:t>
      </w:r>
    </w:p>
    <w:p>
      <w:pPr>
        <w:spacing w:after="0" w:line="240" w:lineRule="auto"/>
      </w:pPr>
      <w:r>
        <w:t xml:space="preserve"> </w:t>
      </w:r>
    </w:p>
    <w:p>
      <w:pPr>
        <w:spacing w:after="0" w:line="240" w:lineRule="auto"/>
      </w:pPr>
      <w:r>
        <w:t>V 3. členu ZIUTK se odpravljata nomotehnični pomanjkljivosti v prvem odstavku (dvojno sklicevanje na Uredbo 2023/1114/EU v 7. točki in manjkajoča vejica v 8. točki) ter preoblikuje tretji odstavek v preglednejšo obliko z alinejami, pri čemer se izrecno pojasnjuje, da se obveznost pridobitve mnenja Banke Slovenije nanaša le na postopke, v katerih nastopajo kreditne institucije.</w:t>
      </w:r>
    </w:p>
    <w:p>
      <w:pPr>
        <w:spacing w:after="0" w:line="240" w:lineRule="auto"/>
      </w:pPr>
      <w:r>
        <w:t xml:space="preserve"> </w:t>
      </w:r>
    </w:p>
    <w:p>
      <w:pPr>
        <w:spacing w:after="0" w:line="240" w:lineRule="auto"/>
      </w:pPr>
      <w:r>
        <w:t>V 7. členu ZIUTK se smiselna uporaba zakonov, ki urejajo trg finančnih instrumentov, Banko Slovenije, bančništvo ter plačilne storitve, razširja na opravljanje nadzora, ne le na izrekanje nadzornih ukrepov. S tem se zagotavlja celovita procesna podlaga za vse faze nadzora na podlagi Uredbe 2023/1114/EU.</w:t>
      </w:r>
    </w:p>
    <w:p>
      <w:pPr>
        <w:spacing w:after="0" w:line="240" w:lineRule="auto"/>
      </w:pPr>
      <w:r>
        <w:t xml:space="preserve"> </w:t>
      </w:r>
    </w:p>
    <w:p>
      <w:pPr>
        <w:spacing w:after="0" w:line="240" w:lineRule="auto"/>
      </w:pPr>
      <w:r>
        <w:t>V 13. členu ZIUTK se dodaja možnost odpovedi pravici do sodnega varstva, ki stranki postopka omogoča, da se po vročitvi odločbe pristojnega organa pisno odpove pravici do sodnega varstva, s čimer odločba hitreje postane pravnomočna.</w:t>
      </w:r>
    </w:p>
    <w:p>
      <w:pPr>
        <w:spacing w:after="0" w:line="240" w:lineRule="auto"/>
      </w:pPr>
      <w:r>
        <w:t xml:space="preserve"> </w:t>
      </w:r>
    </w:p>
    <w:p>
      <w:pPr>
        <w:spacing w:after="0" w:line="240" w:lineRule="auto"/>
      </w:pPr>
      <w:r>
        <w:t>V prvem odstavku 15. člena ZIUTK se dodajajo štiri nove točke, ki sankcionirajo kršitve 11. člena (pravice ponudnikov kriptosredstev), 28. člena (objava bele knjige o kriptosredstvu za žetone, vezane na sredstva), 34. člena (ureditev upravljanja izdajateljev žetonov, vezanih na sredstva) in 64. člena (okoliščine, ki vodijo v odvzem dovoljenja ponudnika storitev v zvezi s kriptosredstvi) Uredbe 2023/1114/EU, katerih sankcioniranje zahteva prvi odstavek 111. člena navedene uredbe. Hkrati se vsebinsko popravljajo opisi posameznih prekrškov, med drugim tako, da bo mogoče sankcionirati subjekte, ki storitve v zvezi s kriptosredstvi opravljajo brez dovoljenja, ter odpravljajo nomotehnične pomanjkljivosti veljavnega besedila.</w:t>
      </w:r>
    </w:p>
    <w:p>
      <w:pPr>
        <w:spacing w:after="0" w:line="240" w:lineRule="auto"/>
      </w:pPr>
      <w:r>
        <w:t xml:space="preserve"> </w:t>
      </w:r>
    </w:p>
    <w:p>
      <w:pPr>
        <w:spacing w:after="0" w:line="240" w:lineRule="auto"/>
      </w:pPr>
      <w:r>
        <w:t>V 16. členu ZIUTK se posodabljajo sklicevanja na točke prvega odstavka 15. člena, ki se zaradi spremenjenega števila točk preštevilčijo, in odpravlja tipkarska napaka v oznaki drugega odstavka.</w:t>
      </w:r>
    </w:p>
    <w:p>
      <w:pPr>
        <w:spacing w:after="0" w:line="240" w:lineRule="auto"/>
      </w:pPr>
      <w:r>
        <w:t xml:space="preserve"> </w:t>
      </w:r>
    </w:p>
    <w:p>
      <w:pPr>
        <w:spacing w:after="0" w:line="240" w:lineRule="auto"/>
      </w:pPr>
      <w:r>
        <w:t>V 17. členu ZIUTK se spreminja naslov člena, ki ne ustreza vsebini.</w:t>
      </w:r>
    </w:p>
    <w:p>
      <w:pPr>
        <w:spacing w:after="0" w:line="260" w:lineRule="auto"/>
        <w:rPr>
          <w:rFonts w:ascii="Arial" w:hAnsi="Arial" w:cs="Arial"/>
        </w:rPr>
      </w:pPr>
    </w:p>
    <w:p>
      <w:pPr>
        <w:pStyle w:val="Odebeljeno"/>
        <w:spacing w:after="0" w:line="260" w:lineRule="auto"/>
      </w:pPr>
      <w:r>
        <w:t>3.</w:t>
      </w:r>
      <w:r>
        <w:tab/>
      </w:r>
      <w:r>
        <w:t>Ocena finančnih posledic predloga zakona za državni proračun in druga javna finančna sredstva</w:t>
      </w:r>
    </w:p>
    <w:p>
      <w:pPr>
        <w:spacing w:after="0" w:line="260" w:lineRule="auto"/>
        <w:rPr>
          <w:rFonts w:ascii="Arial" w:hAnsi="Arial" w:cs="Arial"/>
        </w:rPr>
      </w:pPr>
    </w:p>
    <w:p>
      <w:pPr>
        <w:spacing w:after="0" w:line="260" w:lineRule="auto"/>
      </w:pPr>
      <w:r>
        <w:t>Predlog nima posledic za državni proračun in druga javna finančna sredstva.</w:t>
      </w:r>
    </w:p>
    <w:p>
      <w:pPr>
        <w:spacing w:after="0" w:line="260" w:lineRule="auto"/>
        <w:rPr>
          <w:rFonts w:ascii="Arial" w:hAnsi="Arial" w:cs="Arial"/>
        </w:rPr>
      </w:pPr>
    </w:p>
    <w:p>
      <w:pPr>
        <w:pStyle w:val="Odebeljeno"/>
        <w:spacing w:after="0" w:line="260" w:lineRule="auto"/>
      </w:pPr>
      <w:r>
        <w:t>4.</w:t>
      </w:r>
      <w:r>
        <w:tab/>
      </w:r>
      <w:r>
        <w:t>Navedba, da so sredstva za izvajanje zakona v državnem proračunu zagotovljena, če predlog zakona predvideva porabo proračunskih sredstev v obdobju, za katero je bil državni proračun že sprejet</w:t>
      </w:r>
    </w:p>
    <w:p>
      <w:pPr>
        <w:spacing w:after="0" w:line="260" w:lineRule="auto"/>
        <w:rPr>
          <w:rFonts w:ascii="Arial" w:hAnsi="Arial" w:cs="Arial"/>
        </w:rPr>
      </w:pPr>
    </w:p>
    <w:p>
      <w:pPr>
        <w:spacing w:after="0" w:line="260" w:lineRule="auto"/>
      </w:pPr>
      <w:r>
        <w:t>Zagotovitev finančnih sredstev v sprejetem državnem proračunu ni potrebna.</w:t>
      </w:r>
    </w:p>
    <w:p>
      <w:pPr>
        <w:spacing w:after="0" w:line="260" w:lineRule="auto"/>
        <w:rPr>
          <w:rFonts w:ascii="Arial" w:hAnsi="Arial" w:cs="Arial"/>
        </w:rPr>
      </w:pPr>
    </w:p>
    <w:p>
      <w:pPr>
        <w:pStyle w:val="Odebeljeno"/>
        <w:spacing w:after="0" w:line="260" w:lineRule="auto"/>
      </w:pPr>
      <w:r>
        <w:t>5.</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5.1</w:t>
      </w:r>
      <w:r>
        <w:tab/>
      </w:r>
      <w:r>
        <w:t>Prikaz ureditve v drugih pravnih sistemih</w:t>
      </w:r>
    </w:p>
    <w:p>
      <w:pPr>
        <w:spacing w:after="0" w:line="260" w:lineRule="auto"/>
        <w:rPr>
          <w:rFonts w:ascii="Arial" w:hAnsi="Arial" w:cs="Arial"/>
        </w:rPr>
      </w:pPr>
    </w:p>
    <w:p>
      <w:pPr>
        <w:spacing w:after="0" w:line="260" w:lineRule="auto"/>
      </w:pPr>
      <w:r>
        <w:t>Drugi pravni sistemi niso bili predmet proučevanja.</w:t>
      </w:r>
    </w:p>
    <w:p>
      <w:pPr>
        <w:spacing w:after="0" w:line="260" w:lineRule="auto"/>
        <w:rPr>
          <w:rFonts w:ascii="Arial" w:hAnsi="Arial" w:cs="Arial"/>
        </w:rPr>
      </w:pPr>
    </w:p>
    <w:p>
      <w:pPr>
        <w:pStyle w:val="Odebeljeno"/>
        <w:spacing w:after="0" w:line="260" w:lineRule="auto"/>
      </w:pPr>
      <w:r>
        <w:t>5.2</w:t>
      </w:r>
      <w:r>
        <w:tab/>
      </w:r>
      <w:r>
        <w:t>Prikaz ureditve v pravnem redu Evropske unije</w:t>
      </w:r>
    </w:p>
    <w:p>
      <w:pPr>
        <w:spacing w:after="0" w:line="260" w:lineRule="auto"/>
        <w:rPr>
          <w:rFonts w:ascii="Arial" w:hAnsi="Arial" w:cs="Arial"/>
        </w:rPr>
      </w:pPr>
    </w:p>
    <w:p>
      <w:pPr>
        <w:spacing w:after="0" w:line="260" w:lineRule="auto"/>
      </w:pPr>
      <w:r>
        <w:t>Predlog je predmet usklajevanja s pravnim redom EU.</w:t>
      </w:r>
    </w:p>
    <w:p>
      <w:pPr>
        <w:spacing w:after="0" w:line="260" w:lineRule="auto"/>
        <w:rPr>
          <w:rFonts w:ascii="Arial" w:hAnsi="Arial" w:cs="Arial"/>
        </w:rPr>
      </w:pPr>
    </w:p>
    <w:tbl>
      <w:tblPr>
        <w:tblStyle w:val="TableGrid"/>
        <w:tblW w:w="0" w:type="auto"/>
        <w:tblLook w:val="04A0"/>
      </w:tblPr>
      <w:tblGrid>
        <w:gridCol w:w="9062"/>
      </w:tblGrid>
      <w:tr w:rsidTr="00E91806">
        <w:tblPrEx>
          <w:tblW w:w="0" w:type="auto"/>
          <w:tblLook w:val="04A0"/>
        </w:tblPrEx>
        <w:trPr>
          <w:trHeight w:val="416"/>
        </w:trPr>
        <w:tc>
          <w:tcPr>
            <w:tcW w:w="9062" w:type="dxa"/>
            <w:tcBorders>
              <w:bottom w:val="triple" w:sz="4" w:space="0" w:color="auto"/>
            </w:tcBorders>
            <w:vAlign w:val="center"/>
          </w:tcPr>
          <w:p>
            <w:pPr>
              <w:jc w:val="center"/>
              <w:rPr>
                <w:b/>
              </w:rPr>
            </w:pPr>
            <w:r>
              <w:rPr>
                <w:b/>
              </w:rPr>
              <w:t>IZJAVA O SKLADNOSTI S PRAVNIM REDOM EU</w:t>
            </w:r>
          </w:p>
        </w:tc>
      </w:tr>
    </w:tbl>
    <w:p>
      <w:pPr>
        <w:spacing w:after="0"/>
        <w:rPr>
          <w:b/>
          <w:u w:val="single"/>
        </w:rPr>
      </w:pPr>
      <w:r>
        <w:rPr>
          <w:b/>
          <w:u w:val="single"/>
        </w:rPr>
        <w:t>NASLOV PREDPISA RS</w:t>
      </w:r>
    </w:p>
    <w:p>
      <w:pPr>
        <w:spacing w:after="0"/>
      </w:pPr>
    </w:p>
    <w:p>
      <w:pPr>
        <w:spacing w:after="0" w:line="360" w:lineRule="auto"/>
        <w:rPr>
          <w:sz w:val="20"/>
          <w:szCs w:val="20"/>
        </w:rPr>
      </w:pPr>
      <w:r>
        <w:rPr>
          <w:sz w:val="20"/>
          <w:szCs w:val="20"/>
        </w:rPr>
        <w:t>Zakon o spremembah in dopolnitvah Zakona o izvajanju Uredbe (EU) o trgih kriptosredstev</w:t>
      </w:r>
    </w:p>
    <w:p>
      <w:pPr>
        <w:spacing w:after="0"/>
      </w:pPr>
    </w:p>
    <w:p>
      <w:pPr>
        <w:spacing w:after="0"/>
        <w:rPr>
          <w:b/>
        </w:rPr>
      </w:pPr>
      <w:r>
        <w:rPr>
          <w:b/>
          <w:u w:val="single"/>
        </w:rPr>
        <w:t>EVA</w:t>
      </w:r>
    </w:p>
    <w:p>
      <w:pPr>
        <w:spacing w:after="0"/>
      </w:pPr>
      <w:r>
        <w:t>2025-1611-0063</w:t>
      </w:r>
    </w:p>
    <w:p>
      <w:pPr>
        <w:spacing w:after="0"/>
      </w:pPr>
    </w:p>
    <w:p>
      <w:pPr>
        <w:spacing w:after="0"/>
        <w:rPr>
          <w:b/>
          <w:u w:val="single"/>
        </w:rPr>
      </w:pPr>
      <w:r>
        <w:rPr>
          <w:b/>
          <w:u w:val="single"/>
        </w:rPr>
        <w:t>AKTI EU, KATERIH PRENOS ALI IZVAJANJE SE ZAGOTAVLJA S PREDPISOM RS</w:t>
      </w:r>
    </w:p>
    <w:p>
      <w:pPr>
        <w:spacing w:after="0"/>
      </w:pPr>
    </w:p>
    <w:tbl>
      <w:tblPr>
        <w:tblStyle w:val="Navadnatabela11"/>
        <w:tblW w:w="8628" w:type="dxa"/>
        <w:tblInd w:w="127" w:type="dxa"/>
        <w:tblLook w:val="04A0"/>
      </w:tblPr>
      <w:tblGrid>
        <w:gridCol w:w="694"/>
        <w:gridCol w:w="1559"/>
        <w:gridCol w:w="4816"/>
        <w:gridCol w:w="1559"/>
      </w:tblGrid>
      <w:tr>
        <w:tblPrEx>
          <w:tblW w:w="8628" w:type="dxa"/>
          <w:tblInd w:w="127" w:type="dxa"/>
          <w:tblLook w:val="04A0"/>
        </w:tblPrEx>
        <w:trPr>
          <w:tblHeader/>
        </w:trPr>
        <w:tc>
          <w:tcPr>
            <w:tcW w:w="694" w:type="dxa"/>
            <w:shd w:val="clear" w:color="auto" w:fill="808080"/>
          </w:tcPr>
          <w:p>
            <w:pPr>
              <w:jc w:val="center"/>
              <w:rPr>
                <w:b w:val="0"/>
                <w:sz w:val="20"/>
                <w:szCs w:val="20"/>
              </w:rPr>
            </w:pPr>
            <w:r>
              <w:rPr>
                <w:sz w:val="20"/>
                <w:szCs w:val="20"/>
              </w:rPr>
              <w:t>Št.</w:t>
            </w:r>
          </w:p>
        </w:tc>
        <w:tc>
          <w:tcPr>
            <w:tcW w:w="1559" w:type="dxa"/>
            <w:shd w:val="clear" w:color="auto" w:fill="808080"/>
          </w:tcPr>
          <w:p>
            <w:pPr>
              <w:jc w:val="center"/>
              <w:rPr>
                <w:b w:val="0"/>
                <w:sz w:val="20"/>
                <w:szCs w:val="20"/>
              </w:rPr>
            </w:pPr>
            <w:r>
              <w:rPr>
                <w:sz w:val="20"/>
                <w:szCs w:val="20"/>
              </w:rPr>
              <w:t>CELEX</w:t>
            </w:r>
          </w:p>
        </w:tc>
        <w:tc>
          <w:tcPr>
            <w:tcW w:w="4816" w:type="dxa"/>
            <w:shd w:val="clear" w:color="auto" w:fill="808080"/>
          </w:tcPr>
          <w:p>
            <w:pPr>
              <w:jc w:val="center"/>
              <w:rPr>
                <w:b w:val="0"/>
                <w:sz w:val="20"/>
                <w:szCs w:val="20"/>
              </w:rPr>
            </w:pPr>
            <w:r>
              <w:rPr>
                <w:sz w:val="20"/>
                <w:szCs w:val="20"/>
              </w:rPr>
              <w:t>Naslov</w:t>
            </w:r>
          </w:p>
        </w:tc>
        <w:tc>
          <w:tcPr>
            <w:tcW w:w="1559" w:type="dxa"/>
            <w:shd w:val="clear" w:color="auto" w:fill="808080"/>
          </w:tcPr>
          <w:p>
            <w:pPr>
              <w:jc w:val="center"/>
              <w:rPr>
                <w:sz w:val="20"/>
                <w:szCs w:val="20"/>
              </w:rPr>
            </w:pPr>
            <w:r>
              <w:rPr>
                <w:sz w:val="20"/>
                <w:szCs w:val="20"/>
              </w:rPr>
              <w:t>Zadnjič spremenjen z (CELEX)</w:t>
            </w:r>
          </w:p>
        </w:tc>
      </w:tr>
      <w:tr>
        <w:tblPrEx>
          <w:tblW w:w="8628" w:type="dxa"/>
          <w:tblInd w:w="127" w:type="dxa"/>
          <w:tblLook w:val="04A0"/>
        </w:tblPrEx>
        <w:tc>
          <w:tcPr>
            <w:tcW w:w="694" w:type="dxa"/>
          </w:tcPr>
          <w:p>
            <w:pPr>
              <w:rPr>
                <w:sz w:val="20"/>
                <w:szCs w:val="20"/>
              </w:rPr>
            </w:pPr>
            <w:r>
              <w:rPr>
                <w:sz w:val="20"/>
                <w:szCs w:val="20"/>
              </w:rPr>
              <w:t>1</w:t>
            </w:r>
          </w:p>
        </w:tc>
        <w:tc>
          <w:tcPr>
            <w:tcW w:w="1559" w:type="dxa"/>
          </w:tcPr>
          <w:p>
            <w:pPr>
              <w:rPr>
                <w:sz w:val="20"/>
                <w:szCs w:val="20"/>
              </w:rPr>
            </w:pPr>
            <w:r>
              <w:rPr>
                <w:sz w:val="20"/>
                <w:szCs w:val="20"/>
              </w:rPr>
              <w:t>32023R1114</w:t>
            </w:r>
          </w:p>
        </w:tc>
        <w:tc>
          <w:tcPr>
            <w:tcW w:w="5099" w:type="dxa"/>
          </w:tcPr>
          <w:p>
            <w:pPr>
              <w:rPr>
                <w:sz w:val="20"/>
                <w:szCs w:val="20"/>
              </w:rPr>
            </w:pPr>
            <w:r>
              <w:rPr>
                <w:sz w:val="20"/>
                <w:szCs w:val="20"/>
              </w:rPr>
              <w:t>Uredba (EU) 2023/1114 Evropskega parlamenta in Sveta z dne 31. maja 2023 o trgih kriptosredstev in spremembi uredb (EU) št. 1093/2010 in (EU) št. 1095/2010 ter direktiv 2013/36/EU in (EU) 2019/1937</w:t>
            </w:r>
          </w:p>
        </w:tc>
        <w:tc>
          <w:tcPr>
            <w:tcW w:w="1701" w:type="dxa"/>
          </w:tcPr>
          <w:p>
            <w:pPr>
              <w:rPr>
                <w:sz w:val="20"/>
                <w:szCs w:val="20"/>
              </w:rPr>
            </w:pPr>
            <w:r>
              <w:rPr>
                <w:sz w:val="20"/>
                <w:szCs w:val="20"/>
              </w:rPr>
              <w:t>32023R2869</w:t>
            </w:r>
          </w:p>
        </w:tc>
      </w:tr>
    </w:tbl>
    <w:tbl>
      <w:tblPr>
        <w:tblStyle w:val="TableNormal"/>
        <w:tblW w:w="8647" w:type="dxa"/>
        <w:tblInd w:w="108" w:type="dxa"/>
        <w:tblLayout w:type="fixed"/>
        <w:tblLook w:val="04A0"/>
      </w:tblPr>
      <w:tblGrid>
        <w:gridCol w:w="709"/>
        <w:gridCol w:w="1134"/>
        <w:gridCol w:w="851"/>
        <w:gridCol w:w="850"/>
        <w:gridCol w:w="1559"/>
        <w:gridCol w:w="709"/>
        <w:gridCol w:w="1134"/>
        <w:gridCol w:w="851"/>
        <w:gridCol w:w="850"/>
      </w:tblGrid>
      <w:tr>
        <w:tblPrEx>
          <w:tblW w:w="8647" w:type="dxa"/>
          <w:tblInd w:w="108" w:type="dxa"/>
          <w:tblLayout w:type="fixed"/>
          <w:tblLook w:val="04A0"/>
        </w:tblPrEx>
        <w:trPr>
          <w:trHeight w:val="452"/>
          <w:tblHeader/>
        </w:trPr>
        <w:tc>
          <w:tcPr>
            <w:tcW w:w="3529" w:type="dxa"/>
            <w:gridSpan w:val="4"/>
            <w:shd w:val="clear" w:color="auto" w:fill="808080" w:themeFillShade="80"/>
          </w:tcPr>
          <w:p>
            <w:pPr>
              <w:jc w:val="center"/>
              <w:rPr>
                <w:b/>
                <w:sz w:val="20"/>
                <w:szCs w:val="20"/>
              </w:rPr>
            </w:pPr>
            <w:r>
              <w:rPr>
                <w:b/>
                <w:sz w:val="20"/>
                <w:szCs w:val="20"/>
              </w:rPr>
              <w:t>Predpis RS</w:t>
            </w:r>
          </w:p>
        </w:tc>
        <w:tc>
          <w:tcPr>
            <w:tcW w:w="1559" w:type="dxa"/>
            <w:vMerge w:val="restart"/>
            <w:shd w:val="clear" w:color="auto" w:fill="808080" w:themeFillShade="80"/>
          </w:tcPr>
          <w:p>
            <w:pPr>
              <w:jc w:val="center"/>
              <w:rPr>
                <w:b/>
                <w:sz w:val="20"/>
                <w:szCs w:val="20"/>
              </w:rPr>
            </w:pPr>
            <w:r>
              <w:rPr>
                <w:b/>
                <w:sz w:val="20"/>
                <w:szCs w:val="20"/>
              </w:rPr>
              <w:t>Opomba ali CELEX akta EU predpisa</w:t>
            </w:r>
          </w:p>
        </w:tc>
        <w:tc>
          <w:tcPr>
            <w:tcW w:w="3528" w:type="dxa"/>
            <w:gridSpan w:val="4"/>
            <w:shd w:val="clear" w:color="auto" w:fill="808080" w:themeFillShade="80"/>
          </w:tcPr>
          <w:p>
            <w:pPr>
              <w:jc w:val="center"/>
              <w:rPr>
                <w:b/>
                <w:sz w:val="20"/>
                <w:szCs w:val="20"/>
              </w:rPr>
            </w:pPr>
            <w:r>
              <w:rPr>
                <w:b/>
                <w:sz w:val="20"/>
                <w:szCs w:val="20"/>
              </w:rPr>
              <w:t>Akt EU</w:t>
            </w:r>
          </w:p>
        </w:tc>
      </w:tr>
      <w:tr>
        <w:tblPrEx>
          <w:tblW w:w="8647" w:type="dxa"/>
          <w:tblInd w:w="108" w:type="dxa"/>
          <w:tblLayout w:type="fixed"/>
          <w:tblLook w:val="04A0"/>
        </w:tblPrEx>
        <w:trPr>
          <w:trHeight w:val="250"/>
          <w:tblHeader/>
        </w:trPr>
        <w:tc>
          <w:tcPr>
            <w:tcW w:w="709" w:type="dxa"/>
            <w:tcBorders>
              <w:bottom w:val="double" w:sz="4" w:space="0" w:color="auto"/>
            </w:tcBorders>
            <w:shd w:val="clear" w:color="auto" w:fill="808080" w:themeFillShade="80"/>
          </w:tcPr>
          <w:p>
            <w:pPr>
              <w:rPr>
                <w:sz w:val="20"/>
                <w:szCs w:val="20"/>
              </w:rPr>
            </w:pPr>
            <w:r>
              <w:rPr>
                <w:sz w:val="20"/>
                <w:szCs w:val="20"/>
              </w:rPr>
              <w:t>Člen</w:t>
            </w:r>
          </w:p>
        </w:tc>
        <w:tc>
          <w:tcPr>
            <w:tcW w:w="1134" w:type="dxa"/>
            <w:tcBorders>
              <w:bottom w:val="double" w:sz="4" w:space="0" w:color="auto"/>
            </w:tcBorders>
            <w:shd w:val="clear" w:color="auto" w:fill="808080" w:themeFillShade="80"/>
          </w:tcPr>
          <w:p>
            <w:pPr>
              <w:rPr>
                <w:sz w:val="20"/>
                <w:szCs w:val="20"/>
              </w:rPr>
            </w:pPr>
            <w:r>
              <w:rPr>
                <w:sz w:val="20"/>
                <w:szCs w:val="20"/>
              </w:rPr>
              <w:t>Odstavek</w:t>
            </w:r>
          </w:p>
        </w:tc>
        <w:tc>
          <w:tcPr>
            <w:tcW w:w="851" w:type="dxa"/>
            <w:tcBorders>
              <w:bottom w:val="double" w:sz="4" w:space="0" w:color="auto"/>
            </w:tcBorders>
            <w:shd w:val="clear" w:color="auto" w:fill="808080" w:themeFillShade="80"/>
          </w:tcPr>
          <w:p>
            <w:pPr>
              <w:rPr>
                <w:sz w:val="20"/>
                <w:szCs w:val="20"/>
              </w:rPr>
            </w:pPr>
            <w:r>
              <w:rPr>
                <w:sz w:val="20"/>
                <w:szCs w:val="20"/>
              </w:rPr>
              <w:t>Točka</w:t>
            </w:r>
          </w:p>
        </w:tc>
        <w:tc>
          <w:tcPr>
            <w:tcW w:w="850" w:type="dxa"/>
            <w:tcBorders>
              <w:bottom w:val="double" w:sz="4" w:space="0" w:color="auto"/>
            </w:tcBorders>
            <w:shd w:val="clear" w:color="auto" w:fill="808080" w:themeFillShade="80"/>
          </w:tcPr>
          <w:p>
            <w:pPr>
              <w:rPr>
                <w:sz w:val="20"/>
                <w:szCs w:val="20"/>
              </w:rPr>
            </w:pPr>
            <w:r>
              <w:rPr>
                <w:sz w:val="20"/>
                <w:szCs w:val="20"/>
              </w:rPr>
              <w:t>Alinea</w:t>
            </w:r>
          </w:p>
        </w:tc>
        <w:tc>
          <w:tcPr>
            <w:tcW w:w="1985" w:type="dxa"/>
            <w:vMerge/>
            <w:tcBorders>
              <w:bottom w:val="double" w:sz="4" w:space="0" w:color="auto"/>
            </w:tcBorders>
            <w:shd w:val="clear" w:color="auto" w:fill="808080" w:themeFillShade="80"/>
          </w:tcPr>
          <w:p>
            <w:pPr>
              <w:rPr>
                <w:b/>
                <w:sz w:val="20"/>
                <w:szCs w:val="20"/>
              </w:rPr>
            </w:pPr>
          </w:p>
        </w:tc>
        <w:tc>
          <w:tcPr>
            <w:tcW w:w="709" w:type="dxa"/>
            <w:tcBorders>
              <w:bottom w:val="double" w:sz="4" w:space="0" w:color="auto"/>
            </w:tcBorders>
            <w:shd w:val="clear" w:color="auto" w:fill="808080" w:themeFillShade="80"/>
          </w:tcPr>
          <w:p>
            <w:pPr>
              <w:rPr>
                <w:sz w:val="20"/>
                <w:szCs w:val="20"/>
              </w:rPr>
            </w:pPr>
            <w:r>
              <w:rPr>
                <w:sz w:val="20"/>
                <w:szCs w:val="20"/>
              </w:rPr>
              <w:t>Člen</w:t>
            </w:r>
          </w:p>
        </w:tc>
        <w:tc>
          <w:tcPr>
            <w:tcW w:w="1134" w:type="dxa"/>
            <w:tcBorders>
              <w:bottom w:val="double" w:sz="4" w:space="0" w:color="auto"/>
            </w:tcBorders>
            <w:shd w:val="clear" w:color="auto" w:fill="808080" w:themeFillShade="80"/>
          </w:tcPr>
          <w:p>
            <w:pPr>
              <w:rPr>
                <w:sz w:val="20"/>
                <w:szCs w:val="20"/>
              </w:rPr>
            </w:pPr>
            <w:r>
              <w:rPr>
                <w:sz w:val="20"/>
                <w:szCs w:val="20"/>
              </w:rPr>
              <w:t>Odstavek</w:t>
            </w:r>
          </w:p>
        </w:tc>
        <w:tc>
          <w:tcPr>
            <w:tcW w:w="851" w:type="dxa"/>
            <w:tcBorders>
              <w:bottom w:val="double" w:sz="4" w:space="0" w:color="auto"/>
            </w:tcBorders>
            <w:shd w:val="clear" w:color="auto" w:fill="808080" w:themeFillShade="80"/>
          </w:tcPr>
          <w:p>
            <w:pPr>
              <w:rPr>
                <w:sz w:val="20"/>
                <w:szCs w:val="20"/>
              </w:rPr>
            </w:pPr>
            <w:r>
              <w:rPr>
                <w:sz w:val="20"/>
                <w:szCs w:val="20"/>
              </w:rPr>
              <w:t>Točka</w:t>
            </w:r>
          </w:p>
        </w:tc>
        <w:tc>
          <w:tcPr>
            <w:tcW w:w="850" w:type="dxa"/>
            <w:tcBorders>
              <w:bottom w:val="double" w:sz="4" w:space="0" w:color="auto"/>
            </w:tcBorders>
            <w:shd w:val="clear" w:color="auto" w:fill="808080" w:themeFillShade="80"/>
          </w:tcPr>
          <w:p>
            <w:pPr>
              <w:rPr>
                <w:sz w:val="20"/>
                <w:szCs w:val="20"/>
              </w:rPr>
            </w:pPr>
            <w:r>
              <w:rPr>
                <w:sz w:val="20"/>
                <w:szCs w:val="20"/>
              </w:rPr>
              <w:t>Alinea</w:t>
            </w: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32023R1114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32023R1114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32023R1114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32023R1114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32023R1114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32023R1114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4-94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32023R1114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32023R1114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4-94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32023R1114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32023R1114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32023R1114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bl>
    <w:p>
      <w:pPr>
        <w:spacing w:after="0"/>
        <w:rPr>
          <w:b/>
        </w:rPr>
      </w:pPr>
    </w:p>
    <w:p>
      <w:pPr>
        <w:spacing w:after="0" w:line="260" w:lineRule="auto"/>
        <w:rPr>
          <w:rFonts w:ascii="Arial" w:hAnsi="Arial" w:cs="Arial"/>
        </w:rPr>
      </w:pPr>
    </w:p>
    <w:p>
      <w:pPr>
        <w:pStyle w:val="SrajckaNaslovZamik"/>
        <w:spacing w:after="0" w:line="260" w:lineRule="auto"/>
      </w:pPr>
      <w:r>
        <w:t>5.3</w:t>
      </w:r>
      <w:r>
        <w:tab/>
      </w:r>
      <w:r>
        <w:t>Prikaz ureditve v posameznih državah članicah Evropske unije</w:t>
      </w:r>
    </w:p>
    <w:p>
      <w:pPr>
        <w:spacing w:after="0" w:line="260" w:lineRule="auto"/>
        <w:rPr>
          <w:rFonts w:ascii="Arial" w:hAnsi="Arial" w:cs="Arial"/>
        </w:rPr>
      </w:pPr>
    </w:p>
    <w:p>
      <w:pPr>
        <w:spacing w:after="0" w:line="260" w:lineRule="auto"/>
      </w:pPr>
      <w:r>
        <w:t>Nemčija</w:t>
      </w:r>
    </w:p>
    <w:p>
      <w:pPr>
        <w:spacing w:after="0" w:line="260" w:lineRule="auto"/>
        <w:rPr>
          <w:rFonts w:ascii="Arial" w:hAnsi="Arial" w:cs="Arial"/>
        </w:rPr>
      </w:pPr>
    </w:p>
    <w:p>
      <w:pPr>
        <w:spacing w:after="0" w:line="240" w:lineRule="auto"/>
      </w:pPr>
      <w:r>
        <w:t>Zvezna republika Nemčija izvajanje Uredbe 2023/1114/EU ureja v Zakonu o nadzoru nad kriptosredstvi (Kryptomärkteaufsichtsgesetz – KMAG), sprejetem decembra 2024 v okviru Zakona o digitalizaciji finančnih trgov (Finanzmarktdigitalisierungsgesetz – FinmadiG). KMAG določa Zvezni urad za nadzor finančnih storitev (BaFin) kot pristojni organ ter vsebuje prekrškovne določbe v skladu z zahtevami iz 111. člena navedene uredbe.</w:t>
      </w:r>
    </w:p>
    <w:p>
      <w:pPr>
        <w:spacing w:after="0" w:line="260" w:lineRule="auto"/>
        <w:rPr>
          <w:rFonts w:ascii="Arial" w:hAnsi="Arial" w:cs="Arial"/>
        </w:rPr>
      </w:pPr>
    </w:p>
    <w:p>
      <w:pPr>
        <w:spacing w:after="0" w:line="260" w:lineRule="auto"/>
      </w:pPr>
      <w:r>
        <w:t>Francija</w:t>
      </w:r>
    </w:p>
    <w:p>
      <w:pPr>
        <w:spacing w:after="0" w:line="260" w:lineRule="auto"/>
        <w:rPr>
          <w:rFonts w:ascii="Arial" w:hAnsi="Arial" w:cs="Arial"/>
        </w:rPr>
      </w:pPr>
    </w:p>
    <w:p>
      <w:pPr>
        <w:spacing w:after="0" w:line="240" w:lineRule="auto"/>
      </w:pPr>
      <w:r>
        <w:t>Francoska republika izvajanje Uredbe 2023/1114/EU ureja z Uredbo št. 2024-936 z dne 15. oktobra 2024, ki prilagaja določbe Monetarnega in finančnega zakonika (Code monétaire et financier). Kot pristojna organa sta določena Autorité des marchés financiers (AMF) za nadzor nad ponudniki storitev v zvezi s kriptosredstvi in Autorité de contrôle prudentiel et de résolution (ACPR) za nadzor nad izdajatelji žetonov, vezanih na sredstva, in e-denarnih žetonov.</w:t>
      </w:r>
    </w:p>
    <w:p>
      <w:pPr>
        <w:spacing w:after="0" w:line="260" w:lineRule="auto"/>
        <w:rPr>
          <w:rFonts w:ascii="Arial" w:hAnsi="Arial" w:cs="Arial"/>
        </w:rPr>
      </w:pPr>
    </w:p>
    <w:p>
      <w:pPr>
        <w:spacing w:after="0" w:line="260" w:lineRule="auto"/>
      </w:pPr>
      <w:r>
        <w:t>Nizozemska</w:t>
      </w:r>
    </w:p>
    <w:p>
      <w:pPr>
        <w:spacing w:after="0" w:line="260" w:lineRule="auto"/>
        <w:rPr>
          <w:rFonts w:ascii="Arial" w:hAnsi="Arial" w:cs="Arial"/>
        </w:rPr>
      </w:pPr>
    </w:p>
    <w:p>
      <w:pPr>
        <w:spacing w:after="0" w:line="240" w:lineRule="auto"/>
      </w:pPr>
      <w:r>
        <w:t>Kraljevina Nizozemska izvajanje Uredbe 2023/1114/EU ureja z Zakonom o izvajanju uredbe o kriptosredstvih (Uitvoeringswet verordening cryptoactiva), sprejetim decembra 2024, ki spreminja Zakon o finančnem nadzoru (Wet op het financieel toezicht – Wft). Kot pristojna organa sta določena Autoriteit Financiële Markten (AFM) za nadzor nad ponudniki storitev v zvezi s kriptosredstvi in De Nederlandsche Bank (DNB) za bonitetni nadzor in nadzor nad izdajatelji žetonov, vezanih na sredstva, in e-denarnih žetonov.</w:t>
      </w:r>
    </w:p>
    <w:p>
      <w:pPr>
        <w:spacing w:after="0" w:line="260" w:lineRule="auto"/>
        <w:rPr>
          <w:rFonts w:ascii="Arial" w:hAnsi="Arial" w:cs="Arial"/>
        </w:rPr>
      </w:pPr>
    </w:p>
    <w:p>
      <w:pPr>
        <w:pStyle w:val="Odebeljeno"/>
        <w:spacing w:after="0" w:line="260" w:lineRule="auto"/>
      </w:pPr>
      <w:r>
        <w:t>6.</w:t>
      </w:r>
      <w:r>
        <w:tab/>
      </w:r>
      <w:r>
        <w:t>Presoja posledic</w:t>
      </w:r>
    </w:p>
    <w:p>
      <w:pPr>
        <w:pStyle w:val="Odebeljeno"/>
        <w:spacing w:after="0" w:line="260" w:lineRule="auto"/>
      </w:pPr>
      <w:r>
        <w:t>6.1</w:t>
      </w:r>
      <w:r>
        <w:tab/>
      </w:r>
      <w:r>
        <w:t>Presoja administrativnih posledic</w:t>
      </w:r>
    </w:p>
    <w:p>
      <w:pPr>
        <w:spacing w:after="0" w:line="260" w:lineRule="auto"/>
        <w:rPr>
          <w:rFonts w:ascii="Arial" w:hAnsi="Arial" w:cs="Arial"/>
        </w:rPr>
      </w:pPr>
    </w:p>
    <w:p>
      <w:pPr>
        <w:spacing w:after="0" w:line="260" w:lineRule="auto"/>
      </w:pPr>
      <w:r>
        <w:t>Predlog nima administrativnih posledic.</w:t>
      </w:r>
    </w:p>
    <w:p>
      <w:pPr>
        <w:spacing w:after="0" w:line="260" w:lineRule="auto"/>
        <w:rPr>
          <w:rFonts w:ascii="Arial" w:hAnsi="Arial" w:cs="Arial"/>
        </w:rPr>
      </w:pPr>
    </w:p>
    <w:p>
      <w:pPr>
        <w:pStyle w:val="Odebeljeno"/>
        <w:spacing w:after="0" w:line="260" w:lineRule="auto"/>
      </w:pPr>
      <w:r>
        <w:t>6.2</w:t>
      </w:r>
      <w:r>
        <w:tab/>
      </w:r>
      <w:r>
        <w:t>Presoja posledic za okolje, vključno s prostorskimi in varstvenimi vidiki</w:t>
      </w:r>
    </w:p>
    <w:p>
      <w:pPr>
        <w:spacing w:after="0" w:line="260" w:lineRule="auto"/>
        <w:rPr>
          <w:rFonts w:ascii="Arial" w:hAnsi="Arial" w:cs="Arial"/>
        </w:rPr>
      </w:pPr>
    </w:p>
    <w:p>
      <w:pPr>
        <w:spacing w:after="0" w:line="260" w:lineRule="auto"/>
      </w:pPr>
      <w:r>
        <w:t>Predlog nima posledic za okolje.</w:t>
      </w:r>
    </w:p>
    <w:p>
      <w:pPr>
        <w:spacing w:after="0" w:line="260" w:lineRule="auto"/>
        <w:rPr>
          <w:rFonts w:ascii="Arial" w:hAnsi="Arial" w:cs="Arial"/>
        </w:rPr>
      </w:pPr>
    </w:p>
    <w:p>
      <w:pPr>
        <w:pStyle w:val="Odebeljeno"/>
        <w:spacing w:after="0" w:line="260" w:lineRule="auto"/>
      </w:pPr>
      <w:r>
        <w:t>6.3</w:t>
      </w:r>
      <w:r>
        <w:tab/>
      </w:r>
      <w:r>
        <w:t>Presoja posledic za gospodarstvo</w:t>
      </w:r>
    </w:p>
    <w:p>
      <w:pPr>
        <w:spacing w:after="0" w:line="260" w:lineRule="auto"/>
        <w:rPr>
          <w:rFonts w:ascii="Arial" w:hAnsi="Arial" w:cs="Arial"/>
        </w:rPr>
      </w:pPr>
    </w:p>
    <w:p>
      <w:pPr>
        <w:pStyle w:val="Odebeljeno"/>
        <w:spacing w:after="0" w:line="260" w:lineRule="auto"/>
        <w:ind w:left="360" w:hanging="360"/>
      </w:pPr>
      <w:r>
        <w:t>a)</w:t>
      </w:r>
      <w:r>
        <w:tab/>
      </w:r>
      <w:r>
        <w:t>Predpis ima učinek na fizične in pravne osebe, ki opravljajo dejavnost.</w:t>
      </w:r>
    </w:p>
    <w:p>
      <w:pPr>
        <w:spacing w:after="0" w:line="260" w:lineRule="auto"/>
        <w:rPr>
          <w:rFonts w:ascii="Arial" w:hAnsi="Arial" w:cs="Arial"/>
        </w:rPr>
      </w:pPr>
    </w:p>
    <w:p>
      <w:pPr>
        <w:pStyle w:val="Odebeljeno"/>
        <w:spacing w:after="0" w:line="260" w:lineRule="auto"/>
        <w:ind w:left="720" w:hanging="360"/>
      </w:pPr>
      <w:r>
        <w:t>–</w:t>
      </w:r>
      <w:r>
        <w:tab/>
      </w:r>
      <w:r>
        <w:t>Predpis ima pozitiven učinek na pravno varnost.</w:t>
      </w:r>
    </w:p>
    <w:p>
      <w:pPr>
        <w:spacing w:after="0" w:line="260" w:lineRule="auto"/>
        <w:rPr>
          <w:rFonts w:ascii="Arial" w:hAnsi="Arial" w:cs="Arial"/>
        </w:rPr>
      </w:pPr>
    </w:p>
    <w:p>
      <w:pPr>
        <w:spacing w:after="0" w:line="240" w:lineRule="auto"/>
        <w:ind w:left="720"/>
      </w:pPr>
      <w:r>
        <w:t>S predlogom zakona se povečuje pravna varnost, saj se zagotavlja celovita skladnost prekrškovnih določb ZIUTK z zahtevami iz 111. člena Uredbe 2023/1114/EU, odpravlja pravna praznina pri opravljanju nadzora s strani pristojnih organov ter odpravljajo nomotehnične pomanjkljivosti veljavnega besedila. S tem se ustvarja jasnejši in predvidljivejši pravni okvir za vse udeležence na trgu kriptosredstev.</w:t>
      </w:r>
    </w:p>
    <w:p>
      <w:pPr>
        <w:spacing w:after="0" w:line="240" w:lineRule="auto"/>
        <w:ind w:left="720" w:firstLine="0"/>
      </w:pPr>
    </w:p>
    <w:p>
      <w:pPr>
        <w:spacing w:after="0" w:line="260" w:lineRule="auto"/>
        <w:rPr>
          <w:rFonts w:ascii="Arial" w:hAnsi="Arial" w:cs="Arial"/>
        </w:rPr>
      </w:pPr>
    </w:p>
    <w:p>
      <w:pPr>
        <w:pStyle w:val="Odebeljeno"/>
        <w:spacing w:after="0" w:line="260" w:lineRule="auto"/>
      </w:pPr>
      <w:r>
        <w:t>6.4</w:t>
      </w:r>
      <w:r>
        <w:tab/>
      </w:r>
      <w:r>
        <w:t>Presoja posledic za socialno področje</w:t>
      </w:r>
    </w:p>
    <w:p>
      <w:pPr>
        <w:spacing w:after="0" w:line="260" w:lineRule="auto"/>
        <w:rPr>
          <w:rFonts w:ascii="Arial" w:hAnsi="Arial" w:cs="Arial"/>
        </w:rPr>
      </w:pPr>
    </w:p>
    <w:p>
      <w:pPr>
        <w:spacing w:after="0" w:line="260" w:lineRule="auto"/>
      </w:pPr>
      <w:r>
        <w:t>Predlog nima posledic za socialno področje.</w:t>
      </w:r>
    </w:p>
    <w:p>
      <w:pPr>
        <w:spacing w:after="0" w:line="260" w:lineRule="auto"/>
        <w:rPr>
          <w:rFonts w:ascii="Arial" w:hAnsi="Arial" w:cs="Arial"/>
        </w:rPr>
      </w:pPr>
    </w:p>
    <w:p>
      <w:pPr>
        <w:pStyle w:val="Odebeljeno"/>
        <w:spacing w:after="0" w:line="260" w:lineRule="auto"/>
      </w:pPr>
      <w:r>
        <w:t>6.5</w:t>
      </w:r>
      <w:r>
        <w:tab/>
      </w:r>
      <w:r>
        <w:t>Presoja posledic za dokumente razvojnega načrtovanja</w:t>
      </w:r>
    </w:p>
    <w:p>
      <w:pPr>
        <w:spacing w:after="0" w:line="260" w:lineRule="auto"/>
        <w:rPr>
          <w:rFonts w:ascii="Arial" w:hAnsi="Arial" w:cs="Arial"/>
        </w:rPr>
      </w:pPr>
    </w:p>
    <w:p>
      <w:pPr>
        <w:spacing w:after="0" w:line="260" w:lineRule="auto"/>
      </w:pPr>
      <w:r>
        <w:t>Predlog nima posledic za dokumente razvojnega načrtovanja.</w:t>
      </w:r>
    </w:p>
    <w:p>
      <w:pPr>
        <w:spacing w:after="0" w:line="260" w:lineRule="auto"/>
        <w:rPr>
          <w:rFonts w:ascii="Arial" w:hAnsi="Arial" w:cs="Arial"/>
        </w:rPr>
      </w:pPr>
    </w:p>
    <w:p>
      <w:pPr>
        <w:pStyle w:val="Odebeljeno"/>
        <w:spacing w:after="0" w:line="260" w:lineRule="auto"/>
      </w:pPr>
      <w:r>
        <w:t>6.6</w:t>
      </w:r>
      <w:r>
        <w:tab/>
      </w:r>
      <w:r>
        <w:t>Presoja posledic za druga področja</w:t>
      </w:r>
    </w:p>
    <w:p>
      <w:pPr>
        <w:spacing w:after="0" w:line="260" w:lineRule="auto"/>
        <w:rPr>
          <w:rFonts w:ascii="Arial" w:hAnsi="Arial" w:cs="Arial"/>
        </w:rPr>
      </w:pPr>
    </w:p>
    <w:p>
      <w:pPr>
        <w:spacing w:after="0" w:line="260" w:lineRule="auto"/>
      </w:pPr>
      <w:r>
        <w:t>Predlog nima posledic za druga področja.</w:t>
      </w:r>
    </w:p>
    <w:p>
      <w:pPr>
        <w:spacing w:after="0" w:line="260" w:lineRule="auto"/>
        <w:rPr>
          <w:rFonts w:ascii="Arial" w:hAnsi="Arial" w:cs="Arial"/>
        </w:rPr>
      </w:pPr>
    </w:p>
    <w:p>
      <w:pPr>
        <w:pStyle w:val="Odebeljeno"/>
        <w:spacing w:after="0" w:line="260" w:lineRule="auto"/>
      </w:pPr>
      <w:r>
        <w:t>6.7</w:t>
      </w:r>
      <w:r>
        <w:tab/>
      </w:r>
      <w:r>
        <w:t>Izvajanje sprejetega predpisa</w:t>
      </w:r>
    </w:p>
    <w:p>
      <w:pPr>
        <w:spacing w:after="0" w:line="260" w:lineRule="auto"/>
        <w:rPr>
          <w:rFonts w:ascii="Arial" w:hAnsi="Arial" w:cs="Arial"/>
        </w:rPr>
      </w:pPr>
    </w:p>
    <w:p>
      <w:pPr>
        <w:spacing w:after="0" w:line="240" w:lineRule="auto"/>
      </w:pPr>
      <w:r>
        <w:t>Izvajanje predloga zakona ne zahteva posebnih ukrepov za njegovo uveljavitev. Spremljanje izvajanja bo potekalo v okviru rednega nadzora Agencije za trg vrednostnih papirjev in Banke Slovenije nad izvajanjem Uredbe 2023/1114/EU ter v okviru poročanja evropskim nadzornim organom (ESMA in EBA).</w:t>
      </w:r>
    </w:p>
    <w:p>
      <w:pPr>
        <w:spacing w:after="0" w:line="260" w:lineRule="auto"/>
        <w:rPr>
          <w:rFonts w:ascii="Arial" w:hAnsi="Arial" w:cs="Arial"/>
        </w:rPr>
      </w:pPr>
    </w:p>
    <w:p>
      <w:pPr>
        <w:pStyle w:val="Odebeljeno"/>
        <w:spacing w:after="0" w:line="260" w:lineRule="auto"/>
      </w:pPr>
      <w:r>
        <w:t>7.</w:t>
      </w:r>
      <w:r>
        <w:tab/>
      </w:r>
      <w:r>
        <w:t>Prikaz sodelovanja javnosti</w:t>
      </w:r>
    </w:p>
    <w:p>
      <w:pPr>
        <w:spacing w:after="0" w:line="260" w:lineRule="auto"/>
        <w:rPr>
          <w:rFonts w:ascii="Arial" w:hAnsi="Arial" w:cs="Arial"/>
        </w:rPr>
      </w:pPr>
    </w:p>
    <w:p>
      <w:pPr>
        <w:spacing w:after="0" w:line="260" w:lineRule="auto"/>
      </w:pPr>
      <w:r>
        <w:t>Gradivo je bilo predmet sodelovanja z javnostjo.</w:t>
      </w:r>
    </w:p>
    <w:p>
      <w:pPr>
        <w:spacing w:after="0" w:line="260" w:lineRule="auto"/>
        <w:rPr>
          <w:rFonts w:ascii="Arial" w:hAnsi="Arial" w:cs="Arial"/>
        </w:rPr>
      </w:pPr>
    </w:p>
    <w:p>
      <w:pPr>
        <w:spacing w:after="0" w:line="260" w:lineRule="auto"/>
      </w:pPr>
      <w:r>
        <w:t>Datum objave na portalu eDemokracija:</w:t>
      </w:r>
    </w:p>
    <w:p>
      <w:pPr>
        <w:spacing w:after="0" w:line="260" w:lineRule="auto"/>
      </w:pPr>
      <w:r>
        <w:t>4. 8. 2025</w:t>
      </w:r>
    </w:p>
    <w:p>
      <w:pPr>
        <w:spacing w:after="0" w:line="260" w:lineRule="auto"/>
        <w:rPr>
          <w:rFonts w:ascii="Arial" w:hAnsi="Arial" w:cs="Arial"/>
        </w:rPr>
      </w:pPr>
    </w:p>
    <w:p>
      <w:pPr>
        <w:spacing w:after="0" w:line="260" w:lineRule="auto"/>
      </w:pPr>
      <w:r>
        <w:t>Na gradivo so bila podana mnenja, predlogi in pripombe.</w:t>
      </w:r>
    </w:p>
    <w:p>
      <w:pPr>
        <w:spacing w:after="0" w:line="260" w:lineRule="auto"/>
        <w:rPr>
          <w:rFonts w:ascii="Arial" w:hAnsi="Arial" w:cs="Arial"/>
        </w:rPr>
      </w:pPr>
    </w:p>
    <w:p>
      <w:pPr>
        <w:spacing w:after="0" w:line="260" w:lineRule="auto"/>
      </w:pPr>
      <w:r>
        <w:t>V razpravo vključeni subjekti:</w:t>
      </w:r>
    </w:p>
    <w:p>
      <w:pPr>
        <w:spacing w:after="0" w:line="240" w:lineRule="auto"/>
      </w:pPr>
      <w:r>
        <w:t>Banka Slovenije, Agencija za trg vrednostnih papirjev</w:t>
      </w:r>
    </w:p>
    <w:p>
      <w:pPr>
        <w:spacing w:after="0" w:line="260" w:lineRule="auto"/>
        <w:rPr>
          <w:rFonts w:ascii="Arial" w:hAnsi="Arial" w:cs="Arial"/>
        </w:rPr>
      </w:pPr>
    </w:p>
    <w:p>
      <w:pPr>
        <w:spacing w:after="0" w:line="260" w:lineRule="auto"/>
      </w:pPr>
      <w:r>
        <w:t>Obrazložitev upoštevanja mnenj, predlogov in pripomb v razpravo vključenih subjektov:</w:t>
      </w:r>
    </w:p>
    <w:p>
      <w:pPr>
        <w:spacing w:after="0" w:line="240" w:lineRule="auto"/>
      </w:pPr>
      <w:r>
        <w:t>Pri pripravi predloga zakona je sodelovala Agencija za trg vrednostnih papirjev. Agencija je s pobudo z dne 4. 3. 2025 (št. 499-1/2022-323) predlagala ureditev fiduciarne hrambe kriptosredstev v slovenskem pravnem redu. Po pojasnilih Ministrstva za finance, da fiduciarno hrambo zadostno urejata že Obligacijski zakonik (805. in 806. člen) in Zakon o finančnem poslovanju, postopkih zaradi insolventnosti in prisilnem prenehanju (22. člen), se je Agencija s temi pojasnili z dopisom z dne 5. 6. 2025 strinjala. V nadaljnjem postopku je Agencija s pripombami z dne 5. 9. 2025 in 20. 10. 2025 (dopis št. 499-2/2025-6) predlagala dodatne vsebinske dopolnitve predloga zakona, ki so se nanašale na ureditev postopkov za izdajo dovoljenj za člane upravljalnih organov in imetnike kvalificiranih deležev v izdajateljih žetonov, vezanih na sredstva, in ponudnikih storitev v zvezi s kriptosredstvi, ter na uvedbo posebnih nadzornih ukrepov. Ministrstvo za finance je predloge Agencije sprva delno upoštevalo, na podlagi mnenj Službe Vlade Republike Slovenije za zakonodajo pa jih je v nadaljevanju iz predloga zakona izločilo. Z dopisom z dne 8. 5. 2026 (št. 099-7/2026-2) je Agencija sporočila, da se v tej fazi strinja s sprejetjem skrčenega predloga zakona, in podala dva predloga nomotehničnih popravkov 30. in 44. točke prvega odstavka 15. člena ZIUTK, ki sta bila v predlog zakona vključena.</w:t>
      </w:r>
    </w:p>
    <w:p>
      <w:pPr>
        <w:spacing w:after="0" w:line="240" w:lineRule="auto"/>
      </w:pPr>
      <w:r>
        <w:t xml:space="preserve"> </w:t>
      </w:r>
    </w:p>
    <w:p>
      <w:pPr>
        <w:spacing w:after="0" w:line="240" w:lineRule="auto"/>
      </w:pPr>
      <w:r>
        <w:t>Pri pripravi predloga zakona je sodelovala tudi Banka Slovenije. Z dopisom Ministrstva za finance št. 007-173/2025-1611 z dne 27. 6. 2025 ji je bila posredovana prvotna različica predloga zakona z novim 2.a členom ZIUTK o fiduciarnem računu kriptosredstev. Strokovne službe Banke Slovenije so z dopisom z dne 15. 7. 2025 podale pripombe, ki so bile v predlogu zakona upoštevane, na dopolnjeno različico, posredovano z dopisom Ministrstva za finance z dne 22. 7. 2025, pa z dopisom z dne 28. 7. 2025 niso imele dodatnih komentarjev. Ker je bila vsebina predloga zakona v nadaljnjem postopku bistveno spremenjena in je bil 2.a člen ZIUTK iz predloga izločen, je Ministrstvo za finance Banki Slovenije dne 11. 5. 2026 posredovalo novo, končno različico predloga zakona s prošnjo za stališče. Banka Slovenije se je z elektronskim sporočilom z dne 21. 5. 2026 odzvala s pripombami, ki so se nanašale na vsebinske in nomotehnične izboljšave prekrškovnih določb iz 15. člena ZIUTK ter na obrazložitev predloga zakona. Pripombe Banke Slovenije so bile v predlogu zakona upoštevane.</w:t>
      </w:r>
    </w:p>
    <w:p>
      <w:pPr>
        <w:spacing w:after="0" w:line="260" w:lineRule="auto"/>
        <w:rPr>
          <w:rFonts w:ascii="Arial" w:hAnsi="Arial" w:cs="Arial"/>
        </w:rPr>
      </w:pPr>
    </w:p>
    <w:p>
      <w:pPr>
        <w:spacing w:after="0" w:line="260" w:lineRule="auto"/>
      </w:pPr>
      <w:r>
        <w:t>Poročilo o sodelovanju z javnostjo:</w:t>
      </w:r>
    </w:p>
    <w:p>
      <w:pPr>
        <w:spacing w:after="0" w:line="240" w:lineRule="auto"/>
      </w:pPr>
      <w:r>
        <w:t>V okviru javne objave na portalu eDemokracija ni bila prejeta nobena pripomba.</w:t>
      </w:r>
    </w:p>
    <w:p>
      <w:pPr>
        <w:spacing w:after="0" w:line="260" w:lineRule="auto"/>
        <w:rPr>
          <w:rFonts w:ascii="Arial" w:hAnsi="Arial" w:cs="Arial"/>
        </w:rPr>
      </w:pPr>
    </w:p>
    <w:p>
      <w:pPr>
        <w:pStyle w:val="Odebeljeno"/>
        <w:spacing w:after="0" w:line="260" w:lineRule="auto"/>
      </w:pPr>
      <w:r>
        <w:t>8.</w:t>
      </w:r>
      <w:r>
        <w:tab/>
      </w:r>
      <w:r>
        <w:t>Zunanji strokovnjak oziroma pravna oseba, ki je sodelovala pri pripravi predloga zakona</w:t>
      </w:r>
    </w:p>
    <w:p>
      <w:pPr>
        <w:spacing w:after="0" w:line="260" w:lineRule="auto"/>
        <w:rPr>
          <w:rFonts w:ascii="Arial" w:hAnsi="Arial" w:cs="Arial"/>
        </w:rPr>
      </w:pPr>
    </w:p>
    <w:p>
      <w:pPr>
        <w:spacing w:after="0" w:line="240" w:lineRule="auto"/>
      </w:pPr>
      <w:r>
        <w:t>Pri pripravi predpisa ni sodeloval zunanji strokovnjak oziroma pravna oseba.</w:t>
      </w:r>
    </w:p>
    <w:p>
      <w:pPr>
        <w:spacing w:after="0" w:line="260" w:lineRule="auto"/>
        <w:rPr>
          <w:rFonts w:ascii="Arial" w:hAnsi="Arial" w:cs="Arial"/>
        </w:rPr>
      </w:pPr>
    </w:p>
    <w:p>
      <w:pPr>
        <w:pStyle w:val="Odebeljeno"/>
        <w:spacing w:after="0" w:line="260" w:lineRule="auto"/>
      </w:pPr>
      <w:r>
        <w:t>9.</w:t>
      </w:r>
      <w:r>
        <w:tab/>
      </w:r>
      <w:r>
        <w:t>Navedba, kateri predstavniki predlagatelja bodo sodelovali pri delu državnega zbora in delovnih teles</w:t>
      </w:r>
    </w:p>
    <w:p>
      <w:pPr>
        <w:spacing w:after="0" w:line="260" w:lineRule="auto"/>
        <w:rPr>
          <w:rFonts w:ascii="Arial" w:hAnsi="Arial" w:cs="Arial"/>
        </w:rPr>
      </w:pPr>
    </w:p>
    <w:p>
      <w:pPr>
        <w:spacing w:after="0" w:line="240" w:lineRule="auto"/>
        <w:ind w:left="454"/>
      </w:pPr>
      <w:r>
        <w:t>- mag. Andrej Šircelj, minister za finance</w:t>
      </w:r>
    </w:p>
    <w:p>
      <w:pPr>
        <w:spacing w:after="0" w:line="240" w:lineRule="auto"/>
        <w:ind w:left="454"/>
      </w:pPr>
      <w:r>
        <w:t>- mag. Maja Hostnik Kališek, državna sekretarka</w:t>
      </w:r>
    </w:p>
    <w:p>
      <w:pPr>
        <w:spacing w:after="0" w:line="240" w:lineRule="auto"/>
        <w:ind w:left="454"/>
      </w:pPr>
      <w:r>
        <w:t>- Miran Vičič, državni sekretar</w:t>
      </w:r>
    </w:p>
    <w:p>
      <w:pPr>
        <w:spacing w:after="0" w:line="240" w:lineRule="auto"/>
        <w:ind w:left="454"/>
      </w:pPr>
      <w:r>
        <w:t>- Peter Papež, državni sekretar</w:t>
      </w:r>
    </w:p>
    <w:p>
      <w:pPr>
        <w:spacing w:after="0" w:line="240" w:lineRule="auto"/>
        <w:ind w:left="454"/>
      </w:pPr>
      <w:r>
        <w:t>- mag. Kristina Šteblaj, državna sekretarka</w:t>
      </w:r>
    </w:p>
    <w:p>
      <w:pPr>
        <w:spacing w:after="0" w:line="240" w:lineRule="auto"/>
        <w:ind w:left="454"/>
      </w:pPr>
      <w:r>
        <w:t>- Urška Cvelbar, generalna direktorica Direktorata za finančni sistem</w:t>
      </w:r>
    </w:p>
    <w:p>
      <w:pPr>
        <w:spacing w:after="0" w:line="240" w:lineRule="auto"/>
        <w:ind w:left="454"/>
      </w:pPr>
      <w:r>
        <w:t>- Leon Brčina, vodja Sektorja za zavarovalništvo in trg kapitala, Direktorat za finančni sistem</w:t>
      </w:r>
    </w:p>
    <w:p>
      <w:pPr>
        <w:spacing w:after="0" w:line="240" w:lineRule="auto"/>
        <w:ind w:left="454"/>
      </w:pPr>
      <w:r>
        <w:t>- Marko Rant, sekretar, Sektor za zavarovalništvo in trg kapitala, Direktorat za finančni sistem</w:t>
      </w:r>
    </w:p>
    <w:p>
      <w:r>
        <w:br w:type="page"/>
      </w:r>
    </w:p>
    <w:p>
      <w:pPr>
        <w:pStyle w:val="Odebeljeno"/>
        <w:spacing w:after="0" w:line="260" w:lineRule="auto"/>
      </w:pPr>
      <w:r>
        <w:t>II.</w:t>
      </w:r>
      <w:r>
        <w:tab/>
      </w:r>
      <w:r>
        <w:t>BESEDILO ČLENOV</w:t>
      </w:r>
    </w:p>
    <w:p>
      <w:pPr>
        <w:spacing w:after="0" w:line="260" w:lineRule="auto"/>
        <w:rPr>
          <w:rFonts w:ascii="Arial" w:hAnsi="Arial" w:cs="Arial"/>
        </w:rPr>
      </w:pPr>
    </w:p>
    <w:p>
      <w:pPr>
        <w:pStyle w:val="Naslov1"/>
        <w:spacing w:after="0" w:line="260" w:lineRule="auto"/>
      </w:pPr>
      <w:r>
        <w:t>Zakon o spremembah in dopolnitvah Zakona o izvajanju Uredbe (EU) o trgih kriptosredstev</w:t>
      </w:r>
    </w:p>
    <w:p>
      <w:pPr>
        <w:pStyle w:val="len"/>
        <w:spacing w:after="0" w:line="260" w:lineRule="auto"/>
      </w:pPr>
      <w:r>
        <w:t>1. člen</w:t>
      </w:r>
    </w:p>
    <w:p>
      <w:pPr>
        <w:spacing w:after="0" w:line="260" w:lineRule="auto"/>
        <w:rPr>
          <w:rFonts w:ascii="Arial" w:hAnsi="Arial" w:cs="Arial"/>
        </w:rPr>
      </w:pPr>
    </w:p>
    <w:p>
      <w:pPr>
        <w:spacing w:after="0" w:line="260" w:lineRule="auto"/>
      </w:pPr>
      <w:r>
        <w:tab/>
      </w:r>
      <w:r>
        <w:t>V Zakonu o izvajanju Uredbe (EU) o trgih kriptosredstev (Uradni list RS, št. 95/24 in 10/26 – ZdZEETD) se v 1. členu besedilo »zadnjič spremenjene z Uredbo (EU) 2023/2869 Evropskega parlamenta in Sveta z dne 13. decembra 2023 o spremembi nekaterih uredb glede vzpostavitve in delovanja evropske enotne točke dostopa (UL L št. 2023/2869 z dne 20. 12. 2023)« nadomesti z besedilom »zadnjič spremenjene z Delegirano uredbo Komisije (EU) 2025/1264 z dne 27. junija 2025 o dopolnitvi Uredbe (EU) 2023/1114 Evropskega parlamenta in Sveta v zvezi z regulativnimi tehničnimi standardi za določitev minimalne vsebine politike in postopkov za upravljanje likvidnosti za določene izdajatelje žetonov, vezanih na sredstva, in e-denarnih žetonov (UL L št. 2025/1264 z dne 3. 10. 2025)«.</w:t>
      </w:r>
    </w:p>
    <w:p>
      <w:pPr>
        <w:spacing w:after="0" w:line="260" w:lineRule="auto"/>
        <w:rPr>
          <w:rFonts w:ascii="Arial" w:hAnsi="Arial" w:cs="Arial"/>
        </w:rPr>
      </w:pPr>
    </w:p>
    <w:p>
      <w:pPr>
        <w:pStyle w:val="len"/>
        <w:spacing w:after="0" w:line="260" w:lineRule="auto"/>
      </w:pPr>
      <w:r>
        <w:t>2. člen</w:t>
      </w:r>
    </w:p>
    <w:p>
      <w:pPr>
        <w:spacing w:after="0" w:line="260" w:lineRule="auto"/>
        <w:rPr>
          <w:rFonts w:ascii="Arial" w:hAnsi="Arial" w:cs="Arial"/>
        </w:rPr>
      </w:pPr>
    </w:p>
    <w:p>
      <w:pPr>
        <w:spacing w:after="0" w:line="260" w:lineRule="auto"/>
      </w:pPr>
      <w:r>
        <w:tab/>
      </w:r>
      <w:r>
        <w:t>V 3. členu se v prvem odstavku v 7. točki besedilo »v skladu z Uredbo 2023/1114/EU, na podlagi« nadomesti z besedilom »na podlagi«, v 8. točki pa se za besedo »sredstva« doda vejica.</w:t>
      </w:r>
    </w:p>
    <w:p>
      <w:pPr>
        <w:spacing w:after="0" w:line="260" w:lineRule="auto"/>
        <w:rPr>
          <w:rFonts w:ascii="Arial" w:hAnsi="Arial" w:cs="Arial"/>
        </w:rPr>
      </w:pPr>
    </w:p>
    <w:p>
      <w:pPr>
        <w:spacing w:after="0" w:line="260" w:lineRule="auto"/>
      </w:pPr>
      <w:r>
        <w:tab/>
      </w:r>
      <w:r>
        <w:t>Tretji odstavek se spremeni tako, da se glasi:</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ab/>
      </w:r>
      <w:r>
        <w:t>»(3) Agencija pridobi nezavezujoče mnenje Banke Slovenije pred:</w:t>
      </w:r>
    </w:p>
    <w:p>
      <w:pPr>
        <w:spacing w:after="0" w:line="260" w:lineRule="auto"/>
      </w:pPr>
      <w:r>
        <w:tab/>
      </w:r>
      <w:r>
        <w:t>– potrditvijo popolnosti uradnega obvestila kreditne institucije iz 3. točke prvega odstavka tega člena,</w:t>
      </w:r>
    </w:p>
    <w:p>
      <w:pPr>
        <w:spacing w:after="0" w:line="260" w:lineRule="auto"/>
      </w:pPr>
      <w:r>
        <w:tab/>
      </w:r>
      <w:r>
        <w:t>– potrditvijo bele knjige in uradnega obvestila kreditne institucije iz 4. točke prvega odstavka tega člena ter</w:t>
      </w:r>
    </w:p>
    <w:p>
      <w:pPr>
        <w:spacing w:after="0" w:line="260" w:lineRule="auto"/>
      </w:pPr>
      <w:r>
        <w:tab/>
      </w:r>
      <w:r>
        <w:t>– odobritvijo sprememb bele knjige o kriptosredstvu kreditne institucije za žetone, vezane na sredstva, iz 5. točke prvega odstavka tega člena.«.</w:t>
      </w:r>
    </w:p>
    <w:p>
      <w:pPr>
        <w:pStyle w:val="len"/>
        <w:spacing w:after="0" w:line="260" w:lineRule="auto"/>
      </w:pPr>
      <w:r>
        <w:t>3. člen</w:t>
      </w:r>
    </w:p>
    <w:p>
      <w:pPr>
        <w:spacing w:after="0" w:line="260" w:lineRule="auto"/>
        <w:rPr>
          <w:rFonts w:ascii="Arial" w:hAnsi="Arial" w:cs="Arial"/>
        </w:rPr>
      </w:pPr>
    </w:p>
    <w:p>
      <w:pPr>
        <w:spacing w:after="0" w:line="260" w:lineRule="auto"/>
      </w:pPr>
      <w:r>
        <w:tab/>
      </w:r>
      <w:r>
        <w:t>V 7. členu se drugi odstavek spremeni tako, da se glasi:</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ab/>
      </w:r>
      <w:r>
        <w:t>»(2) Za opravljanje nadzora in izrekanje nadzornih ukrepov agencije in Banke Slovenije v posamičnih zadevah se smiselno uporabljajo zakon, ki ureja trg finančnih instrumentov, zakon, ki ureja Banko Slovenije, zakon, ki ureja bančništvo, in zakon, ki ureja plačilne storitve, storitve izdajanja elektronskega denarja in plačilne sisteme.«.</w:t>
      </w:r>
    </w:p>
    <w:p>
      <w:pPr>
        <w:pStyle w:val="len"/>
        <w:spacing w:after="0" w:line="260" w:lineRule="auto"/>
      </w:pPr>
      <w:r>
        <w:t>4. člen</w:t>
      </w:r>
    </w:p>
    <w:p>
      <w:pPr>
        <w:spacing w:after="0" w:line="260" w:lineRule="auto"/>
        <w:rPr>
          <w:rFonts w:ascii="Arial" w:hAnsi="Arial" w:cs="Arial"/>
        </w:rPr>
      </w:pPr>
    </w:p>
    <w:p>
      <w:pPr>
        <w:spacing w:after="0" w:line="260" w:lineRule="auto"/>
      </w:pPr>
      <w:r>
        <w:tab/>
      </w:r>
      <w:r>
        <w:t>V 13. členu se za drugim odstavkom doda nov, tretji odstavek, ki se glasi:</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ab/>
      </w:r>
      <w:r>
        <w:t>»(3) Oseba, v katere pravice ali pravne koristi posega odločba pristojnega organa, se lahko po vročitvi odločbe in vse do poteka roka za vložitev zahteve za začetek postopka sodnega varstva odpove pravici do sodnega varstva. Izjava o odpovedi pravici do sodnega varstva se predloži pisno.«.</w:t>
      </w:r>
    </w:p>
    <w:p>
      <w:pPr>
        <w:pStyle w:val="len"/>
        <w:spacing w:after="0" w:line="260" w:lineRule="auto"/>
      </w:pPr>
      <w:r>
        <w:t>5. člen</w:t>
      </w:r>
    </w:p>
    <w:p>
      <w:pPr>
        <w:spacing w:after="0" w:line="260" w:lineRule="auto"/>
        <w:rPr>
          <w:rFonts w:ascii="Arial" w:hAnsi="Arial" w:cs="Arial"/>
        </w:rPr>
      </w:pPr>
    </w:p>
    <w:p>
      <w:pPr>
        <w:spacing w:after="0" w:line="260" w:lineRule="auto"/>
      </w:pPr>
      <w:r>
        <w:tab/>
      </w:r>
      <w:r>
        <w:t>V 15. členu se prvi odstavek spremeni tako, da se glasi:</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ab/>
      </w:r>
      <w:r>
        <w:t>»(1) Z globo od 2.500 do 250.000 eurov se za prekršek kaznuje pravna oseba, ki:</w:t>
      </w:r>
    </w:p>
    <w:p>
      <w:pPr>
        <w:pStyle w:val="tevilnatoka"/>
        <w:spacing w:after="0" w:line="260" w:lineRule="auto"/>
      </w:pPr>
      <w:r>
        <w:tab/>
      </w:r>
      <w:r>
        <w:t xml:space="preserve">1. daje v javno ponudbo ali uvršča v trgovanje kriptosredstva, ki niso žetoni, vezani na sredstva, ali e-denarni žetoni, v nasprotju s 4. ali 5. členom </w:t>
      </w:r>
      <w:hyperlink r:id="rId4">
        <w:r>
          <w:rPr>
            <w:rStyle w:val="DefaultParagraphFont"/>
          </w:rPr>
          <w:t>Uredbe 2023/1114/EU</w:t>
        </w:r>
      </w:hyperlink>
      <w:r>
        <w:t>,</w:t>
      </w:r>
    </w:p>
    <w:p>
      <w:pPr>
        <w:pStyle w:val="tevilnatoka"/>
        <w:spacing w:after="0" w:line="260" w:lineRule="auto"/>
      </w:pPr>
      <w:r>
        <w:tab/>
      </w:r>
      <w:r>
        <w:t xml:space="preserve">2. ne pripravi bele knjige o kriptosredstvu v skladu s 6. členom </w:t>
      </w:r>
      <w:hyperlink r:id="rId4">
        <w:r>
          <w:rPr>
            <w:rStyle w:val="DefaultParagraphFont"/>
          </w:rPr>
          <w:t>Uredbe 2023/1114/EU</w:t>
        </w:r>
      </w:hyperlink>
      <w:r>
        <w:t>,</w:t>
      </w:r>
    </w:p>
    <w:p>
      <w:pPr>
        <w:pStyle w:val="tevilnatoka"/>
        <w:spacing w:after="0" w:line="260" w:lineRule="auto"/>
      </w:pPr>
      <w:r>
        <w:tab/>
      </w:r>
      <w:r>
        <w:t xml:space="preserve">3. ne pošlje uradnega obvestila o beli knjigi o kriptosredstvu v skladu z 8. členom </w:t>
      </w:r>
      <w:hyperlink r:id="rId4">
        <w:r>
          <w:rPr>
            <w:rStyle w:val="DefaultParagraphFont"/>
          </w:rPr>
          <w:t>Uredbe 2023/1114/EU</w:t>
        </w:r>
      </w:hyperlink>
      <w:r>
        <w:t>,</w:t>
      </w:r>
    </w:p>
    <w:p>
      <w:pPr>
        <w:pStyle w:val="tevilnatoka"/>
        <w:spacing w:after="0" w:line="260" w:lineRule="auto"/>
      </w:pPr>
      <w:r>
        <w:tab/>
      </w:r>
      <w:r>
        <w:t xml:space="preserve">4. ne pripravi tržnih sporočil v zvezi s kriptosredstvom v skladu s 7. členom ali jih ne objavi v skladu z 9. členom </w:t>
      </w:r>
      <w:hyperlink r:id="rId4">
        <w:r>
          <w:rPr>
            <w:rStyle w:val="DefaultParagraphFont"/>
          </w:rPr>
          <w:t>Uredbe 2023/1114/EU</w:t>
        </w:r>
      </w:hyperlink>
      <w:r>
        <w:t>,</w:t>
      </w:r>
    </w:p>
    <w:p>
      <w:pPr>
        <w:pStyle w:val="tevilnatoka"/>
        <w:spacing w:after="0" w:line="260" w:lineRule="auto"/>
      </w:pPr>
      <w:r>
        <w:tab/>
      </w:r>
      <w:r>
        <w:t xml:space="preserve">5. ne objavi bele knjige o kriptosredstvu v skladu z 9. členom </w:t>
      </w:r>
      <w:hyperlink r:id="rId4">
        <w:r>
          <w:rPr>
            <w:rStyle w:val="DefaultParagraphFont"/>
          </w:rPr>
          <w:t>Uredbe 2023/1114/EU</w:t>
        </w:r>
      </w:hyperlink>
      <w:r>
        <w:t>,</w:t>
      </w:r>
    </w:p>
    <w:p>
      <w:pPr>
        <w:pStyle w:val="tevilnatoka"/>
        <w:spacing w:after="0" w:line="260" w:lineRule="auto"/>
      </w:pPr>
      <w:r>
        <w:tab/>
      </w:r>
      <w:r>
        <w:t xml:space="preserve">6. ravna v nasprotju z 10. členom </w:t>
      </w:r>
      <w:hyperlink r:id="rId4">
        <w:r>
          <w:rPr>
            <w:rStyle w:val="DefaultParagraphFont"/>
          </w:rPr>
          <w:t>Uredbe 2023/1114/EU</w:t>
        </w:r>
      </w:hyperlink>
      <w:r>
        <w:t>,</w:t>
      </w:r>
    </w:p>
    <w:p>
      <w:pPr>
        <w:pStyle w:val="tevilnatoka"/>
        <w:spacing w:after="0" w:line="260" w:lineRule="auto"/>
      </w:pPr>
      <w:r>
        <w:tab/>
      </w:r>
      <w:r>
        <w:t xml:space="preserve">7. ravna v nasprotju z 11. členom </w:t>
      </w:r>
      <w:hyperlink r:id="rId4">
        <w:r>
          <w:rPr>
            <w:rStyle w:val="DefaultParagraphFont"/>
          </w:rPr>
          <w:t>Uredbe 2023/1114/EU</w:t>
        </w:r>
      </w:hyperlink>
      <w:r>
        <w:t>,</w:t>
      </w:r>
    </w:p>
    <w:p>
      <w:pPr>
        <w:pStyle w:val="tevilnatoka"/>
        <w:spacing w:after="0" w:line="260" w:lineRule="auto"/>
      </w:pPr>
      <w:r>
        <w:tab/>
      </w:r>
      <w:r>
        <w:t xml:space="preserve">8. ne spremeni objavljenih belih knjig o kriptosredstvu in objavljenih tržnih sporočil v skladu z 12. členom </w:t>
      </w:r>
      <w:hyperlink r:id="rId4">
        <w:r>
          <w:rPr>
            <w:rStyle w:val="DefaultParagraphFont"/>
          </w:rPr>
          <w:t>Uredbe 2023/1114/EU</w:t>
        </w:r>
      </w:hyperlink>
      <w:r>
        <w:t>,</w:t>
      </w:r>
    </w:p>
    <w:p>
      <w:pPr>
        <w:pStyle w:val="tevilnatoka"/>
        <w:spacing w:after="0" w:line="260" w:lineRule="auto"/>
      </w:pPr>
      <w:r>
        <w:tab/>
      </w:r>
      <w:r>
        <w:t xml:space="preserve">9. ne omogoča pravice do odstopa od pogodbe v skladu s 13. členom </w:t>
      </w:r>
      <w:hyperlink r:id="rId4">
        <w:r>
          <w:rPr>
            <w:rStyle w:val="DefaultParagraphFont"/>
          </w:rPr>
          <w:t>Uredbe 2023/1114/EU</w:t>
        </w:r>
      </w:hyperlink>
      <w:r>
        <w:t>,</w:t>
      </w:r>
    </w:p>
    <w:p>
      <w:pPr>
        <w:pStyle w:val="tevilnatoka"/>
        <w:spacing w:after="0" w:line="260" w:lineRule="auto"/>
      </w:pPr>
      <w:r>
        <w:tab/>
      </w:r>
      <w:r>
        <w:t xml:space="preserve">10. ne izpolnjuje obveznosti ponudnika ali osebe, ki zaprosi za uvrstitev v trgovanje s kriptosredstvi, ki niso žetoni, vezani na sredstva, ali e-denarni žetoni, v skladu s 14. členom </w:t>
      </w:r>
      <w:hyperlink r:id="rId4">
        <w:r>
          <w:rPr>
            <w:rStyle w:val="DefaultParagraphFont"/>
          </w:rPr>
          <w:t>Uredbe 2023/1114/EU</w:t>
        </w:r>
      </w:hyperlink>
      <w:r>
        <w:t>,</w:t>
      </w:r>
    </w:p>
    <w:p>
      <w:pPr>
        <w:pStyle w:val="tevilnatoka"/>
        <w:spacing w:after="0" w:line="260" w:lineRule="auto"/>
      </w:pPr>
      <w:r>
        <w:tab/>
      </w:r>
      <w:r>
        <w:t xml:space="preserve">11. daje v javno ponudbo ali uvršča v trgovanje žetone, vezane na sredstva, v nasprotju s 16. ali 17. členom </w:t>
      </w:r>
      <w:hyperlink r:id="rId4">
        <w:r>
          <w:rPr>
            <w:rStyle w:val="DefaultParagraphFont"/>
          </w:rPr>
          <w:t>Uredbe 2023/1114/EU</w:t>
        </w:r>
      </w:hyperlink>
      <w:r>
        <w:t>,</w:t>
      </w:r>
    </w:p>
    <w:p>
      <w:pPr>
        <w:pStyle w:val="tevilnatoka"/>
        <w:spacing w:after="0" w:line="260" w:lineRule="auto"/>
      </w:pPr>
      <w:r>
        <w:tab/>
      </w:r>
      <w:r>
        <w:t xml:space="preserve">12. ne pripravi bele knjige o kriptosredstvu za žetone, vezane na sredstva, v skladu z 19. členom </w:t>
      </w:r>
      <w:hyperlink r:id="rId4">
        <w:r>
          <w:rPr>
            <w:rStyle w:val="DefaultParagraphFont"/>
          </w:rPr>
          <w:t>Uredbe 2023/1114/EU</w:t>
        </w:r>
      </w:hyperlink>
      <w:r>
        <w:t>,</w:t>
      </w:r>
    </w:p>
    <w:p>
      <w:pPr>
        <w:pStyle w:val="tevilnatoka"/>
        <w:spacing w:after="0" w:line="260" w:lineRule="auto"/>
      </w:pPr>
      <w:r>
        <w:tab/>
      </w:r>
      <w:r>
        <w:t xml:space="preserve">13. ne objavi bele knjige o kriptosredstvu za žetone, vezane na sredstva, v skladu z 28. členom </w:t>
      </w:r>
      <w:hyperlink r:id="rId4">
        <w:r>
          <w:rPr>
            <w:rStyle w:val="DefaultParagraphFont"/>
          </w:rPr>
          <w:t>Uredbe 2023/1114/EU</w:t>
        </w:r>
      </w:hyperlink>
      <w:r>
        <w:t>,</w:t>
      </w:r>
    </w:p>
    <w:p>
      <w:pPr>
        <w:pStyle w:val="tevilnatoka"/>
        <w:spacing w:after="0" w:line="260" w:lineRule="auto"/>
      </w:pPr>
      <w:r>
        <w:tab/>
      </w:r>
      <w:r>
        <w:t xml:space="preserve">14. ne poroča o žetonih, vezanih na sredstva, v skladu z 22. členom </w:t>
      </w:r>
      <w:hyperlink r:id="rId4">
        <w:r>
          <w:rPr>
            <w:rStyle w:val="DefaultParagraphFont"/>
          </w:rPr>
          <w:t>Uredbe 2023/1114/EU</w:t>
        </w:r>
      </w:hyperlink>
      <w:r>
        <w:t>,</w:t>
      </w:r>
    </w:p>
    <w:p>
      <w:pPr>
        <w:pStyle w:val="tevilnatoka"/>
        <w:spacing w:after="0" w:line="260" w:lineRule="auto"/>
      </w:pPr>
      <w:r>
        <w:tab/>
      </w:r>
      <w:r>
        <w:t xml:space="preserve">15. pri izdaji žetonov, vezanih na sredstva, ki se široko uporabljajo kot sredstvo za izmenjavo, ne ravna v skladu s prvim odstavkom 23. člena </w:t>
      </w:r>
      <w:hyperlink r:id="rId4">
        <w:r>
          <w:rPr>
            <w:rStyle w:val="DefaultParagraphFont"/>
          </w:rPr>
          <w:t>Uredbe 2023/1114/EU</w:t>
        </w:r>
      </w:hyperlink>
      <w:r>
        <w:t>,</w:t>
      </w:r>
    </w:p>
    <w:p>
      <w:pPr>
        <w:pStyle w:val="tevilnatoka"/>
        <w:spacing w:after="0" w:line="260" w:lineRule="auto"/>
      </w:pPr>
      <w:r>
        <w:tab/>
      </w:r>
      <w:r>
        <w:t xml:space="preserve">16. ne obvesti pristojnega organa o kakršni koli nameravani spremembi svojega poslovnega modela v skladu s 25. členom </w:t>
      </w:r>
      <w:hyperlink r:id="rId4">
        <w:r>
          <w:rPr>
            <w:rStyle w:val="DefaultParagraphFont"/>
          </w:rPr>
          <w:t>Uredbe 2023/1114/EU</w:t>
        </w:r>
      </w:hyperlink>
      <w:r>
        <w:t>,</w:t>
      </w:r>
    </w:p>
    <w:p>
      <w:pPr>
        <w:pStyle w:val="tevilnatoka"/>
        <w:spacing w:after="0" w:line="260" w:lineRule="auto"/>
      </w:pPr>
      <w:r>
        <w:tab/>
      </w:r>
      <w:r>
        <w:t xml:space="preserve">17. ravna v nasprotju z obveznostmi iz 27. člena </w:t>
      </w:r>
      <w:hyperlink r:id="rId4">
        <w:r>
          <w:rPr>
            <w:rStyle w:val="DefaultParagraphFont"/>
          </w:rPr>
          <w:t>Uredbe 2023/1114/EU</w:t>
        </w:r>
      </w:hyperlink>
      <w:r>
        <w:t>,</w:t>
      </w:r>
    </w:p>
    <w:p>
      <w:pPr>
        <w:pStyle w:val="tevilnatoka"/>
        <w:spacing w:after="0" w:line="260" w:lineRule="auto"/>
      </w:pPr>
      <w:r>
        <w:tab/>
      </w:r>
      <w:r>
        <w:t xml:space="preserve">18. ne pripravi tržnih sporočil v zvezi z žetoni, vezanimi na sredstva, v skladu z 29. členom </w:t>
      </w:r>
      <w:hyperlink r:id="rId4">
        <w:r>
          <w:rPr>
            <w:rStyle w:val="DefaultParagraphFont"/>
          </w:rPr>
          <w:t>Uredbe 2023/1114/EU</w:t>
        </w:r>
      </w:hyperlink>
      <w:r>
        <w:t>,</w:t>
      </w:r>
    </w:p>
    <w:p>
      <w:pPr>
        <w:pStyle w:val="tevilnatoka"/>
        <w:spacing w:after="0" w:line="260" w:lineRule="auto"/>
      </w:pPr>
      <w:r>
        <w:tab/>
      </w:r>
      <w:r>
        <w:t xml:space="preserve">19. ne obvešča imetnikov žetonov, vezanih na sredstva, v skladu s 30. členom </w:t>
      </w:r>
      <w:hyperlink r:id="rId4">
        <w:r>
          <w:rPr>
            <w:rStyle w:val="DefaultParagraphFont"/>
          </w:rPr>
          <w:t>Uredbe 2023/1114/EU</w:t>
        </w:r>
      </w:hyperlink>
      <w:r>
        <w:t>,</w:t>
      </w:r>
    </w:p>
    <w:p>
      <w:pPr>
        <w:pStyle w:val="tevilnatoka"/>
        <w:spacing w:after="0" w:line="260" w:lineRule="auto"/>
      </w:pPr>
      <w:r>
        <w:tab/>
      </w:r>
      <w:r>
        <w:t xml:space="preserve">20. nima vzpostavljenih postopkov za obravnavo pritožb v skladu z 31. členom </w:t>
      </w:r>
      <w:hyperlink r:id="rId4">
        <w:r>
          <w:rPr>
            <w:rStyle w:val="DefaultParagraphFont"/>
          </w:rPr>
          <w:t>Uredbe 2023/1114/EU</w:t>
        </w:r>
      </w:hyperlink>
      <w:r>
        <w:t>,</w:t>
      </w:r>
    </w:p>
    <w:p>
      <w:pPr>
        <w:pStyle w:val="tevilnatoka"/>
        <w:spacing w:after="0" w:line="260" w:lineRule="auto"/>
      </w:pPr>
      <w:r>
        <w:tab/>
      </w:r>
      <w:r>
        <w:t xml:space="preserve">21. nima vzpostavljenih politik in postopkov za prepoznavanje, preprečevanje, obvladovanje in razkrivanje nasprotij interesov iz 32. člena </w:t>
      </w:r>
      <w:hyperlink r:id="rId4">
        <w:r>
          <w:rPr>
            <w:rStyle w:val="DefaultParagraphFont"/>
          </w:rPr>
          <w:t>Uredbe 2023/1114/EU</w:t>
        </w:r>
      </w:hyperlink>
      <w:r>
        <w:t>,</w:t>
      </w:r>
    </w:p>
    <w:p>
      <w:pPr>
        <w:pStyle w:val="tevilnatoka"/>
        <w:spacing w:after="0" w:line="260" w:lineRule="auto"/>
      </w:pPr>
      <w:r>
        <w:tab/>
      </w:r>
      <w:r>
        <w:t xml:space="preserve">22. pristojnega organa ne obvesti o vseh spremembah v svojem upravljalnem organu in ne predloži vseh potrebnih informacij za oceno skladnosti v skladu s 33. členom </w:t>
      </w:r>
      <w:hyperlink r:id="rId4">
        <w:r>
          <w:rPr>
            <w:rStyle w:val="DefaultParagraphFont"/>
          </w:rPr>
          <w:t>Uredbe 2023/1114/EU</w:t>
        </w:r>
      </w:hyperlink>
      <w:r>
        <w:t>,</w:t>
      </w:r>
    </w:p>
    <w:p>
      <w:pPr>
        <w:pStyle w:val="tevilnatoka"/>
        <w:spacing w:after="0" w:line="260" w:lineRule="auto"/>
      </w:pPr>
      <w:r>
        <w:tab/>
      </w:r>
      <w:r>
        <w:t xml:space="preserve">23. ne ravna v skladu s 34. členom </w:t>
      </w:r>
      <w:hyperlink r:id="rId4">
        <w:r>
          <w:rPr>
            <w:rStyle w:val="DefaultParagraphFont"/>
          </w:rPr>
          <w:t>Uredbe 2023/1114/EU</w:t>
        </w:r>
      </w:hyperlink>
      <w:r>
        <w:t>,</w:t>
      </w:r>
    </w:p>
    <w:p>
      <w:pPr>
        <w:pStyle w:val="tevilnatoka"/>
        <w:spacing w:after="0" w:line="260" w:lineRule="auto"/>
      </w:pPr>
      <w:r>
        <w:tab/>
      </w:r>
      <w:r>
        <w:t>24. ne izpolnjuje kapitalskih zahtev v skladu s 35. členom </w:t>
      </w:r>
      <w:hyperlink r:id="rId4">
        <w:r>
          <w:rPr>
            <w:rStyle w:val="DefaultParagraphFont"/>
          </w:rPr>
          <w:t>Uredbe 2023/1114/EU</w:t>
        </w:r>
      </w:hyperlink>
      <w:r>
        <w:t>,</w:t>
      </w:r>
    </w:p>
    <w:p>
      <w:pPr>
        <w:pStyle w:val="tevilnatoka"/>
        <w:spacing w:after="0" w:line="260" w:lineRule="auto"/>
      </w:pPr>
      <w:r>
        <w:tab/>
      </w:r>
      <w:r>
        <w:t xml:space="preserve">25. ne oblikuje in vzdržuje rezerve sredstev v skladu s 36. členom </w:t>
      </w:r>
      <w:hyperlink r:id="rId4">
        <w:r>
          <w:rPr>
            <w:rStyle w:val="DefaultParagraphFont"/>
          </w:rPr>
          <w:t>Uredbe 2023/1114/EU</w:t>
        </w:r>
      </w:hyperlink>
      <w:r>
        <w:t>,</w:t>
      </w:r>
    </w:p>
    <w:p>
      <w:pPr>
        <w:pStyle w:val="tevilnatoka"/>
        <w:spacing w:after="0" w:line="260" w:lineRule="auto"/>
      </w:pPr>
      <w:r>
        <w:tab/>
      </w:r>
      <w:r>
        <w:t xml:space="preserve">26. ne vzpostavi, vzdržuje ali izvaja politik, postopkov in pogodbenih dogovorov o skrbništvu v skladu s 37. členom </w:t>
      </w:r>
      <w:hyperlink r:id="rId4">
        <w:r>
          <w:rPr>
            <w:rStyle w:val="DefaultParagraphFont"/>
          </w:rPr>
          <w:t>Uredbe 2023/1114/EU</w:t>
        </w:r>
      </w:hyperlink>
      <w:r>
        <w:t>,</w:t>
      </w:r>
    </w:p>
    <w:p>
      <w:pPr>
        <w:pStyle w:val="tevilnatoka"/>
        <w:spacing w:after="0" w:line="260" w:lineRule="auto"/>
      </w:pPr>
      <w:r>
        <w:tab/>
      </w:r>
      <w:r>
        <w:t xml:space="preserve">27. rezerve sredstev ne vlaga v skladu z 38. členom </w:t>
      </w:r>
      <w:hyperlink r:id="rId4">
        <w:r>
          <w:rPr>
            <w:rStyle w:val="DefaultParagraphFont"/>
          </w:rPr>
          <w:t>Uredbe 2023/1114/EU</w:t>
        </w:r>
      </w:hyperlink>
      <w:r>
        <w:t>,</w:t>
      </w:r>
    </w:p>
    <w:p>
      <w:pPr>
        <w:pStyle w:val="tevilnatoka"/>
        <w:spacing w:after="0" w:line="260" w:lineRule="auto"/>
      </w:pPr>
      <w:r>
        <w:tab/>
      </w:r>
      <w:r>
        <w:t xml:space="preserve">28. ne zagotavlja pravice do unovčenja v skladu z 39. členom </w:t>
      </w:r>
      <w:hyperlink r:id="rId4">
        <w:r>
          <w:rPr>
            <w:rStyle w:val="DefaultParagraphFont"/>
          </w:rPr>
          <w:t>Uredbe 2023/1114/EU</w:t>
        </w:r>
      </w:hyperlink>
      <w:r>
        <w:t>,</w:t>
      </w:r>
    </w:p>
    <w:p>
      <w:pPr>
        <w:pStyle w:val="tevilnatoka"/>
        <w:spacing w:after="0" w:line="260" w:lineRule="auto"/>
      </w:pPr>
      <w:r>
        <w:tab/>
      </w:r>
      <w:r>
        <w:t xml:space="preserve">29. izplačuje obresti v nasprotju s 40. členom </w:t>
      </w:r>
      <w:hyperlink r:id="rId4">
        <w:r>
          <w:rPr>
            <w:rStyle w:val="DefaultParagraphFont"/>
          </w:rPr>
          <w:t>Uredbe 2023/1114/EU</w:t>
        </w:r>
      </w:hyperlink>
      <w:r>
        <w:t>,</w:t>
      </w:r>
    </w:p>
    <w:p>
      <w:pPr>
        <w:pStyle w:val="tevilnatoka"/>
        <w:spacing w:after="0" w:line="260" w:lineRule="auto"/>
      </w:pPr>
      <w:r>
        <w:tab/>
      </w:r>
      <w:r>
        <w:t xml:space="preserve">30. pisno ne obvesti pristojnega organa izdajatelja žetona, vezanega na sredstva, o nameravani pridobitvi ali odsvojitvi kvalificiranega deleža v izdajatelju žetona, vezanega na sredstva, ali o povečanju ali zmanjšanju takega kvalificiranega deleža v skladu s prvim in drugim odstavkom 41. člena </w:t>
      </w:r>
      <w:hyperlink r:id="rId4">
        <w:r>
          <w:rPr>
            <w:rStyle w:val="DefaultParagraphFont"/>
          </w:rPr>
          <w:t>Uredbe 2023/1114/EU</w:t>
        </w:r>
      </w:hyperlink>
      <w:r>
        <w:t>,</w:t>
      </w:r>
    </w:p>
    <w:p>
      <w:pPr>
        <w:pStyle w:val="tevilnatoka"/>
        <w:spacing w:after="0" w:line="260" w:lineRule="auto"/>
      </w:pPr>
      <w:r>
        <w:tab/>
      </w:r>
      <w:r>
        <w:t xml:space="preserve">31. ne pripravi in ne vzdržuje načrta sanacije v skladu s 46. členom </w:t>
      </w:r>
      <w:hyperlink r:id="rId4">
        <w:r>
          <w:rPr>
            <w:rStyle w:val="DefaultParagraphFont"/>
          </w:rPr>
          <w:t>Uredbe 2023/1114/EU</w:t>
        </w:r>
      </w:hyperlink>
      <w:r>
        <w:t>,</w:t>
      </w:r>
    </w:p>
    <w:p>
      <w:pPr>
        <w:pStyle w:val="tevilnatoka"/>
        <w:spacing w:after="0" w:line="260" w:lineRule="auto"/>
      </w:pPr>
      <w:r>
        <w:tab/>
      </w:r>
      <w:r>
        <w:t xml:space="preserve">32. ne pripravi in ne vzdržuje načrta unovčenja v skladu s 47. členom </w:t>
      </w:r>
      <w:hyperlink r:id="rId4">
        <w:r>
          <w:rPr>
            <w:rStyle w:val="DefaultParagraphFont"/>
          </w:rPr>
          <w:t>Uredbe 2023/1114/EU</w:t>
        </w:r>
      </w:hyperlink>
      <w:r>
        <w:t>,</w:t>
      </w:r>
    </w:p>
    <w:p>
      <w:pPr>
        <w:pStyle w:val="tevilnatoka"/>
        <w:spacing w:after="0" w:line="260" w:lineRule="auto"/>
      </w:pPr>
      <w:r>
        <w:tab/>
      </w:r>
      <w:r>
        <w:t xml:space="preserve">33. ne daje v javno ponudbo ali ne uvršča v trgovanje e-denarnih žetonov v skladu z 48. členom </w:t>
      </w:r>
      <w:hyperlink r:id="rId4">
        <w:r>
          <w:rPr>
            <w:rStyle w:val="DefaultParagraphFont"/>
          </w:rPr>
          <w:t>Uredbe 2023/1114/EU</w:t>
        </w:r>
      </w:hyperlink>
      <w:r>
        <w:t>,</w:t>
      </w:r>
    </w:p>
    <w:p>
      <w:pPr>
        <w:pStyle w:val="tevilnatoka"/>
        <w:spacing w:after="0" w:line="260" w:lineRule="auto"/>
      </w:pPr>
      <w:r>
        <w:tab/>
      </w:r>
      <w:r>
        <w:t xml:space="preserve">34. ne spoštuje zahtev v zvezi z izdajanjem in unovčljivostjo e-denarnih žetonov v skladu z 49. členom </w:t>
      </w:r>
      <w:hyperlink r:id="rId4">
        <w:r>
          <w:rPr>
            <w:rStyle w:val="DefaultParagraphFont"/>
          </w:rPr>
          <w:t>Uredbe 2023/1114/EU</w:t>
        </w:r>
      </w:hyperlink>
      <w:r>
        <w:t>,</w:t>
      </w:r>
    </w:p>
    <w:p>
      <w:pPr>
        <w:pStyle w:val="tevilnatoka"/>
        <w:spacing w:after="0" w:line="260" w:lineRule="auto"/>
      </w:pPr>
      <w:r>
        <w:tab/>
      </w:r>
      <w:r>
        <w:t xml:space="preserve">35. ne spoštuje prepovedi podeljevanja obresti v skladu s 50. členom </w:t>
      </w:r>
      <w:hyperlink r:id="rId4">
        <w:r>
          <w:rPr>
            <w:rStyle w:val="DefaultParagraphFont"/>
          </w:rPr>
          <w:t>Uredbe 2023/1114/EU</w:t>
        </w:r>
      </w:hyperlink>
      <w:r>
        <w:t>,</w:t>
      </w:r>
    </w:p>
    <w:p>
      <w:pPr>
        <w:pStyle w:val="tevilnatoka"/>
        <w:spacing w:after="0" w:line="260" w:lineRule="auto"/>
      </w:pPr>
      <w:r>
        <w:tab/>
      </w:r>
      <w:r>
        <w:t xml:space="preserve">36. ne pripravi bele knjige o kriptosredstvu za e-denarni žeton v skladu z 51. členom </w:t>
      </w:r>
      <w:hyperlink r:id="rId4">
        <w:r>
          <w:rPr>
            <w:rStyle w:val="DefaultParagraphFont"/>
          </w:rPr>
          <w:t>Uredbe 2023/1114/EU</w:t>
        </w:r>
      </w:hyperlink>
      <w:r>
        <w:t>,</w:t>
      </w:r>
    </w:p>
    <w:p>
      <w:pPr>
        <w:pStyle w:val="tevilnatoka"/>
        <w:spacing w:after="0" w:line="260" w:lineRule="auto"/>
      </w:pPr>
      <w:r>
        <w:tab/>
      </w:r>
      <w:r>
        <w:t xml:space="preserve">37. ne pripravi tržnih sporočil v zvezi z e-denarnimi žetoni v skladu s 53. členom </w:t>
      </w:r>
      <w:hyperlink r:id="rId4">
        <w:r>
          <w:rPr>
            <w:rStyle w:val="DefaultParagraphFont"/>
          </w:rPr>
          <w:t>Uredbe 2023/1114/EU</w:t>
        </w:r>
      </w:hyperlink>
      <w:r>
        <w:t>,</w:t>
      </w:r>
    </w:p>
    <w:p>
      <w:pPr>
        <w:pStyle w:val="tevilnatoka"/>
        <w:spacing w:after="0" w:line="260" w:lineRule="auto"/>
      </w:pPr>
      <w:r>
        <w:tab/>
      </w:r>
      <w:r>
        <w:t xml:space="preserve">38. ne spoštuje zahtev glede vlaganja denarnih sredstev v skladu s 54. členom </w:t>
      </w:r>
      <w:hyperlink r:id="rId4">
        <w:r>
          <w:rPr>
            <w:rStyle w:val="DefaultParagraphFont"/>
          </w:rPr>
          <w:t>Uredbe 2023/1114/EU</w:t>
        </w:r>
      </w:hyperlink>
      <w:r>
        <w:t>,</w:t>
      </w:r>
    </w:p>
    <w:p>
      <w:pPr>
        <w:pStyle w:val="tevilnatoka"/>
        <w:spacing w:after="0" w:line="260" w:lineRule="auto"/>
      </w:pPr>
      <w:r>
        <w:tab/>
      </w:r>
      <w:r>
        <w:t xml:space="preserve">39. ne pripravi in ne vzdržuje načrta sanacije v skladu s 55. členom </w:t>
      </w:r>
      <w:hyperlink r:id="rId4">
        <w:r>
          <w:rPr>
            <w:rStyle w:val="DefaultParagraphFont"/>
          </w:rPr>
          <w:t>Uredbe 2023/1114/EU</w:t>
        </w:r>
      </w:hyperlink>
      <w:r>
        <w:t>,</w:t>
      </w:r>
    </w:p>
    <w:p>
      <w:pPr>
        <w:pStyle w:val="tevilnatoka"/>
        <w:spacing w:after="0" w:line="260" w:lineRule="auto"/>
      </w:pPr>
      <w:r>
        <w:tab/>
      </w:r>
      <w:r>
        <w:t xml:space="preserve">40. opravlja storitve v zvezi s kriptosredstvi in ni oseba iz prvega odstavka 59. člena </w:t>
      </w:r>
      <w:hyperlink r:id="rId4">
        <w:r>
          <w:rPr>
            <w:rStyle w:val="DefaultParagraphFont"/>
          </w:rPr>
          <w:t>Uredbe 2023/1114/EU</w:t>
        </w:r>
      </w:hyperlink>
      <w:r>
        <w:t>,</w:t>
      </w:r>
    </w:p>
    <w:p>
      <w:pPr>
        <w:pStyle w:val="tevilnatoka"/>
        <w:spacing w:after="0" w:line="260" w:lineRule="auto"/>
      </w:pPr>
      <w:r>
        <w:tab/>
      </w:r>
      <w:r>
        <w:t xml:space="preserve">41. pristojnemu organu ne predloži vseh informacij v skladu s 60. členom ali prvim odstavkom 65. člena </w:t>
      </w:r>
      <w:hyperlink r:id="rId4">
        <w:r>
          <w:rPr>
            <w:rStyle w:val="DefaultParagraphFont"/>
          </w:rPr>
          <w:t>Uredbe 2023/1114/EU</w:t>
        </w:r>
      </w:hyperlink>
      <w:r>
        <w:t>,</w:t>
      </w:r>
    </w:p>
    <w:p>
      <w:pPr>
        <w:pStyle w:val="tevilnatoka"/>
        <w:spacing w:after="0" w:line="260" w:lineRule="auto"/>
      </w:pPr>
      <w:r>
        <w:tab/>
      </w:r>
      <w:r>
        <w:t xml:space="preserve">42. ravna na način iz 64. člena </w:t>
      </w:r>
      <w:hyperlink r:id="rId4">
        <w:r>
          <w:rPr>
            <w:rStyle w:val="DefaultParagraphFont"/>
          </w:rPr>
          <w:t>Uredbe 2023/1114/EU</w:t>
        </w:r>
      </w:hyperlink>
      <w:r>
        <w:t>,</w:t>
      </w:r>
    </w:p>
    <w:p>
      <w:pPr>
        <w:pStyle w:val="tevilnatoka"/>
        <w:spacing w:after="0" w:line="260" w:lineRule="auto"/>
      </w:pPr>
      <w:r>
        <w:tab/>
      </w:r>
      <w:r>
        <w:t xml:space="preserve">43. ne izpolnjuje obveznosti ponudnika storitev v zvezi s kriptosredstvi iz 66. do 82. člena </w:t>
      </w:r>
      <w:hyperlink r:id="rId4">
        <w:r>
          <w:rPr>
            <w:rStyle w:val="DefaultParagraphFont"/>
          </w:rPr>
          <w:t>Uredbe 2023/1114/EU</w:t>
        </w:r>
      </w:hyperlink>
      <w:r>
        <w:t>,</w:t>
      </w:r>
    </w:p>
    <w:p>
      <w:pPr>
        <w:pStyle w:val="tevilnatoka"/>
        <w:spacing w:after="0" w:line="260" w:lineRule="auto"/>
      </w:pPr>
      <w:r>
        <w:tab/>
      </w:r>
      <w:r>
        <w:t xml:space="preserve">44. pisno ne obvesti pristojnega organa ponudnika storitev v zvezi s kriptosredstvi o nameravani pridobitvi ali odsvojitvi kvalificiranega deleža v ponudniku storitev v zvezi s kriptosredstvi ali o povečanju ali zmanjšanju takega kvalificiranega deleža v skladu s prvim in drugim odstavkom 83. člena </w:t>
      </w:r>
      <w:hyperlink r:id="rId4">
        <w:r>
          <w:rPr>
            <w:rStyle w:val="DefaultParagraphFont"/>
          </w:rPr>
          <w:t>Uredbe 2023/1114/EU</w:t>
        </w:r>
      </w:hyperlink>
      <w:r>
        <w:t>,</w:t>
      </w:r>
    </w:p>
    <w:p>
      <w:pPr>
        <w:pStyle w:val="tevilnatoka"/>
        <w:spacing w:after="0" w:line="260" w:lineRule="auto"/>
      </w:pPr>
      <w:r>
        <w:tab/>
      </w:r>
      <w:r>
        <w:t xml:space="preserve">45. ne razkrije javnosti notranjih informacij v skladu s prvim odstavkom 88. člena </w:t>
      </w:r>
      <w:hyperlink r:id="rId4">
        <w:r>
          <w:rPr>
            <w:rStyle w:val="DefaultParagraphFont"/>
          </w:rPr>
          <w:t>Uredbe 2023/1114/EU</w:t>
        </w:r>
      </w:hyperlink>
      <w:r>
        <w:t xml:space="preserve"> ali ne obvesti pristojnega organa, da je bilo razkritje notranjih informacij odloženo v skladu s tretjim odstavkom 88. člena </w:t>
      </w:r>
      <w:hyperlink r:id="rId4">
        <w:r>
          <w:rPr>
            <w:rStyle w:val="DefaultParagraphFont"/>
          </w:rPr>
          <w:t>Uredbe 2023/1114/EU</w:t>
        </w:r>
      </w:hyperlink>
      <w:r>
        <w:t>,</w:t>
      </w:r>
    </w:p>
    <w:p>
      <w:pPr>
        <w:pStyle w:val="tevilnatoka"/>
        <w:spacing w:after="0" w:line="260" w:lineRule="auto"/>
      </w:pPr>
      <w:r>
        <w:tab/>
      </w:r>
      <w:r>
        <w:t xml:space="preserve">46. v nasprotju z 89. členom </w:t>
      </w:r>
      <w:hyperlink r:id="rId4">
        <w:r>
          <w:rPr>
            <w:rStyle w:val="DefaultParagraphFont"/>
          </w:rPr>
          <w:t>Uredbe 2023/1114/EU</w:t>
        </w:r>
      </w:hyperlink>
      <w:r>
        <w:t xml:space="preserve"> trguje ali poskuša trgovati na podlagi notranjih informacij o kriptosredstvu ali uporablja notranje informacije za pridobitev ali odtujitev teh kriptosredstev ali drugi osebi priporoča trgovanje na podlagi notranjih informacij o kriptosredstvu ali napeljuje k trgovanju na njihovi podlagi ali v nasprotju z 90. členom </w:t>
      </w:r>
      <w:hyperlink r:id="rId4">
        <w:r>
          <w:rPr>
            <w:rStyle w:val="DefaultParagraphFont"/>
          </w:rPr>
          <w:t>Uredbe 2023/1114/EU</w:t>
        </w:r>
      </w:hyperlink>
      <w:r>
        <w:t xml:space="preserve"> razkrije notranje informacije o kriptosredstvu,</w:t>
      </w:r>
    </w:p>
    <w:p>
      <w:pPr>
        <w:pStyle w:val="tevilnatoka"/>
        <w:spacing w:after="0" w:line="260" w:lineRule="auto"/>
      </w:pPr>
      <w:r>
        <w:tab/>
      </w:r>
      <w:r>
        <w:t xml:space="preserve">47. izvaja ali poskuša izvajati tržno manipulacijo v nasprotju z 91. členom </w:t>
      </w:r>
      <w:hyperlink r:id="rId4">
        <w:r>
          <w:rPr>
            <w:rStyle w:val="DefaultParagraphFont"/>
          </w:rPr>
          <w:t>Uredbe 2023/1114/EU</w:t>
        </w:r>
      </w:hyperlink>
      <w:r>
        <w:t>,</w:t>
      </w:r>
    </w:p>
    <w:p>
      <w:pPr>
        <w:pStyle w:val="tevilnatoka"/>
        <w:spacing w:after="0" w:line="260" w:lineRule="auto"/>
      </w:pPr>
      <w:r>
        <w:tab/>
      </w:r>
      <w:r>
        <w:t xml:space="preserve">48. nima vzpostavljenih učinkovitih ureditev, sistemov in postopkov za preprečevanje in odkrivanje zlorab trga v skladu s prvim odstavkom 92. člena </w:t>
      </w:r>
      <w:hyperlink r:id="rId4">
        <w:r>
          <w:rPr>
            <w:rStyle w:val="DefaultParagraphFont"/>
          </w:rPr>
          <w:t>Uredbe 2023/1114/EU</w:t>
        </w:r>
      </w:hyperlink>
      <w:r>
        <w:t xml:space="preserve"> ali ne poroča pristojnemu organu v skladu s prvim odstavkom 92. člena </w:t>
      </w:r>
      <w:hyperlink r:id="rId4">
        <w:r>
          <w:rPr>
            <w:rStyle w:val="DefaultParagraphFont"/>
          </w:rPr>
          <w:t>Uredbe 2023/1114/EU</w:t>
        </w:r>
      </w:hyperlink>
      <w:r>
        <w:t>,</w:t>
      </w:r>
    </w:p>
    <w:p>
      <w:pPr>
        <w:pStyle w:val="tevilnatoka"/>
        <w:spacing w:after="0" w:line="260" w:lineRule="auto"/>
      </w:pPr>
      <w:r>
        <w:tab/>
      </w:r>
      <w:r>
        <w:t xml:space="preserve">49. pristojnemu organu ne pošlje poročil, pojasnil, podatkov in dokumentacije ali ne omogoči pregleda poslovanja v skladu s prvim in tretjim odstavkom 94. člena </w:t>
      </w:r>
      <w:hyperlink r:id="rId4">
        <w:r>
          <w:rPr>
            <w:rStyle w:val="DefaultParagraphFont"/>
          </w:rPr>
          <w:t>Uredbe 2023/1114/EU</w:t>
        </w:r>
      </w:hyperlink>
      <w:r>
        <w:t>.«.</w:t>
      </w:r>
    </w:p>
    <w:p>
      <w:pPr>
        <w:pStyle w:val="len"/>
        <w:spacing w:after="0" w:line="260" w:lineRule="auto"/>
      </w:pPr>
      <w:r>
        <w:t>6. člen</w:t>
      </w:r>
    </w:p>
    <w:p>
      <w:pPr>
        <w:spacing w:after="0" w:line="260" w:lineRule="auto"/>
        <w:rPr>
          <w:rFonts w:ascii="Arial" w:hAnsi="Arial" w:cs="Arial"/>
        </w:rPr>
      </w:pPr>
    </w:p>
    <w:p>
      <w:pPr>
        <w:spacing w:after="0" w:line="260" w:lineRule="auto"/>
      </w:pPr>
      <w:r>
        <w:tab/>
      </w:r>
      <w:r>
        <w:t>V 16. členu se:</w:t>
      </w:r>
    </w:p>
    <w:p>
      <w:pPr>
        <w:spacing w:after="0" w:line="260" w:lineRule="auto"/>
        <w:rPr>
          <w:rFonts w:ascii="Arial" w:hAnsi="Arial" w:cs="Arial"/>
        </w:rPr>
      </w:pPr>
    </w:p>
    <w:p>
      <w:pPr>
        <w:spacing w:after="0" w:line="260" w:lineRule="auto"/>
      </w:pPr>
      <w:r>
        <w:tab/>
      </w:r>
      <w:r>
        <w:t xml:space="preserve">– </w:t>
      </w:r>
      <w:r>
        <w:t>v prvem odstavku v napovednem stavku besedilo »1. do 9. točke« nadomesti z besedilom »1. do 10. točke«;</w:t>
      </w:r>
    </w:p>
    <w:p>
      <w:pPr>
        <w:spacing w:after="0" w:line="260" w:lineRule="auto"/>
      </w:pPr>
      <w:r>
        <w:tab/>
      </w:r>
      <w:r>
        <w:t xml:space="preserve">– </w:t>
      </w:r>
      <w:r>
        <w:t>v drugem odstavku v napovednem stavku besedilo »(2 Kadar« nadomesti z besedilom »(2) Kadar« in besedilo »10. do 36. točke« z besedilom »11. do 39. točke«;</w:t>
      </w:r>
    </w:p>
    <w:p>
      <w:pPr>
        <w:spacing w:after="0" w:line="260" w:lineRule="auto"/>
      </w:pPr>
      <w:r>
        <w:tab/>
      </w:r>
      <w:r>
        <w:t xml:space="preserve">– </w:t>
      </w:r>
      <w:r>
        <w:t>v tretjem odstavku v napovednem stavku besedilo »37. do 40. točke« nadomesti z besedilom »40. do 44. točke«;</w:t>
      </w:r>
    </w:p>
    <w:p>
      <w:pPr>
        <w:spacing w:after="0" w:line="260" w:lineRule="auto"/>
      </w:pPr>
      <w:r>
        <w:tab/>
      </w:r>
      <w:r>
        <w:t xml:space="preserve">– </w:t>
      </w:r>
      <w:r>
        <w:t>v četrtem odstavku v napovednem stavku besedilo »41. točke« nadomesti z besedilom »45. točke«;</w:t>
      </w:r>
    </w:p>
    <w:p>
      <w:pPr>
        <w:spacing w:after="0" w:line="260" w:lineRule="auto"/>
      </w:pPr>
      <w:r>
        <w:tab/>
      </w:r>
      <w:r>
        <w:t xml:space="preserve">– </w:t>
      </w:r>
      <w:r>
        <w:t>v petem odstavku v napovednem stavku besedilo »42. do 44. točke« nadomesti z besedilom »46. do 48. točke«;</w:t>
      </w:r>
    </w:p>
    <w:p>
      <w:pPr>
        <w:spacing w:after="0" w:line="260" w:lineRule="auto"/>
      </w:pPr>
      <w:r>
        <w:tab/>
      </w:r>
      <w:r>
        <w:t xml:space="preserve">– </w:t>
      </w:r>
      <w:r>
        <w:t>v šestem odstavku besedilo »1. do 40. točke« nadomesti z besedilom »1. do 44. točke«;</w:t>
      </w:r>
    </w:p>
    <w:p>
      <w:pPr>
        <w:spacing w:after="0" w:line="260" w:lineRule="auto"/>
      </w:pPr>
      <w:r>
        <w:tab/>
      </w:r>
      <w:r>
        <w:t xml:space="preserve">– </w:t>
      </w:r>
      <w:r>
        <w:t>v sedmem odstavku v napovednem stavku besedilo »41. točke« nadomesti z besedilom »45. točke«;</w:t>
      </w:r>
    </w:p>
    <w:p>
      <w:pPr>
        <w:spacing w:after="0" w:line="260" w:lineRule="auto"/>
      </w:pPr>
      <w:r>
        <w:tab/>
      </w:r>
      <w:r>
        <w:t xml:space="preserve">– </w:t>
      </w:r>
      <w:r>
        <w:t>v osmem odstavku v napovednem stavku besedilo »42. do 44. točke« nadomesti z besedilom »46. do 48. točke«.</w:t>
      </w:r>
    </w:p>
    <w:p>
      <w:pPr>
        <w:pStyle w:val="len"/>
        <w:spacing w:after="0" w:line="260" w:lineRule="auto"/>
      </w:pPr>
      <w:r>
        <w:t>7. člen</w:t>
      </w:r>
    </w:p>
    <w:p>
      <w:pPr>
        <w:spacing w:after="0" w:line="260" w:lineRule="auto"/>
        <w:rPr>
          <w:rFonts w:ascii="Arial" w:hAnsi="Arial" w:cs="Arial"/>
        </w:rPr>
      </w:pPr>
    </w:p>
    <w:p>
      <w:pPr>
        <w:spacing w:after="0" w:line="260" w:lineRule="auto"/>
      </w:pPr>
      <w:r>
        <w:tab/>
      </w:r>
      <w:r>
        <w:t>V 17. členu se naslov člena spremeni tako, da se glasi: »(sankcije za prekrške)«.</w:t>
      </w:r>
      <w:r>
        <w:br/>
      </w:r>
    </w:p>
    <w:p>
      <w:pPr>
        <w:spacing w:after="0" w:line="260" w:lineRule="auto"/>
        <w:rPr>
          <w:rFonts w:ascii="Arial" w:hAnsi="Arial" w:cs="Arial"/>
        </w:rPr>
      </w:pPr>
    </w:p>
    <w:p>
      <w:pPr>
        <w:pStyle w:val="Poglavje"/>
        <w:spacing w:after="0" w:line="260" w:lineRule="auto"/>
      </w:pPr>
      <w:r>
        <w:t>KONČNA DOLOČBA</w:t>
      </w:r>
    </w:p>
    <w:p>
      <w:pPr>
        <w:pStyle w:val="len"/>
        <w:spacing w:after="0" w:line="260" w:lineRule="auto"/>
      </w:pPr>
      <w:r>
        <w:t>8.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zakon začne veljati petnajsti dan po objavi v Uradnem listu Republike Slovenije.</w:t>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pPr>
      <w:r>
        <w:t>S tem členom se v 1. členu Zakona o izvajanju Uredbe (EU) o trgih kriptosredstev (Uradni list RS, št. 95/24 in 10/26 – ZdZEETD; v nadaljnjem besedilu: ZIUTK) posodablja navedba zadnjega posega v Uredbo (EU) 2023/1114 Evropskega parlamenta in Sveta z dne 31. maja 2023 o trgih kriptosredstev in spremembi uredb (EU) št. 1093/2010 in (EU) št. 1095/2010 ter direktiv 2013/36/EU in (EU) 2019/1937 (v nadaljnjem besedilu: Uredba 2023/1114/EU). Dosedanja navedba zadnje spremembe (Uredba 2023/2869/EU) se nadomesti z navedbo Delegirane uredbe Komisije (EU) 2025/1264 z dne 27. junija 2025, ki dopolnjuje Uredbo 2023/1114/EU z regulativnimi tehničnimi standardi za določitev minimalne vsebine politike in postopkov za upravljanje likvidnosti za določene izdajatelje žetonov, vezanih na sredstva, in e-denarnih žetonov, in je zadnji poseg v navedeno uredbo. V skladu z Nomotehničnimi smernicami se med posege v osnovni akt Evropske unije uvršča tudi dopolnitev, zato se akt o dopolnitvi navede kot element navedka, kadar je zadnji vsebinski poseg v osnovni akt.</w:t>
      </w:r>
    </w:p>
    <w:p>
      <w:pPr>
        <w:spacing w:after="0" w:line="260" w:lineRule="auto"/>
        <w:rPr>
          <w:rFonts w:ascii="Arial" w:hAnsi="Arial" w:cs="Arial"/>
        </w:rPr>
      </w:pPr>
    </w:p>
    <w:p>
      <w:pPr>
        <w:pStyle w:val="Odebeljeno"/>
        <w:spacing w:after="0" w:line="260" w:lineRule="auto"/>
      </w:pPr>
      <w:r>
        <w:t>K 2. členu:</w:t>
      </w:r>
    </w:p>
    <w:p>
      <w:pPr>
        <w:spacing w:after="0" w:line="240" w:lineRule="auto"/>
      </w:pPr>
      <w:r>
        <w:t>S tem členom se spreminjata prvi in tretji odstavek 3. člena ZIUTK, ki določa pristojnosti agencije za odločanje o dovoljenjih na podlagi Uredbe 2023/1114/EU.</w:t>
      </w:r>
    </w:p>
    <w:p>
      <w:pPr>
        <w:spacing w:after="0" w:line="240" w:lineRule="auto"/>
      </w:pPr>
      <w:r>
        <w:t xml:space="preserve"> </w:t>
      </w:r>
    </w:p>
    <w:p>
      <w:pPr>
        <w:spacing w:after="0" w:line="240" w:lineRule="auto"/>
      </w:pPr>
      <w:r>
        <w:t>V prvem odstavku se izvajata dva nomotehnična popravka. V 7. točki se odpravlja nepotrebno dvojno sklicevanje na Uredbo 2023/1114/EU, pri čemer se ohrani le natančno sklicevanje na 12. člen navedene uredbe. V 8. točki se dodaja manjkajoča vejica za besedilom »sredstva«, ki je potrebna, ker se besedilo »v skladu z 41. členom Uredbe 2023/1114/EU« nanaša na celotno točko in ne le na pristavek »vezanega na sredstva«.</w:t>
      </w:r>
    </w:p>
    <w:p>
      <w:pPr>
        <w:spacing w:after="0" w:line="240" w:lineRule="auto"/>
      </w:pPr>
      <w:r>
        <w:t xml:space="preserve"> </w:t>
      </w:r>
    </w:p>
    <w:p>
      <w:pPr>
        <w:spacing w:after="0" w:line="240" w:lineRule="auto"/>
      </w:pPr>
      <w:r>
        <w:t>Tretji odstavek se preoblikuje v tri alineje, s čimer se izboljšuje preglednost določbe. Vsebinsko se v tretji alineji dodaja besedilo »kreditne institucije«, ki pojasnjuje, da se obveznost pridobitve mnenja Banke Slovenije v zvezi z odobritvijo sprememb bele knjige za žetone, vezane na sredstva, nanaša le na primere, ko so vložniki kreditne institucije. Pojasnilo je potrebno, ker 5. točka prvega odstavka zajema vse izdajatelje žetonov, vezanih na sredstva, vloga Banke Slovenije kot bonitetnega nadzornika pa je utemeljena le pri kreditnih institucijah.</w:t>
      </w:r>
    </w:p>
    <w:p>
      <w:pPr>
        <w:spacing w:after="0" w:line="260" w:lineRule="auto"/>
        <w:rPr>
          <w:rFonts w:ascii="Arial" w:hAnsi="Arial" w:cs="Arial"/>
        </w:rPr>
      </w:pPr>
    </w:p>
    <w:p>
      <w:pPr>
        <w:pStyle w:val="Odebeljeno"/>
        <w:spacing w:after="0" w:line="260" w:lineRule="auto"/>
      </w:pPr>
      <w:r>
        <w:t>K 3. členu:</w:t>
      </w:r>
    </w:p>
    <w:p>
      <w:pPr>
        <w:spacing w:after="0" w:line="240" w:lineRule="auto"/>
      </w:pPr>
      <w:r>
        <w:t>S tem členom se spreminja drugi odstavek 7. člena ZIUTK tako, da se smiselna uporaba zakonov, ki urejajo trg finančnih instrumentov, Banko Slovenije, bančništvo ter plačilne storitve, razširja na opravljanje nadzora, ne le na izrekanje nadzornih ukrepov.</w:t>
      </w:r>
    </w:p>
    <w:p>
      <w:pPr>
        <w:spacing w:after="0" w:line="240" w:lineRule="auto"/>
      </w:pPr>
      <w:r>
        <w:t xml:space="preserve"> </w:t>
      </w:r>
    </w:p>
    <w:p>
      <w:pPr>
        <w:spacing w:after="0" w:line="240" w:lineRule="auto"/>
      </w:pPr>
      <w:r>
        <w:t>Veljavna ureditev namreč predvideva smiselno uporabo navedenih zakonov le za izrekanje nadzornih ukrepov (drugi odstavek 7. člena) in za postopke odločanja o dovoljenjih (četrti odstavek 3. člena), ne pa tudi za samo opravljanje nadzora, kot so pregledi poslovanja in pridobivanje informacij. S predlagano dopolnitvijo se zagotavlja celovita in dosledna uporaba procesnih pravil v vseh fazah nadzora na podlagi Uredbe 2023/1114/EU.</w:t>
      </w:r>
    </w:p>
    <w:p>
      <w:pPr>
        <w:spacing w:after="0" w:line="260" w:lineRule="auto"/>
        <w:rPr>
          <w:rFonts w:ascii="Arial" w:hAnsi="Arial" w:cs="Arial"/>
        </w:rPr>
      </w:pPr>
    </w:p>
    <w:p>
      <w:pPr>
        <w:pStyle w:val="Odebeljeno"/>
        <w:spacing w:after="0" w:line="260" w:lineRule="auto"/>
      </w:pPr>
      <w:r>
        <w:t>K 4. členu:</w:t>
      </w:r>
    </w:p>
    <w:p>
      <w:pPr>
        <w:spacing w:after="0" w:line="240" w:lineRule="auto"/>
      </w:pPr>
      <w:r>
        <w:t>S tem členom se v 13. členu ZIUTK dodaja nov tretji odstavek, ki stranki postopka omogoča, da se po vročitvi odločbe pristojnega organa pisno odpove pravici do sodnega varstva. Možnost odpovedi je vezana na vročitev odločbe, saj se stranka pravici do sodnega varstva lahko odpove šele po seznanitvi z vsebino odločbe; od vročitve teče tudi rok za vložitev zahteve za začetek postopka sodnega varstva. S tem odločba pristojnega organa hitreje postane pravnomočna, kar je zlasti v interesu strank, ki jim je bilo dovoljenje izdano in ga ne želijo izpodbijati. Odpoved je prostovoljna in ne posega v pravico do sodnega varstva iz prvega odstavka tega člena oziroma iz 113. člena Uredbe 2023/1114/EU.</w:t>
      </w:r>
    </w:p>
    <w:p>
      <w:pPr>
        <w:spacing w:after="0" w:line="240" w:lineRule="auto"/>
      </w:pPr>
      <w:r>
        <w:t xml:space="preserve"> </w:t>
      </w:r>
    </w:p>
    <w:p>
      <w:pPr>
        <w:spacing w:after="0" w:line="240" w:lineRule="auto"/>
      </w:pPr>
      <w:r>
        <w:t>Predlagana ureditev je vsebinsko skladna z 281.a členom Zakona o splošnem upravnem postopku (Uradni list RS, št. 24/06 – uradno prečiščeno besedilo, 105/06 – ZUS-1, 126/07, 65/08, 8/10, 82/13, 175/20 – ZIUOPDVE, 3/22 – ZDeb, 85/25 in 424/26 – sklep US; v nadaljnjem besedilu: ZUP), ki je bil dodan z novelo ZUP-I in ureja odpoved pravici do sodnega varstva v splošnem upravnem postopku. Pravica do odpovedi sodnemu varstvu se v predlogu zakona izrecno določa v področnem zakonu, ker postopkovni okvir za odločanje Agencije za trg vrednostnih papirjev v posamičnih zadevah določa Zakon o trgu finančnih instrumentov (Uradni list RS, št. 77/18, 17/19 – popr., 66/19, 123/21, 45/24 in 77/25) kot lex specialis glede na ZUP, ki se v navedenih postopkih uporablja le subsidiarno. Izrecna ureditev pravice do odpovedi sodnemu varstvu v ZIUTK zagotavlja pravno jasnost in učinkovito uporabo tega instituta v postopkih, ki jih agencija vodi na podlagi Uredbe 2023/1114/EU.</w:t>
      </w:r>
    </w:p>
    <w:p>
      <w:pPr>
        <w:spacing w:after="0" w:line="260" w:lineRule="auto"/>
        <w:rPr>
          <w:rFonts w:ascii="Arial" w:hAnsi="Arial" w:cs="Arial"/>
        </w:rPr>
      </w:pPr>
    </w:p>
    <w:p>
      <w:pPr>
        <w:pStyle w:val="Odebeljeno"/>
        <w:spacing w:after="0" w:line="260" w:lineRule="auto"/>
      </w:pPr>
      <w:r>
        <w:t>K 5. členu:</w:t>
      </w:r>
    </w:p>
    <w:p>
      <w:pPr>
        <w:spacing w:after="0" w:line="240" w:lineRule="auto"/>
      </w:pPr>
      <w:r>
        <w:t>S tem členom se spreminja prvi odstavek 15. člena ZIUTK, ki določa prekrške za kršitve Uredbe 2023/1114/EU. Veljavni prvi odstavek vsebuje 45 točk, s predlagano spremembo pa se število točk povečuje na 49.</w:t>
      </w:r>
    </w:p>
    <w:p>
      <w:pPr>
        <w:spacing w:after="0" w:line="240" w:lineRule="auto"/>
      </w:pPr>
      <w:r>
        <w:t xml:space="preserve"> </w:t>
      </w:r>
    </w:p>
    <w:p>
      <w:pPr>
        <w:spacing w:after="0" w:line="240" w:lineRule="auto"/>
      </w:pPr>
      <w:r>
        <w:t>Dodajajo se štiri nove točke, ki so potrebne za celovito izpolnitev zahtev iz prvega odstavka 111. člena Uredbe 2023/1114/EU. Nova 7. točka sankcionira kršitve 11. člena navedene uredbe (pravice ponudnikov kriptosredstev, ki niso žetoni, vezani na sredstva, ali e-denarni žetoni). Nova 13. točka sankcionira kršitve 28. člena navedene uredbe (objava bele knjige o kriptosredstvu za žetone, vezane na sredstva). Nova 23. točka sankcionira kršitve 34. člena navedene uredbe (ureditev upravljanja izdajateljev žetonov, vezanih na sredstva). Nova 42. točka sankcionira ravnanje na način iz 64. člena navedene uredbe (okoliščine, ki vodijo v odvzem dovoljenja ponudnika storitev v zvezi s kriptosredstvi). Navedeni členi Uredbe 2023/1114/EU so bili v veljavnem prvem odstavku 15. člena pomotoma izpuščeni, čeprav prvi odstavek 111. člena Uredbe 2023/1114/EU izrecno zahteva, da države članice zagotovijo sankcioniranje njihovih kršitev.</w:t>
      </w:r>
    </w:p>
    <w:p>
      <w:pPr>
        <w:spacing w:after="0" w:line="240" w:lineRule="auto"/>
      </w:pPr>
      <w:r>
        <w:t xml:space="preserve"> </w:t>
      </w:r>
    </w:p>
    <w:p>
      <w:pPr>
        <w:spacing w:after="0" w:line="240" w:lineRule="auto"/>
      </w:pPr>
      <w:r>
        <w:t>Poleg tega se vsebinsko popravljajo opisi posameznih prekrškov, ki v veljavnem besedilu ne ustrezajo obveznostim iz Uredbe 2023/1114/EU. Najpomembnejša je sprememba dosedanje 37. točke (ki postane 40. točka), ki je sankcionirala neizpolnjevanje pogojev za pridobitev dovoljenja ponudnika storitev v zvezi s kriptosredstvi in zato ni omogočala sankcioniranja subjektov, ki storitve v zvezi s kriptosredstvi opravljajo brez dovoljenja; po novem se sankcionira opravljanje storitev v zvezi s kriptosredstvi s strani osebe, ki ni oseba iz prvega odstavka 59. člena navedene uredbe, s čimer se pristojnemu organu zagotavlja pravna podlaga za uvedbo prekrškovnega postopka zoper take subjekte. V dosedanji 1. točki in dosedanji 10. točki (ki postane 11. točka) se opis prekrška spremeni, saj veljavno besedilo sankcionira opustitev javne ponudbe oziroma uvrstitve v trgovanje, namesto javne ponudbe ali uvrstitve v trgovanje v nasprotju s 4. ali 5. členom oziroma s 16. ali 17. členom navedene uredbe. Dosedanja 13. točka (ki postane 15. točka) se omejuje na obveznost iz prvega odstavka 23. člena navedene uredbe, ki velja za žetone, vezane na sredstva, ki se široko uporabljajo kot sredstvo za izmenjavo, dosedanja 15. točka (ki postane 17. točka) pa se preoblikuje tako, da se sklicuje na obveznosti iz 27. člena navedene uredbe. Opisi prekrškov zlorabe trga v dosedanjih 41., 42. in 43. točki (ki postanejo 45., 46. in 47. točka) se usklajujejo z 88. do 91. členom navedene uredbe, tako da natančno opredeljujejo prepovedana ravnanja, vključno s poskusom trgovanja na podlagi notranjih informacij in s poskusom tržne manipulacije.</w:t>
      </w:r>
    </w:p>
    <w:p>
      <w:pPr>
        <w:spacing w:after="0" w:line="240" w:lineRule="auto"/>
      </w:pPr>
      <w:r>
        <w:t xml:space="preserve"> </w:t>
      </w:r>
    </w:p>
    <w:p>
      <w:pPr>
        <w:spacing w:after="0" w:line="240" w:lineRule="auto"/>
      </w:pPr>
      <w:r>
        <w:t>Ob tem se odpravljajo posamezne nomotehnične pomanjkljivosti veljavnega besedila. Dosedanji 4. in 5. točka zamenjata vrstni red, tako da si točke sledijo po vrstnem redu členov navedene uredbe, pri čemer se v dosedanji 5. točki (ki postane 4. točka) ločeno opredelita priprava tržnih sporočil v skladu s 7. členom in njihova objava v skladu z 9. členom navedene uredbe. Popravlja se tipkarska napaka v dosedanji 11. točki (ki postane 12. točka), kjer se beseda »kritposredstvu« nadomešča s pravilno besedo »kriptosredstvu«. Dosedanja 20. točka (ki postane 22. točka) se dopolnjuje s sklicevanjem na predložitev informacij za oceno skladnosti, kot to zahteva 33. člen navedene uredbe. V dosedanji 27. točki (ki postane 30. točka) in dosedanji 40. točki (ki postane 44. točka) se dosedanje dvojno sklicevanje na 41. oziroma 83. člen navedene uredbe nadomešča s sklicevanjem na prvi in drugi odstavek 41. oziroma 83. člena navedene uredbe, ki vsebinsko v celoti opredeljujeta obveznost pisnega obvestila in obveznost glede vsebine tega obvestila. V dosedanji 29. točki (ki postane 32. točka) se dodaja obveznost vzdrževanja načrta unovčenja, v dosedanji 36. točki (ki postane 39. točka) pa manjkajoči zanikani glagol »ne vzdržuje«. V dosedanji 32. točki (ki postane 35. točka) se v skladu z dikcijo navedene uredbe besedilo »prepovedi izplačevanja obresti« nadomesti z besedilom »prepovedi podeljevanja obresti«, kar je tudi naslov 50. člena navedene uredbe. V dosedanji 38. točki (ki postane 41. točka) se sklicevanje na 65. člen navedene uredbe zoži na njegov prvi odstavek. V dosedanji 44. točki (ki postane 48. točka) se sklicevanje na 92. člen navedene uredbe zoži na njegov prvi odstavek, veznik »ter« pa nadomesti z veznikom »ali«, s čimer se odpravlja razlagalna dvoumnost glede tega, ali sta obe v točki opisani kršitvi prekršek le ob hkratni izpolnitvi obeh dejanskih stanov; ker gre vsebinsko za dva ločena prekrška, je veznik »ali« nomotehnično pravilnejši. Sklici na člene navedene uredbe v oklepajih se v dosedanjih 1., 21., 30., 31., 39., 41. in 42. točki (ki postanejo 1., 24., 33., 34., 43., 45. in 46. točka) nadomestijo s formulacijo, ki je dosledno uporabljena v drugih točkah istega odstavka, podpičja v posameznih točkah pa se nadomeščajo z vejicami. V posameznih točkah se poleg tega redakcijsko izboljšuje besedilo opisov prekrškov.</w:t>
      </w:r>
    </w:p>
    <w:p>
      <w:pPr>
        <w:spacing w:after="0" w:line="260" w:lineRule="auto"/>
        <w:rPr>
          <w:rFonts w:ascii="Arial" w:hAnsi="Arial" w:cs="Arial"/>
        </w:rPr>
      </w:pPr>
    </w:p>
    <w:p>
      <w:pPr>
        <w:pStyle w:val="Odebeljeno"/>
        <w:spacing w:after="0" w:line="260" w:lineRule="auto"/>
      </w:pPr>
      <w:r>
        <w:t>K 6. členu:</w:t>
      </w:r>
    </w:p>
    <w:p>
      <w:pPr>
        <w:spacing w:after="0" w:line="240" w:lineRule="auto"/>
      </w:pPr>
      <w:r>
        <w:t>S tem členom se v 16. členu ZIUTK posodabljajo sklicevanja na točke prvega odstavka 15. člena ZIUTK, ki se s 5. členom tega zakona preštevilčijo s 45 na 49 točk. Spremembe so posledica dodanih štirih novih točk v prvem odstavku 15. člena ZIUTK (nova 7., 13., 23. in 42. točka), zaradi katerih se vse nadaljnje točke ustrezno preštevilčijo. Hkrati se v drugem odstavku odpravlja očitna tipkarska napaka v oznaki odstavka (»(2« namesto »(2)«).</w:t>
      </w:r>
    </w:p>
    <w:p>
      <w:pPr>
        <w:spacing w:after="0" w:line="260" w:lineRule="auto"/>
        <w:rPr>
          <w:rFonts w:ascii="Arial" w:hAnsi="Arial" w:cs="Arial"/>
        </w:rPr>
      </w:pPr>
    </w:p>
    <w:p>
      <w:pPr>
        <w:pStyle w:val="Odebeljeno"/>
        <w:spacing w:after="0" w:line="260" w:lineRule="auto"/>
      </w:pPr>
      <w:r>
        <w:t>K 7. členu:</w:t>
      </w:r>
    </w:p>
    <w:p>
      <w:pPr>
        <w:spacing w:after="0" w:line="240" w:lineRule="auto"/>
        <w:jc w:val="both"/>
      </w:pPr>
      <w:r>
        <w:t>Spremeni se naslov 17. člena ZIUTK, saj se ta člen nanaša le na prekrške, medtem ko so nadzorni ukrepi urejeni v 7. členu ZIUTK. Sedanje poimenovanje je zato zavajajoče in v zakon vnaša nejasnost.</w:t>
      </w:r>
    </w:p>
    <w:p>
      <w:pPr>
        <w:spacing w:after="0" w:line="260" w:lineRule="auto"/>
        <w:rPr>
          <w:rFonts w:ascii="Arial" w:hAnsi="Arial" w:cs="Arial"/>
        </w:rPr>
      </w:pPr>
    </w:p>
    <w:p>
      <w:pPr>
        <w:pStyle w:val="Odebeljeno"/>
        <w:spacing w:after="0" w:line="260" w:lineRule="auto"/>
      </w:pPr>
      <w:r>
        <w:t>K 8. členu:</w:t>
      </w:r>
    </w:p>
    <w:p>
      <w:pPr>
        <w:spacing w:after="0" w:line="240" w:lineRule="auto"/>
      </w:pPr>
      <w:r>
        <w:t>Za uveljavitev zakona je določena štirinajstdnevna vacatio legis.</w:t>
      </w:r>
    </w:p>
    <w:p>
      <w:pPr>
        <w:spacing w:after="0" w:line="260" w:lineRule="auto"/>
        <w:rPr>
          <w:rFonts w:ascii="Arial" w:hAnsi="Arial" w:cs="Arial"/>
        </w:rPr>
      </w:pPr>
    </w:p>
    <w:p>
      <w:r>
        <w:br w:type="page"/>
      </w:r>
    </w:p>
    <w:p>
      <w:pPr>
        <w:pStyle w:val="Odebeljeno"/>
        <w:spacing w:after="0" w:line="260" w:lineRule="auto"/>
      </w:pPr>
      <w:r>
        <w:t>IV.</w:t>
      </w:r>
      <w:r>
        <w:tab/>
      </w:r>
      <w:r>
        <w:t>BESEDILO ČLENOV, KI SE SPREMINJAJO</w:t>
      </w:r>
    </w:p>
    <w:p>
      <w:pPr>
        <w:spacing w:after="0" w:line="260" w:lineRule="auto"/>
        <w:rPr>
          <w:rFonts w:ascii="Arial" w:hAnsi="Arial" w:cs="Arial"/>
        </w:rPr>
      </w:pPr>
    </w:p>
    <w:p>
      <w:pPr>
        <w:pStyle w:val="Odebeljeno"/>
        <w:spacing w:after="0" w:line="260" w:lineRule="auto"/>
      </w:pPr>
      <w:r>
        <w:t>Zakon o izvajanju Uredbe (EU) o trgih kriptosredstev</w:t>
      </w:r>
    </w:p>
    <w:p>
      <w:pPr>
        <w:spacing w:after="0" w:line="260" w:lineRule="auto"/>
      </w:pPr>
      <w:r>
        <w:t>(Uradni list RS, št. 95/24 in 10/26 – ZdZEETD)</w:t>
      </w:r>
    </w:p>
    <w:p>
      <w:pPr>
        <w:spacing w:after="0" w:line="260" w:lineRule="auto"/>
        <w:rPr>
          <w:rFonts w:ascii="Arial" w:hAnsi="Arial" w:cs="Arial"/>
        </w:rPr>
      </w:pPr>
    </w:p>
    <w:p>
      <w:pPr>
        <w:pStyle w:val="center"/>
        <w:spacing w:before="0" w:after="210"/>
        <w:ind w:left="0" w:right="0"/>
        <w:rPr>
          <w:rFonts w:ascii="Arial" w:cs="Arial"/>
          <w:b/>
          <w:sz w:val="21"/>
        </w:rPr>
      </w:pPr>
      <w:r>
        <w:rPr>
          <w:rFonts w:ascii="Arial" w:cs="Arial"/>
          <w:b/>
          <w:sz w:val="21"/>
        </w:rPr>
        <w:t>1. člen</w:t>
      </w:r>
    </w:p>
    <w:p>
      <w:pPr>
        <w:pStyle w:val="center"/>
        <w:spacing w:before="210" w:after="210"/>
        <w:ind w:left="0" w:right="0"/>
        <w:rPr>
          <w:rFonts w:ascii="Arial" w:cs="Arial"/>
          <w:b/>
          <w:sz w:val="21"/>
        </w:rPr>
      </w:pPr>
      <w:r>
        <w:rPr>
          <w:rFonts w:ascii="Arial" w:cs="Arial"/>
          <w:b/>
          <w:sz w:val="21"/>
        </w:rPr>
        <w:t>(vsebina)</w:t>
      </w:r>
    </w:p>
    <w:p>
      <w:pPr>
        <w:spacing w:before="210" w:after="210"/>
        <w:ind w:left="0" w:right="0"/>
        <w:rPr>
          <w:rFonts w:ascii="Arial" w:cs="Arial"/>
          <w:sz w:val="21"/>
        </w:rPr>
      </w:pPr>
      <w:r>
        <w:rPr>
          <w:rFonts w:ascii="Arial" w:cs="Arial"/>
        </w:rPr>
        <w:t>S tem zakonom se za izvajanje Uredbe (EU) 2023/1114 Evropskega parlamenta in Sveta z dne 31. maja 2023 o trgih kriptosredstev in spremembi uredb (EU) št. 1093/2010 in (EU) št. 1095/2010 ter direktiv 2013/36/EU in (EU) 2019/1937 (UL L št. 150 z dne 9. 6. 2023, str. 1), zadnjič spremenjene z Uredbo (EU) 2023/2869 Evropskega parlamenta in Sveta z dne 13. decembra 2023 o spremembi nekaterih uredb glede vzpostavitve in delovanja evropske enotne točke dostopa (UL L št. 2023/2869 z dne 20. 12. 2023), (v nadaljnjem besedilu: Uredba 2023/1114/EU), določata pristojna organa za izdajanje in odvzem dovoljenj ter za nadzor nad ponudniki storitev v zvezi s kriptosredstvi, nad izdajatelji žetonov, vezanih na sredstva in izdajatelji e-denarnih žetonov, nad izdajatelji žetonov, ki niso žetoni, vezani na sredstva ali e-denarni žetoni, določata enotni točki za sodelovanje s pristojnimi organi držav članic, Evropskim organom za vrednostne papirje (v nadaljnjem besedilu: ESMA) in Evropskim bančnim organom (v nadaljnjem besedilu: EBA), ureja način opravljanja nadzora, določajo nadzorni ukrepi, ureja postopek izrekanja nadzornih ukrepov, ter določajo prekrški in globe v zvezi z izvajanjem Uredbe 2023/1114/EU.</w:t>
      </w:r>
    </w:p>
    <w:p>
      <w:pPr>
        <w:pStyle w:val="center"/>
        <w:spacing w:before="210" w:after="210"/>
        <w:ind w:left="0" w:right="0"/>
        <w:rPr>
          <w:rFonts w:ascii="Arial" w:cs="Arial"/>
          <w:b/>
          <w:sz w:val="21"/>
        </w:rPr>
      </w:pPr>
      <w:r>
        <w:rPr>
          <w:rFonts w:ascii="Arial" w:cs="Arial"/>
          <w:b/>
          <w:sz w:val="21"/>
        </w:rPr>
        <w:t>3. člen</w:t>
      </w:r>
    </w:p>
    <w:p>
      <w:pPr>
        <w:pStyle w:val="center"/>
        <w:spacing w:before="210" w:after="210"/>
        <w:ind w:left="0" w:right="0"/>
        <w:rPr>
          <w:rFonts w:ascii="Arial" w:cs="Arial"/>
          <w:b/>
          <w:sz w:val="21"/>
        </w:rPr>
      </w:pPr>
      <w:r>
        <w:rPr>
          <w:rFonts w:ascii="Arial" w:cs="Arial"/>
          <w:b/>
          <w:sz w:val="21"/>
        </w:rPr>
        <w:t>(pristojnost odločanja o dovoljenjih in beli knjigi)</w:t>
      </w:r>
    </w:p>
    <w:p>
      <w:pPr>
        <w:spacing w:before="210" w:after="210"/>
        <w:ind w:left="0" w:right="0"/>
        <w:rPr>
          <w:rFonts w:ascii="Arial" w:cs="Arial"/>
          <w:sz w:val="21"/>
        </w:rPr>
      </w:pPr>
      <w:r>
        <w:rPr>
          <w:rFonts w:ascii="Arial" w:cs="Arial"/>
        </w:rPr>
        <w:t>(1) Agencija za trg vrednostnih papirjev (v nadaljnjem besedilu: agencija) je pristojna za:</w:t>
      </w:r>
    </w:p>
    <w:p>
      <w:pPr>
        <w:spacing w:before="210" w:after="210"/>
        <w:ind w:left="0" w:right="0"/>
        <w:rPr>
          <w:rFonts w:ascii="Arial" w:cs="Arial"/>
          <w:sz w:val="21"/>
        </w:rPr>
      </w:pPr>
      <w:r>
        <w:rPr>
          <w:rFonts w:ascii="Arial" w:cs="Arial"/>
        </w:rPr>
        <w:t>1. izdajo in odvzem dovoljenja za ponudnika storitev v zvezi s kriptosredstvi osebam, navedenim v točki (a) prvega odstavka 59. člena Uredbe 2023/1114/EU,</w:t>
      </w:r>
    </w:p>
    <w:p>
      <w:pPr>
        <w:spacing w:before="210" w:after="210"/>
        <w:ind w:left="0" w:right="0"/>
        <w:rPr>
          <w:rFonts w:ascii="Arial" w:cs="Arial"/>
          <w:sz w:val="21"/>
        </w:rPr>
      </w:pPr>
      <w:r>
        <w:rPr>
          <w:rFonts w:ascii="Arial" w:cs="Arial"/>
        </w:rPr>
        <w:t>2. izdajo in odvzem dovoljenja za javno ponudbo in uvrstitev v trgovanje žetonov, vezanih na sredstva, osebam, navedenim v točki (a) prvega odstavka 16. člena Uredbe 2023/1114/EU,</w:t>
      </w:r>
    </w:p>
    <w:p>
      <w:pPr>
        <w:spacing w:before="210" w:after="210"/>
        <w:ind w:left="0" w:right="0"/>
        <w:rPr>
          <w:rFonts w:ascii="Arial" w:cs="Arial"/>
          <w:sz w:val="21"/>
        </w:rPr>
      </w:pPr>
      <w:r>
        <w:rPr>
          <w:rFonts w:ascii="Arial" w:cs="Arial"/>
        </w:rPr>
        <w:t>3. prejem in potrditev popolnosti uradnega obvestila ponudnika storitev v zvezi s kriptosredstvi oseb, navedenih v točki (b) prvega odstavka 59. člena Uredbe 2023/1114/EU, z izjemo družb za izdajo elektronskega denarja,</w:t>
      </w:r>
    </w:p>
    <w:p>
      <w:pPr>
        <w:spacing w:before="210" w:after="210"/>
        <w:ind w:left="0" w:right="0"/>
        <w:rPr>
          <w:rFonts w:ascii="Arial" w:cs="Arial"/>
          <w:sz w:val="21"/>
        </w:rPr>
      </w:pPr>
      <w:r>
        <w:rPr>
          <w:rFonts w:ascii="Arial" w:cs="Arial"/>
        </w:rPr>
        <w:t>4. odobritev bele knjige in prejem uradnega obvestila kreditne institucije, ki želi na podlagi 17. člena Uredbe 2023/1114/EU javno ponuditi in uvrstiti v trgovanje žeton, vezan na sredstva,</w:t>
      </w:r>
    </w:p>
    <w:p>
      <w:pPr>
        <w:spacing w:before="210" w:after="210"/>
        <w:ind w:left="0" w:right="0"/>
        <w:rPr>
          <w:rFonts w:ascii="Arial" w:cs="Arial"/>
          <w:sz w:val="21"/>
        </w:rPr>
      </w:pPr>
      <w:r>
        <w:rPr>
          <w:rFonts w:ascii="Arial" w:cs="Arial"/>
        </w:rPr>
        <w:t>5. odobritev sprememb poslovnega modela oziroma bele knjige o kriptosredstvu za žetone, vezane na sredstva, v skladu s 25. členom Uredbe 2023/1114/EU,</w:t>
      </w:r>
    </w:p>
    <w:p>
      <w:pPr>
        <w:spacing w:before="210" w:after="210"/>
        <w:ind w:left="0" w:right="0"/>
        <w:rPr>
          <w:rFonts w:ascii="Arial" w:cs="Arial"/>
          <w:sz w:val="21"/>
        </w:rPr>
      </w:pPr>
      <w:r>
        <w:rPr>
          <w:rFonts w:ascii="Arial" w:cs="Arial"/>
        </w:rPr>
        <w:t>6. prejem uradnega obvestila o beli knjigi in morebitnih tržnih sporočilih kriptosredstva, ki ni e-denarni žeton ali žeton, vezan na sredstva, v skladu z 8. členom Uredbe 2023/1114/EU,</w:t>
      </w:r>
    </w:p>
    <w:p>
      <w:pPr>
        <w:spacing w:before="210" w:after="210"/>
        <w:ind w:left="0" w:right="0"/>
        <w:rPr>
          <w:rFonts w:ascii="Arial" w:cs="Arial"/>
          <w:sz w:val="21"/>
        </w:rPr>
      </w:pPr>
      <w:r>
        <w:rPr>
          <w:rFonts w:ascii="Arial" w:cs="Arial"/>
        </w:rPr>
        <w:t>7. prejem uradnega obvestila o spremembah bele knjige in morebitnih spremembah tržnih sporočil za kriptosredstva, ki niso žetoni, vezani na sredstva, ali e-denarni žetoni v skladu z Uredbo 2023/1114/EU, na podlagi 12. člena Uredbe 2023/1114/EU, in</w:t>
      </w:r>
    </w:p>
    <w:p>
      <w:pPr>
        <w:spacing w:before="210" w:after="210"/>
        <w:ind w:left="0" w:right="0"/>
        <w:rPr>
          <w:rFonts w:ascii="Arial" w:cs="Arial"/>
          <w:sz w:val="21"/>
        </w:rPr>
      </w:pPr>
      <w:r>
        <w:rPr>
          <w:rFonts w:ascii="Arial" w:cs="Arial"/>
        </w:rPr>
        <w:t>8. izdajo dovoljenja predlagane pridobitve kvalificiranega deleža v izdajatelju žetona, vezanega na sredstva v skladu z 41. členom Uredbe 2023/1114/EU oziroma v ponudniku storitev v zvezi s kriptosredstvi v skladu s 83. členom Uredbe 2023/1114/EU.</w:t>
      </w:r>
    </w:p>
    <w:p>
      <w:pPr>
        <w:spacing w:before="210" w:after="210"/>
        <w:ind w:left="0" w:right="0"/>
        <w:rPr>
          <w:rFonts w:ascii="Arial" w:cs="Arial"/>
          <w:sz w:val="21"/>
        </w:rPr>
      </w:pPr>
      <w:r>
        <w:rPr>
          <w:rFonts w:ascii="Arial" w:cs="Arial"/>
        </w:rPr>
        <w:t>(2) Banka Slovenije je pristojna za:</w:t>
      </w:r>
    </w:p>
    <w:p>
      <w:pPr>
        <w:spacing w:before="210" w:after="210"/>
        <w:ind w:left="0" w:right="0"/>
        <w:rPr>
          <w:rFonts w:ascii="Arial" w:cs="Arial"/>
          <w:sz w:val="21"/>
        </w:rPr>
      </w:pPr>
      <w:r>
        <w:rPr>
          <w:rFonts w:ascii="Arial" w:cs="Arial"/>
        </w:rPr>
        <w:t>– prejem uradnega obvestila o beli knjigi oseb, ki dajejo v javno ponudbo e-denarne žetone ali zaprosijo za njihovo uvrstitev v trgovanje, navedenih v točki (b) prvega odstavka 48. člena Uredbe 2023/1114/EU, in</w:t>
      </w:r>
    </w:p>
    <w:p>
      <w:pPr>
        <w:spacing w:before="210" w:after="210"/>
        <w:ind w:left="0" w:right="0"/>
        <w:rPr>
          <w:rFonts w:ascii="Arial" w:cs="Arial"/>
          <w:sz w:val="21"/>
        </w:rPr>
      </w:pPr>
      <w:r>
        <w:rPr>
          <w:rFonts w:ascii="Arial" w:cs="Arial"/>
        </w:rPr>
        <w:t>– prejem uradnega obvestila družb za izdajo elektronskega denarja, ki nameravajo opravljati skrbništvo in upravljanje kriptosredstev v imenu strank ter storitve prenosa kriptosredstev v imenu strank v zvezi z e-denarnimi žetoni, ki jih izdajajo, na podlagi četrtega odstavka 60. člena Uredbe 2023/1114/EU.</w:t>
      </w:r>
    </w:p>
    <w:p>
      <w:pPr>
        <w:spacing w:before="210" w:after="210"/>
        <w:ind w:left="0" w:right="0"/>
        <w:rPr>
          <w:rFonts w:ascii="Arial" w:cs="Arial"/>
          <w:sz w:val="21"/>
        </w:rPr>
      </w:pPr>
      <w:r>
        <w:rPr>
          <w:rFonts w:ascii="Arial" w:cs="Arial"/>
        </w:rPr>
        <w:t>(3) Agencija pridobi nezavezujoče mnenje Banke Slovenije pred potrditvijo popolnosti uradnega obvestila kreditne institucije iz 3. točke prvega odstavka tega člena, potrditvijo bele knjige ter uradnega obvestila kreditne institucije iz 4. točke prvega odstavka tega člena ter odobritvijo sprememb bele knjige o kriptosredstvu za žetone, vezane na sredstva iz 5. točke prvega odstavka tega člena.</w:t>
      </w:r>
    </w:p>
    <w:p>
      <w:pPr>
        <w:spacing w:before="210" w:after="210"/>
        <w:ind w:left="0" w:right="0"/>
        <w:rPr>
          <w:rFonts w:ascii="Arial" w:cs="Arial"/>
          <w:sz w:val="21"/>
        </w:rPr>
      </w:pPr>
      <w:r>
        <w:rPr>
          <w:rFonts w:ascii="Arial" w:cs="Arial"/>
        </w:rPr>
        <w:t>(4) Za postopke odločanja pristojnega organa iz prvega oziroma drugega odstavka tega člena se smiselno uporablja zakon, ki ureja trg finančnih instrumentov, oziroma zakon, ki ureja Banko Slovenije, zakon, ki ureja bančništvo, in zakon, ki ureja plačilne storitve, storitve izdajanja elektronskega denarja in plačilne sisteme.</w:t>
      </w:r>
    </w:p>
    <w:p>
      <w:pPr>
        <w:spacing w:before="210" w:after="210"/>
        <w:ind w:left="0" w:right="0"/>
        <w:rPr>
          <w:rFonts w:ascii="Arial" w:cs="Arial"/>
          <w:sz w:val="21"/>
        </w:rPr>
      </w:pPr>
      <w:r>
        <w:rPr>
          <w:rFonts w:ascii="Arial" w:cs="Arial"/>
        </w:rPr>
        <w:t>(5) V skladu s sedmim odstavkom 81. člena Uredbe 2023/1114/EU agencija predpiše podrobnejša merila, ki se uporabljajo za ocenjevanje znanja in kompetenc za izpolnjevanje obveznosti fizičnih oseb, ki v imenu ponudnikov storitev v zvezi s kriptosredstvi zagotavljajo svetovanje o kriptosredstvih ali podajajo informacije o kriptosredstvih ali storitvah v zvezi s kriptosredstvi.</w:t>
      </w:r>
    </w:p>
    <w:p>
      <w:pPr>
        <w:pStyle w:val="center"/>
        <w:spacing w:before="210" w:after="210"/>
        <w:ind w:left="0" w:right="0"/>
        <w:rPr>
          <w:rFonts w:ascii="Arial" w:cs="Arial"/>
          <w:b/>
          <w:sz w:val="21"/>
        </w:rPr>
      </w:pPr>
      <w:r>
        <w:rPr>
          <w:rFonts w:ascii="Arial" w:cs="Arial"/>
          <w:b/>
          <w:sz w:val="21"/>
        </w:rPr>
        <w:t>7. člen</w:t>
      </w:r>
    </w:p>
    <w:p>
      <w:pPr>
        <w:pStyle w:val="center"/>
        <w:spacing w:before="210" w:after="210"/>
        <w:ind w:left="0" w:right="0"/>
        <w:rPr>
          <w:rFonts w:ascii="Arial" w:cs="Arial"/>
          <w:b/>
          <w:sz w:val="21"/>
        </w:rPr>
      </w:pPr>
      <w:r>
        <w:rPr>
          <w:rFonts w:ascii="Arial" w:cs="Arial"/>
          <w:b/>
          <w:sz w:val="21"/>
        </w:rPr>
        <w:t>(nadzorni ukrepi)</w:t>
      </w:r>
    </w:p>
    <w:p>
      <w:pPr>
        <w:spacing w:before="210" w:after="210"/>
        <w:ind w:left="0" w:right="0"/>
        <w:rPr>
          <w:rFonts w:ascii="Arial" w:cs="Arial"/>
          <w:sz w:val="21"/>
        </w:rPr>
      </w:pPr>
      <w:r>
        <w:rPr>
          <w:rFonts w:ascii="Arial" w:cs="Arial"/>
        </w:rPr>
        <w:t>(1) Če pristojni organ pri nadzoru ugotovi kršitev Uredbe 2023/1114/EU ali tega zakona, izreče naslednje nadzorne ukrepe:</w:t>
      </w:r>
    </w:p>
    <w:p>
      <w:pPr>
        <w:spacing w:before="210" w:after="210"/>
        <w:ind w:left="0" w:right="0"/>
        <w:rPr>
          <w:rFonts w:ascii="Arial" w:cs="Arial"/>
          <w:sz w:val="21"/>
        </w:rPr>
      </w:pPr>
      <w:r>
        <w:rPr>
          <w:rFonts w:ascii="Arial" w:cs="Arial"/>
        </w:rPr>
        <w:t>– odredi ukrepe, potrebne za odpravo ugotovljene kršitve, in</w:t>
      </w:r>
    </w:p>
    <w:p>
      <w:pPr>
        <w:spacing w:before="210" w:after="210"/>
        <w:ind w:left="0" w:right="0"/>
        <w:rPr>
          <w:rFonts w:ascii="Arial" w:cs="Arial"/>
          <w:sz w:val="21"/>
        </w:rPr>
      </w:pPr>
      <w:r>
        <w:rPr>
          <w:rFonts w:ascii="Arial" w:cs="Arial"/>
        </w:rPr>
        <w:t>– izda ali odredi druge ukrepe in dejanja v skladu z Uredbo 2023/1114/EU ali tem zakonom.</w:t>
      </w:r>
    </w:p>
    <w:p>
      <w:pPr>
        <w:spacing w:before="210" w:after="210"/>
        <w:ind w:left="0" w:right="0"/>
        <w:rPr>
          <w:rFonts w:ascii="Arial" w:cs="Arial"/>
          <w:sz w:val="21"/>
        </w:rPr>
      </w:pPr>
      <w:r>
        <w:rPr>
          <w:rFonts w:ascii="Arial" w:cs="Arial"/>
        </w:rPr>
        <w:t>(2) Za izrekanje nadzornih ukrepov agencije in Banke Slovenije v posamičnih zadevah se smiselno uporablja zakon, ki ureja trg finančnih instrumentov, zakon, ki ureja Banko Slovenije, zakon, ki ureja bančništvo, in zakon, ki ureja plačilne storitve, storitve izdajanja elektronskega denarja in plačilne sisteme.</w:t>
      </w:r>
    </w:p>
    <w:p>
      <w:pPr>
        <w:pStyle w:val="center"/>
        <w:spacing w:before="210" w:after="210"/>
        <w:ind w:left="0" w:right="0"/>
        <w:rPr>
          <w:rFonts w:ascii="Arial" w:cs="Arial"/>
          <w:b/>
          <w:sz w:val="21"/>
        </w:rPr>
      </w:pPr>
      <w:r>
        <w:rPr>
          <w:rFonts w:ascii="Arial" w:cs="Arial"/>
          <w:b/>
          <w:sz w:val="21"/>
        </w:rPr>
        <w:t>13. člen</w:t>
      </w:r>
    </w:p>
    <w:p>
      <w:pPr>
        <w:pStyle w:val="center"/>
        <w:spacing w:before="210" w:after="210"/>
        <w:ind w:left="0" w:right="0"/>
        <w:rPr>
          <w:rFonts w:ascii="Arial" w:cs="Arial"/>
          <w:b/>
          <w:sz w:val="21"/>
        </w:rPr>
      </w:pPr>
      <w:r>
        <w:rPr>
          <w:rFonts w:ascii="Arial" w:cs="Arial"/>
          <w:b/>
          <w:sz w:val="21"/>
        </w:rPr>
        <w:t>(pravica do sodnega varstva)</w:t>
      </w:r>
    </w:p>
    <w:p>
      <w:pPr>
        <w:spacing w:before="210" w:after="210"/>
        <w:ind w:left="0" w:right="0"/>
        <w:rPr>
          <w:rFonts w:ascii="Arial" w:cs="Arial"/>
          <w:sz w:val="21"/>
        </w:rPr>
      </w:pPr>
      <w:r>
        <w:rPr>
          <w:rFonts w:ascii="Arial" w:cs="Arial"/>
        </w:rPr>
        <w:t>(1) Proti odločbam pristojnih organov je dovoljeno začeti postopek sodnega varstva. Pravica do sodnega varstva se uporablja tudi v primerih, če v šestih mesecih po predložitvi zahtevka za pridobitev dovoljenja, v katerem so navedene vse potrebne informacije, ni sprejeta nobena odločitev v zvezi z njim.</w:t>
      </w:r>
    </w:p>
    <w:p>
      <w:pPr>
        <w:spacing w:before="210" w:after="210"/>
        <w:ind w:left="0" w:right="0"/>
        <w:rPr>
          <w:rFonts w:ascii="Arial" w:cs="Arial"/>
          <w:sz w:val="21"/>
        </w:rPr>
      </w:pPr>
      <w:r>
        <w:rPr>
          <w:rFonts w:ascii="Arial" w:cs="Arial"/>
        </w:rPr>
        <w:t>(2) Za postopek sodnega varstva zoper odločbe pristojnih organov se smiselno uporablja zakon, ki ureja upravni spor, če ni s tem zakonom, zakonom, ki ureja trg finančnih instrumentov, ali zakonom, ki ureja bančništvo, določeno drugače.</w:t>
      </w:r>
    </w:p>
    <w:p>
      <w:pPr>
        <w:pStyle w:val="center"/>
        <w:spacing w:before="210" w:after="210"/>
        <w:ind w:left="0" w:right="0"/>
        <w:rPr>
          <w:rFonts w:ascii="Arial" w:cs="Arial"/>
          <w:b/>
          <w:sz w:val="21"/>
        </w:rPr>
      </w:pPr>
      <w:r>
        <w:rPr>
          <w:rFonts w:ascii="Arial" w:cs="Arial"/>
          <w:b/>
          <w:sz w:val="21"/>
        </w:rPr>
        <w:t>15. člen</w:t>
      </w:r>
    </w:p>
    <w:p>
      <w:pPr>
        <w:pStyle w:val="center"/>
        <w:spacing w:before="210" w:after="210"/>
        <w:ind w:left="0" w:right="0"/>
        <w:rPr>
          <w:rFonts w:ascii="Arial" w:cs="Arial"/>
          <w:b/>
          <w:sz w:val="21"/>
        </w:rPr>
      </w:pPr>
      <w:r>
        <w:rPr>
          <w:rFonts w:ascii="Arial" w:cs="Arial"/>
          <w:b/>
          <w:sz w:val="21"/>
        </w:rPr>
        <w:t>(prekrški)</w:t>
      </w:r>
    </w:p>
    <w:p>
      <w:pPr>
        <w:spacing w:before="210" w:after="210"/>
        <w:ind w:left="0" w:right="0"/>
        <w:rPr>
          <w:rFonts w:ascii="Arial" w:cs="Arial"/>
          <w:sz w:val="21"/>
        </w:rPr>
      </w:pPr>
      <w:r>
        <w:rPr>
          <w:rFonts w:ascii="Arial" w:cs="Arial"/>
        </w:rPr>
        <w:t>(1) Z globo od 2.500 do 250.000 eurov se za prekršek kaznuje pravna oseba, ki:</w:t>
      </w:r>
    </w:p>
    <w:p>
      <w:pPr>
        <w:spacing w:before="210" w:after="210"/>
        <w:ind w:left="0" w:right="0"/>
        <w:rPr>
          <w:rFonts w:ascii="Arial" w:cs="Arial"/>
          <w:sz w:val="21"/>
        </w:rPr>
      </w:pPr>
      <w:r>
        <w:rPr>
          <w:rFonts w:ascii="Arial" w:cs="Arial"/>
        </w:rPr>
        <w:t>1. ne daje v javno ponudbo ali ne uvršča v trgovanje kriptosredstva, ki niso žetoni, vezani na sredstva, ali e-denarni žetoni (4. in 5. člen Uredbe 2023/1114/EU),</w:t>
      </w:r>
    </w:p>
    <w:p>
      <w:pPr>
        <w:spacing w:before="210" w:after="210"/>
        <w:ind w:left="0" w:right="0"/>
        <w:rPr>
          <w:rFonts w:ascii="Arial" w:cs="Arial"/>
          <w:sz w:val="21"/>
        </w:rPr>
      </w:pPr>
      <w:r>
        <w:rPr>
          <w:rFonts w:ascii="Arial" w:cs="Arial"/>
        </w:rPr>
        <w:t>2. ne pripravi bele knjige o kriptosredstvu v skladu s 6. členom Uredbe 2023/1114/EU,</w:t>
      </w:r>
    </w:p>
    <w:p>
      <w:pPr>
        <w:spacing w:before="210" w:after="210"/>
        <w:ind w:left="0" w:right="0"/>
        <w:rPr>
          <w:rFonts w:ascii="Arial" w:cs="Arial"/>
          <w:sz w:val="21"/>
        </w:rPr>
      </w:pPr>
      <w:r>
        <w:rPr>
          <w:rFonts w:ascii="Arial" w:cs="Arial"/>
        </w:rPr>
        <w:t>3. ne pošlje uradnega obvestila o beli knjigi o kriptosredstvu v skladu z 8. členom Uredbe 2023/1114/EU,</w:t>
      </w:r>
    </w:p>
    <w:p>
      <w:pPr>
        <w:spacing w:before="210" w:after="210"/>
        <w:ind w:left="0" w:right="0"/>
        <w:rPr>
          <w:rFonts w:ascii="Arial" w:cs="Arial"/>
          <w:sz w:val="21"/>
        </w:rPr>
      </w:pPr>
      <w:r>
        <w:rPr>
          <w:rFonts w:ascii="Arial" w:cs="Arial"/>
        </w:rPr>
        <w:t>4. ne objavi bele knjige o kriptosredstvu v skladu z 9. členom Uredbe 2023/1114/EU,</w:t>
      </w:r>
    </w:p>
    <w:p>
      <w:pPr>
        <w:spacing w:before="210" w:after="210"/>
        <w:ind w:left="0" w:right="0"/>
        <w:rPr>
          <w:rFonts w:ascii="Arial" w:cs="Arial"/>
          <w:sz w:val="21"/>
        </w:rPr>
      </w:pPr>
      <w:r>
        <w:rPr>
          <w:rFonts w:ascii="Arial" w:cs="Arial"/>
        </w:rPr>
        <w:t>5. ne pripravi tržnih sporočil v zvezi s kriptosredstvom v skladu s 7. in 9. členom Uredbe 2023/1114/EU;</w:t>
      </w:r>
    </w:p>
    <w:p>
      <w:pPr>
        <w:spacing w:before="210" w:after="210"/>
        <w:ind w:left="0" w:right="0"/>
        <w:rPr>
          <w:rFonts w:ascii="Arial" w:cs="Arial"/>
          <w:sz w:val="21"/>
        </w:rPr>
      </w:pPr>
      <w:r>
        <w:rPr>
          <w:rFonts w:ascii="Arial" w:cs="Arial"/>
        </w:rPr>
        <w:t>6. ravna v nasprotju z 10. členom Uredbe 2023/1114/EU,</w:t>
      </w:r>
    </w:p>
    <w:p>
      <w:pPr>
        <w:spacing w:before="210" w:after="210"/>
        <w:ind w:left="0" w:right="0"/>
        <w:rPr>
          <w:rFonts w:ascii="Arial" w:cs="Arial"/>
          <w:sz w:val="21"/>
        </w:rPr>
      </w:pPr>
      <w:r>
        <w:rPr>
          <w:rFonts w:ascii="Arial" w:cs="Arial"/>
        </w:rPr>
        <w:t>7. ne spremeni objavljenih belih knjig o kriptosredstvu in objavljenih tržnih sporočil v skladu z 12. členom Uredbe 2023/1114/EU,</w:t>
      </w:r>
    </w:p>
    <w:p>
      <w:pPr>
        <w:spacing w:before="210" w:after="210"/>
        <w:ind w:left="0" w:right="0"/>
        <w:rPr>
          <w:rFonts w:ascii="Arial" w:cs="Arial"/>
          <w:sz w:val="21"/>
        </w:rPr>
      </w:pPr>
      <w:r>
        <w:rPr>
          <w:rFonts w:ascii="Arial" w:cs="Arial"/>
        </w:rPr>
        <w:t>8. ne omogoča pravice do odstopa od pogodbe v skladu s 13. členom Uredbe 2023/1114/EU,</w:t>
      </w:r>
    </w:p>
    <w:p>
      <w:pPr>
        <w:spacing w:before="210" w:after="210"/>
        <w:ind w:left="0" w:right="0"/>
        <w:rPr>
          <w:rFonts w:ascii="Arial" w:cs="Arial"/>
          <w:sz w:val="21"/>
        </w:rPr>
      </w:pPr>
      <w:r>
        <w:rPr>
          <w:rFonts w:ascii="Arial" w:cs="Arial"/>
        </w:rPr>
        <w:t>9. ne izpolnjuje zahtev za ponudnike in osebe, ki zaprosijo za uvrstitev v trgovanje s kriptosredstvi, ki niso žetoni, vezani na sredstva, ali e-denarni žetoni, v skladu s 14. členom Uredbe 2023/1114/EU,</w:t>
      </w:r>
    </w:p>
    <w:p>
      <w:pPr>
        <w:spacing w:before="210" w:after="210"/>
        <w:ind w:left="0" w:right="0"/>
        <w:rPr>
          <w:rFonts w:ascii="Arial" w:cs="Arial"/>
          <w:sz w:val="21"/>
        </w:rPr>
      </w:pPr>
      <w:r>
        <w:rPr>
          <w:rFonts w:ascii="Arial" w:cs="Arial"/>
        </w:rPr>
        <w:t>10. ne daje v javno ponudbo ali ne uvršča v trgovanje žetonov, vezanih na sredstva, v skladu s 16., 17. ali 28. členom Uredbe 2023/1114/EU,</w:t>
      </w:r>
    </w:p>
    <w:p>
      <w:pPr>
        <w:spacing w:before="210" w:after="210"/>
        <w:ind w:left="0" w:right="0"/>
        <w:rPr>
          <w:rFonts w:ascii="Arial" w:cs="Arial"/>
          <w:sz w:val="21"/>
        </w:rPr>
      </w:pPr>
      <w:r>
        <w:rPr>
          <w:rFonts w:ascii="Arial" w:cs="Arial"/>
        </w:rPr>
        <w:t>11. ne pripravi bele knjige o kritposredstvu za žetone, vezane na sredstva, v skladu z 19. členom Uredbe 2023/1114/EU,</w:t>
      </w:r>
    </w:p>
    <w:p>
      <w:pPr>
        <w:spacing w:before="210" w:after="210"/>
        <w:ind w:left="0" w:right="0"/>
        <w:rPr>
          <w:rFonts w:ascii="Arial" w:cs="Arial"/>
          <w:sz w:val="21"/>
        </w:rPr>
      </w:pPr>
      <w:r>
        <w:rPr>
          <w:rFonts w:ascii="Arial" w:cs="Arial"/>
        </w:rPr>
        <w:t>12. ne poroča o žetonih, vezanih na sredstva, v skladu z 22. členom Uredbe 2023/1114/EU,</w:t>
      </w:r>
    </w:p>
    <w:p>
      <w:pPr>
        <w:spacing w:before="210" w:after="210"/>
        <w:ind w:left="0" w:right="0"/>
        <w:rPr>
          <w:rFonts w:ascii="Arial" w:cs="Arial"/>
          <w:sz w:val="21"/>
        </w:rPr>
      </w:pPr>
      <w:r>
        <w:rPr>
          <w:rFonts w:ascii="Arial" w:cs="Arial"/>
        </w:rPr>
        <w:t>13. ne zagotovi informacij glede žetonov, vezanih na sredstva, v skladu s 23. členom Uredbe 2023/1114/EU,</w:t>
      </w:r>
    </w:p>
    <w:p>
      <w:pPr>
        <w:spacing w:before="210" w:after="210"/>
        <w:ind w:left="0" w:right="0"/>
        <w:rPr>
          <w:rFonts w:ascii="Arial" w:cs="Arial"/>
          <w:sz w:val="21"/>
        </w:rPr>
      </w:pPr>
      <w:r>
        <w:rPr>
          <w:rFonts w:ascii="Arial" w:cs="Arial"/>
        </w:rPr>
        <w:t>14. ne obvešča pristojnega organa o nameravanih spremembah svojega poslovnega modela v skladu s 25. členom Uredbe 2023/1114/EU,</w:t>
      </w:r>
    </w:p>
    <w:p>
      <w:pPr>
        <w:spacing w:before="210" w:after="210"/>
        <w:ind w:left="0" w:right="0"/>
        <w:rPr>
          <w:rFonts w:ascii="Arial" w:cs="Arial"/>
          <w:sz w:val="21"/>
        </w:rPr>
      </w:pPr>
      <w:r>
        <w:rPr>
          <w:rFonts w:ascii="Arial" w:cs="Arial"/>
        </w:rPr>
        <w:t>15. ravna v nasprotju z najboljšimi interesi imetnikov žetonov, vezanih na sredstva, v skladu s 27. členom Uredbe 2023/1114/EU,</w:t>
      </w:r>
    </w:p>
    <w:p>
      <w:pPr>
        <w:spacing w:before="210" w:after="210"/>
        <w:ind w:left="0" w:right="0"/>
        <w:rPr>
          <w:rFonts w:ascii="Arial" w:cs="Arial"/>
          <w:sz w:val="21"/>
        </w:rPr>
      </w:pPr>
      <w:r>
        <w:rPr>
          <w:rFonts w:ascii="Arial" w:cs="Arial"/>
        </w:rPr>
        <w:t>16. ne pripravi tržnih sporočil v zvezi z žetoni, vezanimi na sredstva, v skladu z 29. členom Uredbe 2023/1114/EU,</w:t>
      </w:r>
    </w:p>
    <w:p>
      <w:pPr>
        <w:spacing w:before="210" w:after="210"/>
        <w:ind w:left="0" w:right="0"/>
        <w:rPr>
          <w:rFonts w:ascii="Arial" w:cs="Arial"/>
          <w:sz w:val="21"/>
        </w:rPr>
      </w:pPr>
      <w:r>
        <w:rPr>
          <w:rFonts w:ascii="Arial" w:cs="Arial"/>
        </w:rPr>
        <w:t>17. ne obvešča imetnikov žetonov, vezanih na sredstva, v skladu s 30. členom Uredbe 2023/1114/EU,</w:t>
      </w:r>
    </w:p>
    <w:p>
      <w:pPr>
        <w:spacing w:before="210" w:after="210"/>
        <w:ind w:left="0" w:right="0"/>
        <w:rPr>
          <w:rFonts w:ascii="Arial" w:cs="Arial"/>
          <w:sz w:val="21"/>
        </w:rPr>
      </w:pPr>
      <w:r>
        <w:rPr>
          <w:rFonts w:ascii="Arial" w:cs="Arial"/>
        </w:rPr>
        <w:t>18. nima vzpostavljenih postopkov za obravnavo pritožb v skladu z 31. členom Uredbe 2023/1114/EU,</w:t>
      </w:r>
    </w:p>
    <w:p>
      <w:pPr>
        <w:spacing w:before="210" w:after="210"/>
        <w:ind w:left="0" w:right="0"/>
        <w:rPr>
          <w:rFonts w:ascii="Arial" w:cs="Arial"/>
          <w:sz w:val="21"/>
        </w:rPr>
      </w:pPr>
      <w:r>
        <w:rPr>
          <w:rFonts w:ascii="Arial" w:cs="Arial"/>
        </w:rPr>
        <w:t>19. nima vzpostavljenih politik in postopkov za prepoznavanje, preprečevanje, obvladovanje in razkrivanje nasprotij interesov iz 32. člena Uredbe 2023/1114/EU,</w:t>
      </w:r>
    </w:p>
    <w:p>
      <w:pPr>
        <w:spacing w:before="210" w:after="210"/>
        <w:ind w:left="0" w:right="0"/>
        <w:rPr>
          <w:rFonts w:ascii="Arial" w:cs="Arial"/>
          <w:sz w:val="21"/>
        </w:rPr>
      </w:pPr>
      <w:r>
        <w:rPr>
          <w:rFonts w:ascii="Arial" w:cs="Arial"/>
        </w:rPr>
        <w:t>20. pristojnega organa ne obvešča o vseh spremembah v svojem upravljalnem organu v skladu s 33. členom Uredbe 2023/1114/EU,</w:t>
      </w:r>
    </w:p>
    <w:p>
      <w:pPr>
        <w:spacing w:before="210" w:after="210"/>
        <w:ind w:left="0" w:right="0"/>
        <w:rPr>
          <w:rFonts w:ascii="Arial" w:cs="Arial"/>
          <w:sz w:val="21"/>
        </w:rPr>
      </w:pPr>
      <w:r>
        <w:rPr>
          <w:rFonts w:ascii="Arial" w:cs="Arial"/>
        </w:rPr>
        <w:t>21. ne spoštuje kapitalskih zahtev (35. člen Uredbe 2023/1114/EU),</w:t>
      </w:r>
    </w:p>
    <w:p>
      <w:pPr>
        <w:spacing w:before="210" w:after="210"/>
        <w:ind w:left="0" w:right="0"/>
        <w:rPr>
          <w:rFonts w:ascii="Arial" w:cs="Arial"/>
          <w:sz w:val="21"/>
        </w:rPr>
      </w:pPr>
      <w:r>
        <w:rPr>
          <w:rFonts w:ascii="Arial" w:cs="Arial"/>
        </w:rPr>
        <w:t>22. ne oblikuje in vzdržuje rezerve sredstev v skladu s 36. členom Uredbe 2023/1114/EU,</w:t>
      </w:r>
    </w:p>
    <w:p>
      <w:pPr>
        <w:spacing w:before="210" w:after="210"/>
        <w:ind w:left="0" w:right="0"/>
        <w:rPr>
          <w:rFonts w:ascii="Arial" w:cs="Arial"/>
          <w:sz w:val="21"/>
        </w:rPr>
      </w:pPr>
      <w:r>
        <w:rPr>
          <w:rFonts w:ascii="Arial" w:cs="Arial"/>
        </w:rPr>
        <w:t>23. ne vzpostavi, vzdržuje ali izvaja politik, postopkov in pogodbenih dogovorov o skrbništvu v skladu s 37. členom Uredbe 2023/1114/EU,</w:t>
      </w:r>
    </w:p>
    <w:p>
      <w:pPr>
        <w:spacing w:before="210" w:after="210"/>
        <w:ind w:left="0" w:right="0"/>
        <w:rPr>
          <w:rFonts w:ascii="Arial" w:cs="Arial"/>
          <w:sz w:val="21"/>
        </w:rPr>
      </w:pPr>
      <w:r>
        <w:rPr>
          <w:rFonts w:ascii="Arial" w:cs="Arial"/>
        </w:rPr>
        <w:t>24. rezerve sredstev ne vlaga v skladu z 38. členom Uredbe 2023/1114/EU,</w:t>
      </w:r>
    </w:p>
    <w:p>
      <w:pPr>
        <w:spacing w:before="210" w:after="210"/>
        <w:ind w:left="0" w:right="0"/>
        <w:rPr>
          <w:rFonts w:ascii="Arial" w:cs="Arial"/>
          <w:sz w:val="21"/>
        </w:rPr>
      </w:pPr>
      <w:r>
        <w:rPr>
          <w:rFonts w:ascii="Arial" w:cs="Arial"/>
        </w:rPr>
        <w:t>25. ne zagotavlja pravice do unovčenja v skladu z 39. členom Uredbe 2023/1114/EU,</w:t>
      </w:r>
    </w:p>
    <w:p>
      <w:pPr>
        <w:spacing w:before="210" w:after="210"/>
        <w:ind w:left="0" w:right="0"/>
        <w:rPr>
          <w:rFonts w:ascii="Arial" w:cs="Arial"/>
          <w:sz w:val="21"/>
        </w:rPr>
      </w:pPr>
      <w:r>
        <w:rPr>
          <w:rFonts w:ascii="Arial" w:cs="Arial"/>
        </w:rPr>
        <w:t>26. izplačuje obresti v nasprotju s 40. členom Uredbe 2023/1114/EU,</w:t>
      </w:r>
    </w:p>
    <w:p>
      <w:pPr>
        <w:spacing w:before="210" w:after="210"/>
        <w:ind w:left="0" w:right="0"/>
        <w:rPr>
          <w:rFonts w:ascii="Arial" w:cs="Arial"/>
          <w:sz w:val="21"/>
        </w:rPr>
      </w:pPr>
      <w:r>
        <w:rPr>
          <w:rFonts w:ascii="Arial" w:cs="Arial"/>
        </w:rPr>
        <w:t>27. pisno ne obvesti pristojnega organa izdajatelja žetona, vezanega na sredstva, o nameravani pridobitvi ali odsvojitvi kvalificiranega deleža v izdajatelju žetona, vezanega na sredstva, ali o povečanju ali zmanjšanju takega kvalificiranega deleža iz 41. člena Uredbe 2023/1114/EU ter o vsebini iz prej navedenega člena Uredbe 2023/1114/EU,</w:t>
      </w:r>
    </w:p>
    <w:p>
      <w:pPr>
        <w:spacing w:before="210" w:after="210"/>
        <w:ind w:left="0" w:right="0"/>
        <w:rPr>
          <w:rFonts w:ascii="Arial" w:cs="Arial"/>
          <w:sz w:val="21"/>
        </w:rPr>
      </w:pPr>
      <w:r>
        <w:rPr>
          <w:rFonts w:ascii="Arial" w:cs="Arial"/>
        </w:rPr>
        <w:t>28. ne pripravi in ne vzdržuje načrta sanacije v skladu s 46. členom Uredbe 2023/1114/EU;</w:t>
      </w:r>
    </w:p>
    <w:p>
      <w:pPr>
        <w:spacing w:before="210" w:after="210"/>
        <w:ind w:left="0" w:right="0"/>
        <w:rPr>
          <w:rFonts w:ascii="Arial" w:cs="Arial"/>
          <w:sz w:val="21"/>
        </w:rPr>
      </w:pPr>
      <w:r>
        <w:rPr>
          <w:rFonts w:ascii="Arial" w:cs="Arial"/>
        </w:rPr>
        <w:t>29. ne pripravi načrta unovčenja v skladu s 47. členom Uredbe 2023/1114/EU,</w:t>
      </w:r>
    </w:p>
    <w:p>
      <w:pPr>
        <w:spacing w:before="210" w:after="210"/>
        <w:ind w:left="0" w:right="0"/>
        <w:rPr>
          <w:rFonts w:ascii="Arial" w:cs="Arial"/>
          <w:sz w:val="21"/>
        </w:rPr>
      </w:pPr>
      <w:r>
        <w:rPr>
          <w:rFonts w:ascii="Arial" w:cs="Arial"/>
        </w:rPr>
        <w:t>30. ne daje v javno ponudbo ali ne uvršča v trgovanje e-denarnih žetonov (48. člen Uredbe 2023/1114/EU),</w:t>
      </w:r>
    </w:p>
    <w:p>
      <w:pPr>
        <w:spacing w:before="210" w:after="210"/>
        <w:ind w:left="0" w:right="0"/>
        <w:rPr>
          <w:rFonts w:ascii="Arial" w:cs="Arial"/>
          <w:sz w:val="21"/>
        </w:rPr>
      </w:pPr>
      <w:r>
        <w:rPr>
          <w:rFonts w:ascii="Arial" w:cs="Arial"/>
        </w:rPr>
        <w:t>31. ne spoštuje zahtev v zvezi z izdajanjem in unovčljivostjo e-denarnih žetonov (49. člen Uredbe 2023/1114/EU),</w:t>
      </w:r>
    </w:p>
    <w:p>
      <w:pPr>
        <w:spacing w:before="210" w:after="210"/>
        <w:ind w:left="0" w:right="0"/>
        <w:rPr>
          <w:rFonts w:ascii="Arial" w:cs="Arial"/>
          <w:sz w:val="21"/>
        </w:rPr>
      </w:pPr>
      <w:r>
        <w:rPr>
          <w:rFonts w:ascii="Arial" w:cs="Arial"/>
        </w:rPr>
        <w:t>32. ne spoštuje prepovedi izplačevanja obresti v skladu s 50. členom Uredbe 2023/1114/EU;</w:t>
      </w:r>
    </w:p>
    <w:p>
      <w:pPr>
        <w:spacing w:before="210" w:after="210"/>
        <w:ind w:left="0" w:right="0"/>
        <w:rPr>
          <w:rFonts w:ascii="Arial" w:cs="Arial"/>
          <w:sz w:val="21"/>
        </w:rPr>
      </w:pPr>
      <w:r>
        <w:rPr>
          <w:rFonts w:ascii="Arial" w:cs="Arial"/>
        </w:rPr>
        <w:t>33. ne pripravi bele knjige o kriptosredstvu za e-denarni žeton v skladu z 51. členom Uredbe 2023/1114/EU,</w:t>
      </w:r>
    </w:p>
    <w:p>
      <w:pPr>
        <w:spacing w:before="210" w:after="210"/>
        <w:ind w:left="0" w:right="0"/>
        <w:rPr>
          <w:rFonts w:ascii="Arial" w:cs="Arial"/>
          <w:sz w:val="21"/>
        </w:rPr>
      </w:pPr>
      <w:r>
        <w:rPr>
          <w:rFonts w:ascii="Arial" w:cs="Arial"/>
        </w:rPr>
        <w:t>34. ne pripravi tržnih sporočil v zvezi z e-denarnimi žetoni v skladu s 53. členom Uredbe 2023/1114/EU,</w:t>
      </w:r>
    </w:p>
    <w:p>
      <w:pPr>
        <w:spacing w:before="210" w:after="210"/>
        <w:ind w:left="0" w:right="0"/>
        <w:rPr>
          <w:rFonts w:ascii="Arial" w:cs="Arial"/>
          <w:sz w:val="21"/>
        </w:rPr>
      </w:pPr>
      <w:r>
        <w:rPr>
          <w:rFonts w:ascii="Arial" w:cs="Arial"/>
        </w:rPr>
        <w:t>35. ne spoštuje zahtev glede vlaganja denarnih sredstev v skladu s 54. členom Uredbe 2023/1114/EU,</w:t>
      </w:r>
    </w:p>
    <w:p>
      <w:pPr>
        <w:spacing w:before="210" w:after="210"/>
        <w:ind w:left="0" w:right="0"/>
        <w:rPr>
          <w:rFonts w:ascii="Arial" w:cs="Arial"/>
          <w:sz w:val="21"/>
        </w:rPr>
      </w:pPr>
      <w:r>
        <w:rPr>
          <w:rFonts w:ascii="Arial" w:cs="Arial"/>
        </w:rPr>
        <w:t>36. ne pripravi in vzdržuje načrta sanacije v skladu s 55. členom Uredbe 2023/1114/EU,</w:t>
      </w:r>
    </w:p>
    <w:p>
      <w:pPr>
        <w:spacing w:before="210" w:after="210"/>
        <w:ind w:left="0" w:right="0"/>
        <w:rPr>
          <w:rFonts w:ascii="Arial" w:cs="Arial"/>
          <w:sz w:val="21"/>
        </w:rPr>
      </w:pPr>
      <w:r>
        <w:rPr>
          <w:rFonts w:ascii="Arial" w:cs="Arial"/>
        </w:rPr>
        <w:t>37. ne izpolnjuje pogojev za pridobitev dovoljenja ponudnika storitev v zvezi s kriptosredstvi v skladu z 59. členom Uredbe 2023/1114/EU,</w:t>
      </w:r>
    </w:p>
    <w:p>
      <w:pPr>
        <w:spacing w:before="210" w:after="210"/>
        <w:ind w:left="0" w:right="0"/>
        <w:rPr>
          <w:rFonts w:ascii="Arial" w:cs="Arial"/>
          <w:sz w:val="21"/>
        </w:rPr>
      </w:pPr>
      <w:r>
        <w:rPr>
          <w:rFonts w:ascii="Arial" w:cs="Arial"/>
        </w:rPr>
        <w:t>38. ne zagotovi vseh potrebnih informacij v skladu s 60. ali 65. členom Uredbe 2023/1114/EU,</w:t>
      </w:r>
    </w:p>
    <w:p>
      <w:pPr>
        <w:spacing w:before="210" w:after="210"/>
        <w:ind w:left="0" w:right="0"/>
        <w:rPr>
          <w:rFonts w:ascii="Arial" w:cs="Arial"/>
          <w:sz w:val="21"/>
        </w:rPr>
      </w:pPr>
      <w:r>
        <w:rPr>
          <w:rFonts w:ascii="Arial" w:cs="Arial"/>
        </w:rPr>
        <w:t>39. ne izpolnjuje svojih obveznosti ponudnika storitev v zvezi s kriptosredstvi (66. do 82. člen Uredbe 2023/1114/EU),</w:t>
      </w:r>
    </w:p>
    <w:p>
      <w:pPr>
        <w:spacing w:before="210" w:after="210"/>
        <w:ind w:left="0" w:right="0"/>
        <w:rPr>
          <w:rFonts w:ascii="Arial" w:cs="Arial"/>
          <w:sz w:val="21"/>
        </w:rPr>
      </w:pPr>
      <w:r>
        <w:rPr>
          <w:rFonts w:ascii="Arial" w:cs="Arial"/>
        </w:rPr>
        <w:t>40. pisno ne obvesti pristojnega organa ponudnika storitev v zvezi s kriptosredstvi o nameravani pridobitvi ali odsvojitvi kvalificiranega deleža v ponudniku storitev v zvezi s kriptosredstvi ali o povečanju ali zmanjšanju takega kvalificiranega deleža iz 83. člena Uredbe 2023/1114/EU ter z vsebino iz 83. člena Uredbe 2023/1114/EU,</w:t>
      </w:r>
    </w:p>
    <w:p>
      <w:pPr>
        <w:spacing w:before="210" w:after="210"/>
        <w:ind w:left="0" w:right="0"/>
        <w:rPr>
          <w:rFonts w:ascii="Arial" w:cs="Arial"/>
          <w:sz w:val="21"/>
        </w:rPr>
      </w:pPr>
      <w:r>
        <w:rPr>
          <w:rFonts w:ascii="Arial" w:cs="Arial"/>
        </w:rPr>
        <w:t>41. ne razkriva potrebnih notranjih informacij (88. člen Uredbe 2023/1114/EU),</w:t>
      </w:r>
    </w:p>
    <w:p>
      <w:pPr>
        <w:spacing w:before="210" w:after="210"/>
        <w:ind w:left="0" w:right="0"/>
        <w:rPr>
          <w:rFonts w:ascii="Arial" w:cs="Arial"/>
          <w:sz w:val="21"/>
        </w:rPr>
      </w:pPr>
      <w:r>
        <w:rPr>
          <w:rFonts w:ascii="Arial" w:cs="Arial"/>
        </w:rPr>
        <w:t>42. ne spoštuje prepovedi trgovanja na podlagi notranjih informacij (89. ali 90. člen Uredbe 2023/1114/EU),</w:t>
      </w:r>
    </w:p>
    <w:p>
      <w:pPr>
        <w:spacing w:before="210" w:after="210"/>
        <w:ind w:left="0" w:right="0"/>
        <w:rPr>
          <w:rFonts w:ascii="Arial" w:cs="Arial"/>
          <w:sz w:val="21"/>
        </w:rPr>
      </w:pPr>
      <w:r>
        <w:rPr>
          <w:rFonts w:ascii="Arial" w:cs="Arial"/>
        </w:rPr>
        <w:t>43. ne spoštuje prepovedi tržne manipulacije v skladu z 91. členom Uredbe 2023/1114/EU,</w:t>
      </w:r>
    </w:p>
    <w:p>
      <w:pPr>
        <w:spacing w:before="210" w:after="210"/>
        <w:ind w:left="0" w:right="0"/>
        <w:rPr>
          <w:rFonts w:ascii="Arial" w:cs="Arial"/>
          <w:sz w:val="21"/>
        </w:rPr>
      </w:pPr>
      <w:r>
        <w:rPr>
          <w:rFonts w:ascii="Arial" w:cs="Arial"/>
        </w:rPr>
        <w:t>44. nima vzpostavljenih učinkovitih ureditev, sistemov in postopkov za preprečevanje in odkrivanje zlorab trga v skladu z 92. členom Uredbe 2023/1114/EU ter ne poroča pristojnemu organu v skladu z 92. členom Uredbe 2023/1114/EU,</w:t>
      </w:r>
    </w:p>
    <w:p>
      <w:pPr>
        <w:spacing w:before="210" w:after="210"/>
        <w:ind w:left="0" w:right="0"/>
        <w:rPr>
          <w:rFonts w:ascii="Arial" w:cs="Arial"/>
          <w:sz w:val="21"/>
        </w:rPr>
      </w:pPr>
      <w:r>
        <w:rPr>
          <w:rFonts w:ascii="Arial" w:cs="Arial"/>
        </w:rPr>
        <w:t>45. pristojnemu organu ne pošilja poročil, pojasnil, podatkov in dokumentacije ali ne omogoča pregleda poslovanja v skladu s prvim in tretjim odstavkom 94. člena Uredbe 2023/1114/EU.</w:t>
      </w:r>
    </w:p>
    <w:p>
      <w:pPr>
        <w:spacing w:before="210" w:after="210"/>
        <w:ind w:left="0" w:right="0"/>
        <w:rPr>
          <w:rFonts w:ascii="Arial" w:cs="Arial"/>
          <w:sz w:val="21"/>
        </w:rPr>
      </w:pPr>
      <w:r>
        <w:rPr>
          <w:rFonts w:ascii="Arial" w:cs="Arial"/>
        </w:rPr>
        <w:t>(2) Z globo od 10.000 do 500.000 eurov se za prekršek kaznuje pravna oseba, ki se po zakonu, ki ureja gospodarske družbe, šteje za srednjo ali veliko gospodarsko družbo, ki stori prekršek iz prejšnjega odstavka.</w:t>
      </w:r>
    </w:p>
    <w:p>
      <w:pPr>
        <w:spacing w:before="210" w:after="210"/>
        <w:ind w:left="0" w:right="0"/>
        <w:rPr>
          <w:rFonts w:ascii="Arial" w:cs="Arial"/>
          <w:sz w:val="21"/>
        </w:rPr>
      </w:pPr>
      <w:r>
        <w:rPr>
          <w:rFonts w:ascii="Arial" w:cs="Arial"/>
        </w:rPr>
        <w:t>(3) Z globo od 2.500 do 150.000 eurov se za prekršek kaznuje samostojni podjetnik posameznik in posameznik, ki samostojno opravlja dejavnost, ki stori prekršek iz prvega odstavka tega člena.</w:t>
      </w:r>
    </w:p>
    <w:p>
      <w:pPr>
        <w:spacing w:before="210" w:after="210"/>
        <w:ind w:left="0" w:right="0"/>
        <w:rPr>
          <w:rFonts w:ascii="Arial" w:cs="Arial"/>
          <w:sz w:val="21"/>
        </w:rPr>
      </w:pPr>
      <w:r>
        <w:rPr>
          <w:rFonts w:ascii="Arial" w:cs="Arial"/>
        </w:rPr>
        <w:t>(4) Z globo od 1.250 do 10.000 eurov se za prekršek kaznuje odgovorna oseba pravne osebe, odgovorna oseba samostojnega podjetnika posameznika oziroma posameznika, ki samostojno opravlja dejavnost, ki stori prekršek iz prvega odstavka tega člena.</w:t>
      </w:r>
    </w:p>
    <w:p>
      <w:pPr>
        <w:spacing w:before="210" w:after="210"/>
        <w:ind w:left="0" w:right="0"/>
        <w:rPr>
          <w:rFonts w:ascii="Arial" w:cs="Arial"/>
          <w:sz w:val="21"/>
        </w:rPr>
      </w:pPr>
      <w:r>
        <w:rPr>
          <w:rFonts w:ascii="Arial" w:cs="Arial"/>
        </w:rPr>
        <w:t>(5) Z globo od 2.500 do 5.000 eurov se za prekršek kaznuje posameznik, ki stori prekršek iz prvega odstavka tega člena.</w:t>
      </w:r>
    </w:p>
    <w:p>
      <w:pPr>
        <w:pStyle w:val="center"/>
        <w:spacing w:before="210" w:after="210"/>
        <w:ind w:left="0" w:right="0"/>
        <w:rPr>
          <w:rFonts w:ascii="Arial" w:cs="Arial"/>
          <w:b/>
          <w:sz w:val="21"/>
        </w:rPr>
      </w:pPr>
      <w:r>
        <w:rPr>
          <w:rFonts w:ascii="Arial" w:cs="Arial"/>
          <w:b/>
          <w:sz w:val="21"/>
        </w:rPr>
        <w:t>16. člen</w:t>
      </w:r>
    </w:p>
    <w:p>
      <w:pPr>
        <w:pStyle w:val="center"/>
        <w:spacing w:before="210" w:after="210"/>
        <w:ind w:left="0" w:right="0"/>
        <w:rPr>
          <w:rFonts w:ascii="Arial" w:cs="Arial"/>
          <w:b/>
          <w:sz w:val="21"/>
        </w:rPr>
      </w:pPr>
      <w:r>
        <w:rPr>
          <w:rFonts w:ascii="Arial" w:cs="Arial"/>
          <w:b/>
          <w:sz w:val="21"/>
        </w:rPr>
        <w:t>(hujši prekrški)</w:t>
      </w:r>
    </w:p>
    <w:p>
      <w:pPr>
        <w:spacing w:before="210" w:after="210"/>
        <w:ind w:left="0" w:right="0"/>
        <w:rPr>
          <w:rFonts w:ascii="Arial" w:cs="Arial"/>
          <w:sz w:val="21"/>
        </w:rPr>
      </w:pPr>
      <w:r>
        <w:rPr>
          <w:rFonts w:ascii="Arial" w:cs="Arial"/>
        </w:rPr>
        <w:t>(1) Kadar je narava prekrška iz 1. do 9. točke prvega odstavka prejšnjega člena posebno huda zaradi višine povzročene škode oziroma višine pridobljene protipravne premoženjske koristi ali zaradi storilčevega naklepa oziroma njegovega namena koristoljubnosti, se pravna oseba kaznuje z globo do:</w:t>
      </w:r>
    </w:p>
    <w:p>
      <w:pPr>
        <w:spacing w:before="210" w:after="210"/>
        <w:ind w:left="0" w:right="0"/>
        <w:rPr>
          <w:rFonts w:ascii="Arial" w:cs="Arial"/>
          <w:sz w:val="21"/>
        </w:rPr>
      </w:pPr>
      <w:r>
        <w:rPr>
          <w:rFonts w:ascii="Arial" w:cs="Arial"/>
        </w:rPr>
        <w:t>– 5.000.000 eurov oziroma do 3 % skupnega letnega prometa te pravne osebe v predhodnem poslovnem letu oziroma kadar je pravna oseba podružnica nadrejene družbe, se upošteva promet, razviden iz konsolidiranih računovodskih izkazov končne nadrejene družbe v predhodnem poslovnem letu, ali</w:t>
      </w:r>
    </w:p>
    <w:p>
      <w:pPr>
        <w:spacing w:before="210" w:after="210"/>
        <w:ind w:left="0" w:right="0"/>
        <w:rPr>
          <w:rFonts w:ascii="Arial" w:cs="Arial"/>
          <w:sz w:val="21"/>
        </w:rPr>
      </w:pPr>
      <w:r>
        <w:rPr>
          <w:rFonts w:ascii="Arial" w:cs="Arial"/>
        </w:rPr>
        <w:t>– dvakratnega zneska pridobljenega dobička ali preprečene izgube zaradi kršitve, kadar ju je mogoče določiti, če ta znesek presega najvišji znesek iz prejšnje alineje.</w:t>
      </w:r>
    </w:p>
    <w:p>
      <w:pPr>
        <w:spacing w:before="210" w:after="210"/>
        <w:ind w:left="0" w:right="0"/>
        <w:rPr>
          <w:rFonts w:ascii="Arial" w:cs="Arial"/>
          <w:sz w:val="21"/>
        </w:rPr>
      </w:pPr>
      <w:r>
        <w:rPr>
          <w:rFonts w:ascii="Arial" w:cs="Arial"/>
        </w:rPr>
        <w:t>(2 Kadar je narava prekrška iz 10. do 36. točke prvega odstavka prejšnjega člena posebno huda zaradi višine povzročene škode oziroma višine pridobljene protipravne premoženjske koristi ali zaradi storilčevega naklepa oziroma njegovega namena koristoljubnosti, se pravna oseba kaznuje z globo do:</w:t>
      </w:r>
    </w:p>
    <w:p>
      <w:pPr>
        <w:spacing w:before="210" w:after="210"/>
        <w:ind w:left="0" w:right="0"/>
        <w:rPr>
          <w:rFonts w:ascii="Arial" w:cs="Arial"/>
          <w:sz w:val="21"/>
        </w:rPr>
      </w:pPr>
      <w:r>
        <w:rPr>
          <w:rFonts w:ascii="Arial" w:cs="Arial"/>
        </w:rPr>
        <w:t>– 5.000.000 eurov oziroma do 12,5 % skupnega letnega prometa te pravne osebe v predhodnem poslovnem letu oziroma kadar je pravna oseba podružnica nadrejene družbe, se upošteva promet, razviden iz konsolidiranih računovodskih izkazov končne nadrejene družbe v predhodnem poslovnem letu, ali</w:t>
      </w:r>
    </w:p>
    <w:p>
      <w:pPr>
        <w:spacing w:before="210" w:after="210"/>
        <w:ind w:left="0" w:right="0"/>
        <w:rPr>
          <w:rFonts w:ascii="Arial" w:cs="Arial"/>
          <w:sz w:val="21"/>
        </w:rPr>
      </w:pPr>
      <w:r>
        <w:rPr>
          <w:rFonts w:ascii="Arial" w:cs="Arial"/>
        </w:rPr>
        <w:t>– dvakratnega zneska pridobljenega dobička ali preprečene izgube zaradi kršitve, kadar ju je mogoče določiti, če ta znesek presega najvišji znesek iz prejšnje alineje.</w:t>
      </w:r>
    </w:p>
    <w:p>
      <w:pPr>
        <w:spacing w:before="210" w:after="210"/>
        <w:ind w:left="0" w:right="0"/>
        <w:rPr>
          <w:rFonts w:ascii="Arial" w:cs="Arial"/>
          <w:sz w:val="21"/>
        </w:rPr>
      </w:pPr>
      <w:r>
        <w:rPr>
          <w:rFonts w:ascii="Arial" w:cs="Arial"/>
        </w:rPr>
        <w:t>(3) Kadar je narava prekrška iz 37. do 40. točke prvega odstavka prejšnjega člena posebno huda zaradi višine povzročene škode oziroma višine pridobljene protipravne premoženjske koristi ali zaradi storilčevega naklepa oziroma njegovega namena koristoljubnosti, se pravna oseba kaznuje z globo do:</w:t>
      </w:r>
    </w:p>
    <w:p>
      <w:pPr>
        <w:spacing w:before="210" w:after="210"/>
        <w:ind w:left="0" w:right="0"/>
        <w:rPr>
          <w:rFonts w:ascii="Arial" w:cs="Arial"/>
          <w:sz w:val="21"/>
        </w:rPr>
      </w:pPr>
      <w:r>
        <w:rPr>
          <w:rFonts w:ascii="Arial" w:cs="Arial"/>
        </w:rPr>
        <w:t>– 5.000.000 eurov oziroma do 5 % skupnega letnega prometa te pravne osebe v predhodnem poslovnem letu oziroma kadar je pravna oseba podružnica nadrejene družbe, se upošteva promet, razviden iz konsolidiranih računovodskih izkazov končne nadrejene družbe v predhodnem poslovnem letu, ali</w:t>
      </w:r>
    </w:p>
    <w:p>
      <w:pPr>
        <w:spacing w:before="210" w:after="210"/>
        <w:ind w:left="0" w:right="0"/>
        <w:rPr>
          <w:rFonts w:ascii="Arial" w:cs="Arial"/>
          <w:sz w:val="21"/>
        </w:rPr>
      </w:pPr>
      <w:r>
        <w:rPr>
          <w:rFonts w:ascii="Arial" w:cs="Arial"/>
        </w:rPr>
        <w:t>– dvakratnega zneska pridobljenega dobička ali preprečene izgube zaradi kršitve, kadar ju je mogoče določiti, če ta znesek presega najvišji znesek iz prejšnje alineje.</w:t>
      </w:r>
    </w:p>
    <w:p>
      <w:pPr>
        <w:spacing w:before="210" w:after="210"/>
        <w:ind w:left="0" w:right="0"/>
        <w:rPr>
          <w:rFonts w:ascii="Arial" w:cs="Arial"/>
          <w:sz w:val="21"/>
        </w:rPr>
      </w:pPr>
      <w:r>
        <w:rPr>
          <w:rFonts w:ascii="Arial" w:cs="Arial"/>
        </w:rPr>
        <w:t>(4) Kadar je narava prekrška iz 41. točke prvega odstavka prejšnjega člena posebno huda zaradi višine povzročene škode oziroma višine pridobljene protipravne premoženjske koristi ali zaradi storilčevega naklepa oziroma njegovega namena koristoljubnosti, se pravna oseba kaznuje z globo do:</w:t>
      </w:r>
    </w:p>
    <w:p>
      <w:pPr>
        <w:spacing w:before="210" w:after="210"/>
        <w:ind w:left="0" w:right="0"/>
        <w:rPr>
          <w:rFonts w:ascii="Arial" w:cs="Arial"/>
          <w:sz w:val="21"/>
        </w:rPr>
      </w:pPr>
      <w:r>
        <w:rPr>
          <w:rFonts w:ascii="Arial" w:cs="Arial"/>
        </w:rPr>
        <w:t>– 2.500.000 eurov oziroma do 2 % skupnega letnega prometa te pravne osebe v predhodnem poslovnem letu oziroma kadar je pravna oseba podružnica nadrejene družbe, se upošteva promet, razviden iz konsolidiranih računovodskih izkazov končne nadrejene družbe v predhodnem poslovnem letu, ali</w:t>
      </w:r>
    </w:p>
    <w:p>
      <w:pPr>
        <w:spacing w:before="210" w:after="210"/>
        <w:ind w:left="0" w:right="0"/>
        <w:rPr>
          <w:rFonts w:ascii="Arial" w:cs="Arial"/>
          <w:sz w:val="21"/>
        </w:rPr>
      </w:pPr>
      <w:r>
        <w:rPr>
          <w:rFonts w:ascii="Arial" w:cs="Arial"/>
        </w:rPr>
        <w:t>– trikratnega zneska pridobljenega dobička ali preprečene izgube zaradi kršitve, kadar ju je mogoče določiti, če ta znesek presega najvišji znesek iz prejšnje alineje.</w:t>
      </w:r>
    </w:p>
    <w:p>
      <w:pPr>
        <w:spacing w:before="210" w:after="210"/>
        <w:ind w:left="0" w:right="0"/>
        <w:rPr>
          <w:rFonts w:ascii="Arial" w:cs="Arial"/>
          <w:sz w:val="21"/>
        </w:rPr>
      </w:pPr>
      <w:r>
        <w:rPr>
          <w:rFonts w:ascii="Arial" w:cs="Arial"/>
        </w:rPr>
        <w:t>(5) Kadar je narava prekrška iz 42. do 44. točke prvega odstavka prejšnjega člena posebno huda zaradi višine povzročene škode oziroma višine pridobljene protipravne premoženjske koristi ali zaradi storilčevega naklepa oziroma njegovega namena koristoljubnosti, se pravna oseba kaznuje z globo do:</w:t>
      </w:r>
    </w:p>
    <w:p>
      <w:pPr>
        <w:spacing w:before="210" w:after="210"/>
        <w:ind w:left="0" w:right="0"/>
        <w:rPr>
          <w:rFonts w:ascii="Arial" w:cs="Arial"/>
          <w:sz w:val="21"/>
        </w:rPr>
      </w:pPr>
      <w:r>
        <w:rPr>
          <w:rFonts w:ascii="Arial" w:cs="Arial"/>
        </w:rPr>
        <w:t>– 15.000.000 eurov oziroma do 15 % skupnega letnega prometa te pravne osebe v predhodnem poslovnem letu oziroma kadar je pravna oseba podružnica nadrejene družbe, se upošteva promet, ki je razviden iz konsolidiranih računovodskih izkazov končne nadrejene družbe v predhodnem poslovnem letu, ali</w:t>
      </w:r>
    </w:p>
    <w:p>
      <w:pPr>
        <w:spacing w:before="210" w:after="210"/>
        <w:ind w:left="0" w:right="0"/>
        <w:rPr>
          <w:rFonts w:ascii="Arial" w:cs="Arial"/>
          <w:sz w:val="21"/>
        </w:rPr>
      </w:pPr>
      <w:r>
        <w:rPr>
          <w:rFonts w:ascii="Arial" w:cs="Arial"/>
        </w:rPr>
        <w:t>– trikratnega zneska pridobljenega dobička ali preprečene izgube zaradi kršitve, kadar ju je mogoče določiti, če ta znesek presega najvišji znesek iz prejšnje alineje.</w:t>
      </w:r>
    </w:p>
    <w:p>
      <w:pPr>
        <w:spacing w:before="210" w:after="210"/>
        <w:ind w:left="0" w:right="0"/>
        <w:rPr>
          <w:rFonts w:ascii="Arial" w:cs="Arial"/>
          <w:sz w:val="21"/>
        </w:rPr>
      </w:pPr>
      <w:r>
        <w:rPr>
          <w:rFonts w:ascii="Arial" w:cs="Arial"/>
        </w:rPr>
        <w:t>(6) Kadar je narava prekrška iz 1. do 40. točke prvega odstavka prejšnjega člena posebno huda zaradi višine povzročene škode oziroma višine pridobljene protipravne premoženjske koristi ali zaradi storilčevega naklepa oziroma njegovega namena koristoljubnosti, se z globo do višine 700.000 eurov oziroma do dvakratnega zneska koristi ali preprečene izgube, pridobljene s kršitvijo, kadar je to korist mogoče določiti, če ta znesek presega 700.000 eurov, za prekršek kaznuje oseba iz tretjega, četrtega ali petega odstavka prejšnjega člena.</w:t>
      </w:r>
    </w:p>
    <w:p>
      <w:pPr>
        <w:spacing w:before="210" w:after="210"/>
        <w:ind w:left="0" w:right="0"/>
        <w:rPr>
          <w:rFonts w:ascii="Arial" w:cs="Arial"/>
          <w:sz w:val="21"/>
        </w:rPr>
      </w:pPr>
      <w:r>
        <w:rPr>
          <w:rFonts w:ascii="Arial" w:cs="Arial"/>
        </w:rPr>
        <w:t>(7) Kadar je narava prekrška iz 41. točke prvega odstavka prejšnjega člena posebno huda zaradi višine povzročene škode oziroma višine pridobljene protipravne premoženjske koristi ali zaradi storilčevega naklepa oziroma njegovega namena koristoljubnosti, se za prekršek kaznuje oseba iz tretjega, četrtega ali petega odstavka prejšnjega člena z globo do:</w:t>
      </w:r>
    </w:p>
    <w:p>
      <w:pPr>
        <w:spacing w:before="210" w:after="210"/>
        <w:ind w:left="0" w:right="0"/>
        <w:rPr>
          <w:rFonts w:ascii="Arial" w:cs="Arial"/>
          <w:sz w:val="21"/>
        </w:rPr>
      </w:pPr>
      <w:r>
        <w:rPr>
          <w:rFonts w:ascii="Arial" w:cs="Arial"/>
        </w:rPr>
        <w:t>– 1.000.000 eurov ali</w:t>
      </w:r>
    </w:p>
    <w:p>
      <w:pPr>
        <w:spacing w:before="210" w:after="210"/>
        <w:ind w:left="0" w:right="0"/>
        <w:rPr>
          <w:rFonts w:ascii="Arial" w:cs="Arial"/>
          <w:sz w:val="21"/>
        </w:rPr>
      </w:pPr>
      <w:r>
        <w:rPr>
          <w:rFonts w:ascii="Arial" w:cs="Arial"/>
        </w:rPr>
        <w:t>– trikratnega zneska pridobljenega dobička ali preprečene izgube zaradi kršitve, kadar ju je mogoče določiti, če ta znesek presega najvišji znesek iz prejšnje alineje.</w:t>
      </w:r>
    </w:p>
    <w:p>
      <w:pPr>
        <w:spacing w:before="210" w:after="210"/>
        <w:ind w:left="0" w:right="0"/>
        <w:rPr>
          <w:rFonts w:ascii="Arial" w:cs="Arial"/>
          <w:sz w:val="21"/>
        </w:rPr>
      </w:pPr>
      <w:r>
        <w:rPr>
          <w:rFonts w:ascii="Arial" w:cs="Arial"/>
        </w:rPr>
        <w:t>(8) Kadar je narava prekrška iz 42. do 44. točke prvega odstavka prejšnjega člena posebno huda zaradi višine povzročene škode oziroma višine pridobljene protipravne premoženjske koristi ali zaradi storilčevega naklepa oziroma njegovega namena koristoljubnosti, se za prekršek kaznuje oseba iz tretjega, četrtega ali petega odstavka prejšnjega člena z globo do:</w:t>
      </w:r>
    </w:p>
    <w:p>
      <w:pPr>
        <w:spacing w:before="210" w:after="210"/>
        <w:ind w:left="0" w:right="0"/>
        <w:rPr>
          <w:rFonts w:ascii="Arial" w:cs="Arial"/>
          <w:sz w:val="21"/>
        </w:rPr>
      </w:pPr>
      <w:r>
        <w:rPr>
          <w:rFonts w:ascii="Arial" w:cs="Arial"/>
        </w:rPr>
        <w:t>– 5.000.000 eurov ali</w:t>
      </w:r>
    </w:p>
    <w:p>
      <w:pPr>
        <w:spacing w:before="210" w:after="210"/>
        <w:ind w:left="0" w:right="0"/>
        <w:rPr>
          <w:rFonts w:ascii="Arial" w:cs="Arial"/>
          <w:sz w:val="21"/>
        </w:rPr>
      </w:pPr>
      <w:r>
        <w:rPr>
          <w:rFonts w:ascii="Arial" w:cs="Arial"/>
        </w:rPr>
        <w:t>– trikratnega zneska pridobljenega dobička ali preprečene izgube zaradi kršitve, kadar ju je mogoče določiti, če ta znesek presega najvišji znesek iz prejšnje alineje.</w:t>
      </w:r>
    </w:p>
    <w:p>
      <w:pPr>
        <w:pStyle w:val="center"/>
        <w:spacing w:before="210" w:after="210"/>
        <w:ind w:left="0" w:right="0"/>
        <w:rPr>
          <w:rFonts w:ascii="Arial" w:cs="Arial"/>
          <w:b/>
          <w:sz w:val="21"/>
        </w:rPr>
      </w:pPr>
      <w:r>
        <w:rPr>
          <w:rFonts w:ascii="Arial" w:cs="Arial"/>
          <w:b/>
          <w:sz w:val="21"/>
        </w:rPr>
        <w:t>17. člen</w:t>
      </w:r>
    </w:p>
    <w:p>
      <w:pPr>
        <w:pStyle w:val="center"/>
        <w:spacing w:before="210" w:after="210"/>
        <w:ind w:left="0" w:right="0"/>
        <w:rPr>
          <w:rFonts w:ascii="Arial" w:cs="Arial"/>
          <w:b/>
          <w:sz w:val="21"/>
        </w:rPr>
      </w:pPr>
      <w:r>
        <w:rPr>
          <w:rFonts w:ascii="Arial" w:cs="Arial"/>
          <w:b/>
          <w:sz w:val="21"/>
        </w:rPr>
        <w:t>(nadzorni ukrepi in sankcije za prekrške)</w:t>
      </w:r>
    </w:p>
    <w:p>
      <w:pPr>
        <w:spacing w:before="210" w:after="210"/>
        <w:ind w:left="0" w:right="0"/>
        <w:rPr>
          <w:rFonts w:ascii="Arial" w:cs="Arial"/>
          <w:sz w:val="21"/>
        </w:rPr>
      </w:pPr>
      <w:r>
        <w:rPr>
          <w:rFonts w:ascii="Arial" w:cs="Arial"/>
        </w:rPr>
        <w:t>Poleg splošnih pravil za odmero sankcije po zakonu, ki ureja prekrške, se pri odločanju pristojnega organa pri določanju o višini izrečene sankcije za prekršek upošteva tudi 112. člen Uredbe 2023/1114/EU.</w:t>
      </w:r>
    </w:p>
    <w:p/>
    <w:p>
      <w:r>
        <w:br w:type="page"/>
      </w:r>
    </w:p>
    <w:p>
      <w:pPr>
        <w:pStyle w:val="Odebeljeno"/>
        <w:spacing w:after="0" w:line="260" w:lineRule="auto"/>
      </w:pPr>
      <w:r>
        <w:t>V.</w:t>
      </w:r>
      <w:r>
        <w:tab/>
      </w:r>
      <w:r>
        <w:t>PREDLOG ZA OBRAVNAVO PREDLOGA ZAKONA PO NUJNEM ALI SKRAJŠANEM POSTOPKU</w:t>
      </w:r>
    </w:p>
    <w:p>
      <w:pPr>
        <w:spacing w:after="0" w:line="260" w:lineRule="auto"/>
        <w:rPr>
          <w:rFonts w:ascii="Arial" w:hAnsi="Arial" w:cs="Arial"/>
        </w:rPr>
      </w:pPr>
    </w:p>
    <w:p>
      <w:pPr>
        <w:spacing w:after="0" w:line="240" w:lineRule="auto"/>
        <w:jc w:val="both"/>
      </w:pPr>
      <w:r>
        <w:t>Vlada Republike Slovenije predlaga, da se predlog zakona v Državnem zboru obravnava po skrajšanem postopku v skladu s prvim odstavkom 142. člena Poslovnika državnega zbora (Uradni list RS, št. 92/07 – uradno prečiščeno besedilo, 105/10, 80/13, 38/17, 46/20, 105/21 – odl. US, 111/21, 58/23 in 35/24), saj gre za manj zahtevne spremembe in dopolnitve zakona. Predlog zakona ne posega v temeljno zasnovo veljavnega zakona, temveč odpravlja nomotehnične pomanjkljivosti in zagotavlja skladnost prekrškovnih določb z zahtevami prava Evropske unije.</w:t>
      </w:r>
    </w:p>
    <w:p>
      <w:r>
        <w:br w:type="page"/>
      </w:r>
    </w:p>
    <w:p>
      <w:pPr>
        <w:pStyle w:val="Odebeljeno"/>
        <w:spacing w:after="0" w:line="260" w:lineRule="auto"/>
      </w:pPr>
      <w:r>
        <w:t>VI.</w:t>
      </w:r>
      <w:r>
        <w:tab/>
      </w:r>
      <w:r>
        <w:t>PRILOGE</w:t>
      </w:r>
    </w:p>
    <w:p>
      <w:pPr>
        <w:spacing w:after="0" w:line="260" w:lineRule="auto"/>
        <w:rPr>
          <w:rFonts w:ascii="Arial" w:hAnsi="Arial" w:cs="Arial"/>
        </w:rPr>
      </w:pPr>
    </w:p>
    <w:p>
      <w:pPr>
        <w:spacing w:after="0" w:line="260" w:lineRule="auto"/>
      </w:pPr>
      <w:r>
        <w:t>Priloge niso priložene.</w:t>
      </w:r>
    </w:p>
    <w:sectPr>
      <w:footerReference w:type="default" r:id="rId5"/>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rPr>
        <w:i/>
        <w:sz w:val="16"/>
      </w:rPr>
      <w:t>Ustvarjeno v MOPED-DOCS, 13. 10. 2026 16:19:54, verzija 24</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noPunctuationKerning/>
  <w:characterSpacingControl w:val="doNotCompress"/>
  <w:compat>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data.europa.eu/eli/reg/2023/1114/oj" TargetMode="Externa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