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SPREMEMBA TARIFE ZA IZVAJANJE STORITEV JAVNE AGENCIJE ZA CIVILNO LETALSTVO REPUBLIKE SLOVENIJE</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2026-2440-0005</w:t>
      </w:r>
    </w:p>
    <w:p>
      <w:r>
        <w:br w:type="page"/>
      </w:r>
    </w:p>
    <w:p>
      <w:pPr>
        <w:pStyle w:val="Odebeljeno"/>
        <w:spacing w:after="0" w:line="260" w:lineRule="auto"/>
      </w:pPr>
      <w:r>
        <w:t>I.</w:t>
      </w:r>
      <w:r>
        <w:tab/>
      </w:r>
      <w:r>
        <w:t>UVOD</w:t>
      </w:r>
    </w:p>
    <w:p>
      <w:pPr>
        <w:pStyle w:val="Odebeljeno"/>
        <w:spacing w:after="0" w:line="260" w:lineRule="auto"/>
      </w:pPr>
      <w:r>
        <w:t>1.</w:t>
      </w:r>
      <w:r>
        <w:tab/>
      </w:r>
      <w:r>
        <w:t>Razlogi in podlage za izdajo</w:t>
      </w:r>
    </w:p>
    <w:p>
      <w:pPr>
        <w:spacing w:after="0" w:line="260" w:lineRule="auto"/>
        <w:rPr>
          <w:rFonts w:ascii="Arial" w:hAnsi="Arial" w:cs="Arial"/>
        </w:rPr>
      </w:pPr>
    </w:p>
    <w:p>
      <w:pPr>
        <w:spacing w:after="0" w:line="260" w:lineRule="auto"/>
      </w:pPr>
      <w:r>
        <w:t>Pravna podlaga:</w:t>
      </w:r>
    </w:p>
    <w:p>
      <w:pPr>
        <w:spacing w:after="0" w:line="240" w:lineRule="auto"/>
        <w:jc w:val="both"/>
      </w:pPr>
      <w:r>
        <w:t xml:space="preserve">Četrti odstavek 244. člena Zakona o letalstvu (Uradni list RS, št. 85/24) določa, da se povračilo stroškov agencije zaračunava na podlagi tarife, ki jo po predhodnem soglasju vlade izda agencija. Tarifa se oblikuje na način, kot se oblikujejo takse in dajatve, ki jih obračunava EASA (tj. Agencija Evropske unije za varnost v letalstvu). </w:t>
      </w:r>
    </w:p>
    <w:p>
      <w:pPr>
        <w:spacing w:after="0" w:line="240" w:lineRule="auto"/>
        <w:jc w:val="both"/>
      </w:pPr>
      <w:r>
        <w:t xml:space="preserve"> </w:t>
      </w:r>
    </w:p>
    <w:p>
      <w:pPr>
        <w:spacing w:after="0" w:line="240" w:lineRule="auto"/>
        <w:jc w:val="both"/>
      </w:pPr>
      <w:r>
        <w:t>Predlog spremembe tarife se je pripravil v ob upoštevanju 40. in 41. člena Zakona o javnih agencijah, ki določa, da se višina plačil za storitve, ki jih opravlja javna agencija, določi glede na potrebno pokrivanje stroškov posamezne storitve javne agencije ter glede na načrtovane cilje in naloge, določene v programu dela javne agencije. Tarifa vsebuje posebno obrazložitev, v kateri se navede razloge za sprejem ali spremembo te tarife ter cilje, ki bi jih na ta način dosegli.</w:t>
      </w:r>
    </w:p>
    <w:p>
      <w:pPr>
        <w:spacing w:after="0" w:line="260" w:lineRule="auto"/>
        <w:rPr>
          <w:rFonts w:ascii="Arial" w:hAnsi="Arial" w:cs="Arial"/>
        </w:rPr>
      </w:pPr>
    </w:p>
    <w:p>
      <w:pPr>
        <w:spacing w:after="0" w:line="260" w:lineRule="auto"/>
      </w:pPr>
      <w:r>
        <w:t>Rok za izdajo:</w:t>
      </w:r>
    </w:p>
    <w:p>
      <w:pPr>
        <w:spacing w:after="0" w:line="240" w:lineRule="auto"/>
        <w:jc w:val="both"/>
      </w:pPr>
      <w:r>
        <w:t xml:space="preserve">ZLet-1 nalaga izdajo tarife. ZJA določa postopek spremembe tarife. Izdaja se sprememba tarife. </w:t>
      </w:r>
    </w:p>
    <w:p>
      <w:pPr>
        <w:spacing w:after="0" w:line="260" w:lineRule="auto"/>
        <w:rPr>
          <w:rFonts w:ascii="Arial" w:hAnsi="Arial" w:cs="Arial"/>
        </w:rPr>
      </w:pPr>
    </w:p>
    <w:p>
      <w:pPr>
        <w:spacing w:after="0" w:line="260" w:lineRule="auto"/>
      </w:pPr>
      <w:r>
        <w:t>Glavni razlogi za izdajo:</w:t>
      </w:r>
    </w:p>
    <w:p>
      <w:pPr>
        <w:spacing w:after="0" w:line="240" w:lineRule="auto"/>
        <w:jc w:val="both"/>
      </w:pPr>
      <w:r>
        <w:t xml:space="preserve">Agencija se financira s prihodki iz proračuna Republike Slovenije, prihodki iz pristojbin in povračila stroškov, ki jih v skladu s tarifo vplačajo prosilci in imetniki certifikatov in drugih listin, ki jih izdaja agencija, s prihodki iz povračil za izvedene certifikacijske postopke, druge izdane posamične pravne akte in izvedene naloge stalnega nadzora, ki jih agencija pogodbeno opravi za potrebe Evropske agencije za varnost v letalstvu (EASA) ali druge pristojne letalske organe, prihodki od drugih dejavnosti. Iz proračuna se financirajo splošne varnostne naloge in programi agencije, izvajanje strokovnih in razvojnih nalog, mednarodno sodelovanje, nadzor nad izvajanjem letalskih predpisov in prekrškovni postopki ter druge naloge, ki jih agencija izvaja za potrebe drugih državnih organov. Iz proračuna se financirajo tudi certifikacijske in podobne naloge, če je to potrebno zaradi vzdrževanja potrebnega osebja in usposobljenosti agencije, kadar zaradi premajhnega obsega prihodkov iz pristojbin in povračila stroškov ni mogoče zagotovi stalne usposobljenosti agencije za izvajanje predpisanih nalog. </w:t>
      </w:r>
    </w:p>
    <w:p>
      <w:pPr>
        <w:spacing w:after="0" w:line="240" w:lineRule="auto"/>
        <w:jc w:val="both"/>
      </w:pPr>
      <w:r>
        <w:t xml:space="preserve"> </w:t>
      </w:r>
    </w:p>
    <w:p>
      <w:pPr>
        <w:spacing w:after="0" w:line="240" w:lineRule="auto"/>
        <w:jc w:val="both"/>
      </w:pPr>
      <w:r>
        <w:t xml:space="preserve">S prihodki od pristojbin in povračil stroškov se financirajo naloge odločanja v upravnih zadevah oziroma certificiranja, naloge stalnega nadzora ter druge naloge, povezane z izdajanjem listin in stalnim nadzorom nad izvajalci navigacijskih služb zračnega prometa iz pristojnosti agencije. Večji del prihodkov za izvajanje nalog agencija pridobi s prihodki iz pristojbin in povračil stroškov, ki jih v skladu s tarifo vplačajo prosilci in imetniki certifikatov in drugih listin, ki jih izdaja agencija, prihodki iz povračil za izvedene certifikacijske postopke, druge izdane posamične pravne akte in izvedene naloge stalnega nadzora, ki jih agencija pogodbeno opravi za potrebe EASA ali druge pristojne letalske organe, ter s prihodki od lastnih dejavnosti. </w:t>
      </w:r>
    </w:p>
    <w:p>
      <w:pPr>
        <w:spacing w:after="0" w:line="240" w:lineRule="auto"/>
        <w:jc w:val="both"/>
      </w:pPr>
      <w:r>
        <w:t xml:space="preserve"> </w:t>
      </w:r>
    </w:p>
    <w:p>
      <w:pPr>
        <w:spacing w:after="0" w:line="240" w:lineRule="auto"/>
        <w:jc w:val="both"/>
      </w:pPr>
      <w:r>
        <w:t xml:space="preserve">Tarife se oblikujejo na enak način, kot se oblikujejo takse in dajatve, ki jih obračunava EASA v  skladu z Izvedbeno uredbo Komisije (EU) 2025/2347 z dne o taksah in pristojbinah, ki jih zaračunava Agencija Evropske unije za varnost v letalstvu (UL L št. 2025/2347 z dne 24. 11. 2025). </w:t>
      </w:r>
    </w:p>
    <w:p>
      <w:pPr>
        <w:spacing w:after="0" w:line="240" w:lineRule="auto"/>
        <w:jc w:val="both"/>
      </w:pPr>
      <w:r>
        <w:t xml:space="preserve"> </w:t>
      </w:r>
    </w:p>
    <w:p>
      <w:pPr>
        <w:spacing w:after="0" w:line="240" w:lineRule="auto"/>
        <w:jc w:val="both"/>
      </w:pPr>
      <w:r>
        <w:t>Zaradi zagotavljanja preglednosti financiranja, posledično pa tudi obsega sredstev, ki se zagotavljajo iz proračuna, in višino pristojbin in stroškov, ki jih plačajo zavezanci v skladu s tarifo, so določeni viri financiranja za posamezne skupine nalog, ki ji opravlja agencija. Za način oblikovanja tarif se zahteva upoštevanje zahtev iz predpisov Evropske unije, ki je vzpostavila pregleden in nadzorljiv sistem taks in dajatev, ki jih obračuna EASA.</w:t>
      </w:r>
    </w:p>
    <w:p>
      <w:pPr>
        <w:spacing w:after="0" w:line="240" w:lineRule="auto"/>
        <w:jc w:val="both"/>
      </w:pPr>
      <w:r>
        <w:t xml:space="preserve"> </w:t>
      </w:r>
    </w:p>
    <w:p>
      <w:pPr>
        <w:spacing w:after="0" w:line="240" w:lineRule="auto"/>
        <w:jc w:val="both"/>
      </w:pPr>
      <w:r>
        <w:t xml:space="preserve">V skladu z ZJA se višina plačil za storitve, ki jih opravlja javna agencija, določi glede na potrebno pokrivanje stroškov posamezne storitve javne agencije ter glede na načrtovane cilje in naloge, določene v programu dela javne agencije. </w:t>
      </w:r>
    </w:p>
    <w:p>
      <w:pPr>
        <w:spacing w:after="0" w:line="240" w:lineRule="auto"/>
        <w:jc w:val="both"/>
      </w:pPr>
      <w:r>
        <w:t xml:space="preserve"> </w:t>
      </w:r>
    </w:p>
    <w:p>
      <w:pPr>
        <w:spacing w:after="0" w:line="240" w:lineRule="auto"/>
        <w:jc w:val="both"/>
      </w:pPr>
      <w:r>
        <w:t>Temeljno načelo pri pripravi spremembe tarife je bilo, da morajo sredstva, ki jih agencija pridobi s prihodki iz pristojbin in povračil stroškov, ob čim manjši obremenitvi prosilcev in imetnikov certifikatov zagotavljati nemoteno, razvojno in dolgoročno delovanje agencije.</w:t>
      </w:r>
    </w:p>
    <w:p>
      <w:pPr>
        <w:spacing w:after="0" w:line="240" w:lineRule="auto"/>
        <w:jc w:val="both"/>
      </w:pPr>
      <w:r>
        <w:t xml:space="preserve"> </w:t>
      </w:r>
    </w:p>
    <w:p>
      <w:pPr>
        <w:spacing w:after="0" w:line="240" w:lineRule="auto"/>
        <w:jc w:val="both"/>
      </w:pPr>
      <w:r>
        <w:t>Razlogi za spremembo tarife so:</w:t>
      </w:r>
    </w:p>
    <w:p>
      <w:pPr>
        <w:spacing w:after="0" w:line="240" w:lineRule="auto"/>
        <w:ind w:left="454"/>
      </w:pPr>
      <w:r>
        <w:t>- sprememba nacionalne zakonodaje, ki razširja pristojnosti in naloge agencije -  Zakon o letalstvu (Uradni list RS št. 85/24);</w:t>
      </w:r>
    </w:p>
    <w:p>
      <w:pPr>
        <w:spacing w:after="0" w:line="240" w:lineRule="auto"/>
        <w:ind w:left="454"/>
      </w:pPr>
      <w:r>
        <w:t>- sprememba evropske zakonodaje, ki razširja naloge agencije oziroma spreminja pogoje za izdajo certifikatov: spremembe Izvedbene Uredbe Komisije (EU) 2015/1998 o določitvi podrobnih ukrepov za izvajanje skupnih osnovnih standardov za varovanje letalstva (nazadnje Izvedbena Uredbo Komisije (EU) 2026/449; Uredba (EU) 2024/2803 o izvajanju enotnega evropskega neba; Delegirana Uredba Komisije (EU) 2022/1645 o določitvi pravil za uporabo Uredbe (EU) 2018/1139 Evropskega parlamenta in Sveta glede zahtev za obvladovanje tveganj za informacijsko varnost, ki lahko vplivajo na varnost v letalstvu, za organizacije, zajete v uredbah Komisije (EU) št. 748/2012 in (EU) št. 139/2014, ter o spremembi uredb Komisije (EU) št. 748/2012 in (EU) št. 139/2014; spremembe Uredbe Komisije (EU) št. 965/2012 o tehničnih zahtevah in upravnih postopkih za letalske (nazadnje Izvedena uredba Komisije (EU) 2025/2293);</w:t>
      </w:r>
    </w:p>
    <w:p>
      <w:pPr>
        <w:spacing w:after="0" w:line="240" w:lineRule="auto"/>
        <w:ind w:left="454"/>
      </w:pPr>
      <w:r>
        <w:t>- odprava manjših neskladnosti v veljavni tarifi in nekatera prevrednotenja višine tarife na posameznih področjih, ker se je v praksi izkazalo za nujno potrebno, da se doseže zakonsko pravilo, da se  višina plačil za storitve, ki jih opravlja javna agencija, določi glede na potrebno pokrivanje stroškov posamezne storitve javne agencije.</w:t>
      </w:r>
    </w:p>
    <w:p>
      <w:pPr>
        <w:spacing w:after="0" w:line="240" w:lineRule="auto"/>
        <w:jc w:val="both"/>
      </w:pPr>
      <w:r>
        <w:t xml:space="preserve">V skladu s četrtim odstavkom 244. člena ZLet-1 se pristojbine in povračila stroškov zaračunavajo na podlagi tarife, ki jo izda agencija po predhodnem soglasju Vlade Republike Slovenije. Svet Javne agencije za civilno letalstvo je sprejel Predlog Spremembe Tarife za izvajanje storitev Javne agencije za civilno letalstvo Republike Slovenije, gradivo za vlado za izdajo soglasja k spremembi  tarife (sklep št. 9000-1/2026/43 z dne 19. 10. 2026). </w:t>
      </w:r>
    </w:p>
    <w:p>
      <w:pPr>
        <w:spacing w:after="0" w:line="240" w:lineRule="auto"/>
        <w:jc w:val="both"/>
      </w:pPr>
      <w:r>
        <w:t xml:space="preserve"> </w:t>
      </w:r>
    </w:p>
    <w:p>
      <w:pPr>
        <w:spacing w:after="0" w:line="240" w:lineRule="auto"/>
        <w:jc w:val="both"/>
      </w:pPr>
      <w:r>
        <w:t>V skladu z 41. členom ZJA je bil predlog spremembe tarife dne 4. 8. 2026 objavljen na portalu E-demokracija. Agencija je predlog spremembe tarife istega dne objavila tudi na svoji spletni strani. S tem se je uporabnikom storitev omogočilo, da podajo svoja mnenja, pripombe in predloge glede načrtovane spremembe tarife.</w:t>
      </w:r>
    </w:p>
    <w:p>
      <w:pPr>
        <w:spacing w:after="0" w:line="240" w:lineRule="auto"/>
        <w:jc w:val="both"/>
      </w:pPr>
      <w:r>
        <w:t xml:space="preserve"> </w:t>
      </w:r>
    </w:p>
    <w:p>
      <w:pPr>
        <w:spacing w:after="0" w:line="260" w:lineRule="auto"/>
        <w:rPr>
          <w:rFonts w:ascii="Arial" w:hAnsi="Arial" w:cs="Arial"/>
        </w:rPr>
      </w:pPr>
    </w:p>
    <w:p>
      <w:pPr>
        <w:pStyle w:val="Odebeljeno"/>
        <w:spacing w:after="0" w:line="260" w:lineRule="auto"/>
      </w:pPr>
      <w:r>
        <w:t>2.</w:t>
      </w:r>
      <w:r>
        <w:tab/>
      </w:r>
      <w:r>
        <w:t>Ocena finančnih posledic predloga akta za državni proračun in druga javna finančna sredstva</w:t>
      </w:r>
    </w:p>
    <w:p>
      <w:pPr>
        <w:spacing w:after="0" w:line="260" w:lineRule="auto"/>
        <w:rPr>
          <w:rFonts w:ascii="Arial" w:hAnsi="Arial" w:cs="Arial"/>
        </w:rPr>
      </w:pPr>
    </w:p>
    <w:p>
      <w:pPr>
        <w:pStyle w:val="Odebeljeno"/>
        <w:spacing w:after="0" w:line="260" w:lineRule="auto"/>
        <w:ind w:left="720" w:hanging="360"/>
      </w:pPr>
      <w:r>
        <w:t>–</w:t>
      </w:r>
      <w:r>
        <w:tab/>
      </w:r>
      <w:r>
        <w:t>Predpis ima pozitiven učinek na prihodke podjetij/ustanov, ki ne vplivajo neposredno na javne finančne blagajne (odstopljena dajatev, prenos stroškov ukrepa).</w:t>
      </w:r>
    </w:p>
    <w:p>
      <w:pPr>
        <w:spacing w:after="0" w:line="260" w:lineRule="auto"/>
        <w:rPr>
          <w:rFonts w:ascii="Arial" w:hAnsi="Arial" w:cs="Arial"/>
        </w:rPr>
      </w:pPr>
    </w:p>
    <w:p>
      <w:pPr>
        <w:spacing w:after="0" w:line="240" w:lineRule="auto"/>
        <w:jc w:val="both"/>
      </w:pPr>
      <w:r>
        <w:t>Za poslovno leto 2026 so v skladu s predlogom Programa dela in finančnim načrtom za leti 2026 in 2027 predvidena naslednja finančna sredstva za financiranje agencije v letu 2026:</w:t>
      </w:r>
    </w:p>
    <w:p>
      <w:pPr>
        <w:spacing w:after="0" w:line="240" w:lineRule="auto"/>
        <w:jc w:val="both"/>
      </w:pPr>
      <w:r>
        <w:t>Proračun 1.850.800 €</w:t>
      </w:r>
    </w:p>
    <w:p>
      <w:pPr>
        <w:spacing w:after="0" w:line="240" w:lineRule="auto"/>
        <w:jc w:val="both"/>
      </w:pPr>
      <w:r>
        <w:t>Tarife 2.250.000 €</w:t>
      </w:r>
    </w:p>
    <w:p>
      <w:pPr>
        <w:spacing w:after="0" w:line="240" w:lineRule="auto"/>
        <w:jc w:val="both"/>
      </w:pPr>
      <w:r>
        <w:t>Pristojbine 955.567 €</w:t>
      </w:r>
    </w:p>
    <w:p>
      <w:pPr>
        <w:spacing w:after="0" w:line="240" w:lineRule="auto"/>
        <w:jc w:val="both"/>
      </w:pPr>
      <w:r>
        <w:t>Lastna in druga dejavnost 15.000 €</w:t>
      </w:r>
    </w:p>
    <w:p>
      <w:pPr>
        <w:spacing w:after="0" w:line="240" w:lineRule="auto"/>
        <w:jc w:val="both"/>
      </w:pPr>
      <w:r>
        <w:t>Povračilo stroškov EC 3.000 €</w:t>
      </w:r>
    </w:p>
    <w:p>
      <w:pPr>
        <w:spacing w:after="0" w:line="240" w:lineRule="auto"/>
        <w:jc w:val="both"/>
      </w:pPr>
      <w:r>
        <w:t>Prihodki od avtomatov 1.200 €</w:t>
      </w:r>
    </w:p>
    <w:p>
      <w:pPr>
        <w:spacing w:after="0" w:line="240" w:lineRule="auto"/>
        <w:jc w:val="both"/>
      </w:pPr>
      <w:r>
        <w:t>Obresti 40.000 €</w:t>
      </w:r>
    </w:p>
    <w:p>
      <w:pPr>
        <w:spacing w:after="0" w:line="240" w:lineRule="auto"/>
        <w:jc w:val="both"/>
      </w:pPr>
      <w:r>
        <w:t>Skupaj: 5.115.567 €</w:t>
      </w:r>
    </w:p>
    <w:p>
      <w:pPr>
        <w:spacing w:after="0" w:line="240" w:lineRule="auto"/>
      </w:pPr>
      <w:r>
        <w:br/>
      </w:r>
    </w:p>
    <w:p>
      <w:pPr>
        <w:spacing w:after="0" w:line="240" w:lineRule="auto"/>
        <w:jc w:val="both"/>
      </w:pPr>
      <w:r>
        <w:t>Za poslovno leto 2026 so v skladu s predlogom Programa dela in finančnega načrta za leti 2026 in 2027 predvideni naslednji odhodki agencije v letu 2026:</w:t>
      </w:r>
    </w:p>
    <w:p>
      <w:pPr>
        <w:spacing w:after="0" w:line="240" w:lineRule="auto"/>
        <w:jc w:val="both"/>
      </w:pPr>
      <w:r>
        <w:t>Plače  4.514.000 €</w:t>
      </w:r>
    </w:p>
    <w:p>
      <w:pPr>
        <w:spacing w:after="0" w:line="240" w:lineRule="auto"/>
        <w:jc w:val="both"/>
      </w:pPr>
      <w:r>
        <w:t>Materialni stroški 1.029.800 €</w:t>
      </w:r>
    </w:p>
    <w:p>
      <w:pPr>
        <w:spacing w:after="0" w:line="240" w:lineRule="auto"/>
        <w:jc w:val="both"/>
      </w:pPr>
      <w:r>
        <w:t>Skupaj 5.543.800 €</w:t>
      </w:r>
    </w:p>
    <w:p>
      <w:pPr>
        <w:spacing w:after="0" w:line="240" w:lineRule="auto"/>
      </w:pPr>
      <w:r>
        <w:br/>
      </w:r>
    </w:p>
    <w:p>
      <w:pPr>
        <w:spacing w:after="0" w:line="240" w:lineRule="auto"/>
        <w:jc w:val="both"/>
      </w:pPr>
      <w:r>
        <w:t>Agencija ocenjuje, da bo v letu 2026 na področju plovnosti iz naslova spremembe tarife imela za 16.500 EUR več prihodkov predvsem na področju gradnje zrakoplovov in dodatnih nalog na področju registra zrakoplovov. Na področju licenciranja letalskega osebja bo manj prihodkov za približno 2.730 EUR, na področju letalskih operacij ni predvidenih bistvenih finančnih sprememb, na področju aerodromov in varovanja bo več prihodkov za 3.000 EUR in na področju navigacijskih služb zračnega prometa za 1.000 EUR. Po skupnem izračunu bo tako v letu 2026 agencija imela za 17.770 EUR več prihodkov kot pred spremembo tarife.</w:t>
      </w:r>
    </w:p>
    <w:p>
      <w:pPr>
        <w:spacing w:after="0" w:line="240" w:lineRule="auto"/>
      </w:pPr>
      <w:r>
        <w:br/>
      </w:r>
    </w:p>
    <w:p>
      <w:pPr>
        <w:spacing w:after="0" w:line="240" w:lineRule="auto"/>
        <w:jc w:val="both"/>
      </w:pPr>
      <w:r>
        <w:t>Gre za oceno, saj zanesljivega izračuna, sploh za kasnejša leta, zaradi številnih spremenljivk (kot je na primer tudi gospodarska situacija) ni mogoče narediti.</w:t>
      </w:r>
    </w:p>
    <w:p>
      <w:pPr>
        <w:spacing w:after="0" w:line="240" w:lineRule="auto"/>
      </w:pPr>
      <w:r>
        <w:br/>
      </w:r>
    </w:p>
    <w:p>
      <w:pPr>
        <w:spacing w:after="0" w:line="240" w:lineRule="auto"/>
        <w:jc w:val="both"/>
      </w:pPr>
      <w:r>
        <w:t>Treba je dodati, da se odhodki agencije povečujejo tudi zaradi drugih dejavnikov (ne samo zaradi spremembe zakonodaje)(npr. nova plačna reforma). Tudi ti, večji stroški, ki se na podlagi sodil delijo med vira financiranja - državni proračun in tarifo, so upoštevani v predlagani Spremembi Tarife. Ne glede na to se posledično ne pričakuje vpliva na skupni finančni izid in ne pričakuje se presežka prihodkov nad odhodki. Prav tako ne bo finančnega vpliva na obseg sredstev za financiranje izvajanja nalog, ki se v skladu z ZLet-1 financirajo iz proračuna Republike Slovenije.</w:t>
      </w:r>
    </w:p>
    <w:p>
      <w:pPr>
        <w:spacing w:after="0" w:line="240" w:lineRule="auto"/>
        <w:ind w:left="720" w:firstLine="0"/>
      </w:pPr>
    </w:p>
    <w:p>
      <w:pPr>
        <w:pStyle w:val="Odebeljeno"/>
        <w:spacing w:after="0" w:line="260" w:lineRule="auto"/>
      </w:pPr>
      <w:r>
        <w:t>3.</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3.1</w:t>
      </w:r>
      <w:r>
        <w:tab/>
      </w:r>
      <w:r>
        <w:t>Prikaz ureditve v drugih pravnih sistemih</w:t>
      </w:r>
    </w:p>
    <w:p>
      <w:pPr>
        <w:spacing w:after="0" w:line="260" w:lineRule="auto"/>
        <w:rPr>
          <w:rFonts w:ascii="Arial" w:hAnsi="Arial" w:cs="Arial"/>
        </w:rPr>
      </w:pPr>
    </w:p>
    <w:p>
      <w:pPr>
        <w:spacing w:after="0" w:line="260" w:lineRule="auto"/>
      </w:pPr>
      <w:r>
        <w:t>Drugi pravni sistemi niso bili predmet proučevanja.</w:t>
      </w:r>
    </w:p>
    <w:p>
      <w:pPr>
        <w:spacing w:after="0" w:line="260" w:lineRule="auto"/>
        <w:rPr>
          <w:rFonts w:ascii="Arial" w:hAnsi="Arial" w:cs="Arial"/>
        </w:rPr>
      </w:pPr>
    </w:p>
    <w:p>
      <w:pPr>
        <w:pStyle w:val="Odebeljeno"/>
        <w:spacing w:after="0" w:line="260" w:lineRule="auto"/>
      </w:pPr>
      <w:r>
        <w:t>3.2</w:t>
      </w:r>
      <w:r>
        <w:tab/>
      </w:r>
      <w:r>
        <w:t>Prikaz ureditve v pravnem redu Evropske unije</w:t>
      </w:r>
    </w:p>
    <w:p>
      <w:pPr>
        <w:spacing w:after="0" w:line="260" w:lineRule="auto"/>
        <w:rPr>
          <w:rFonts w:ascii="Arial" w:hAnsi="Arial" w:cs="Arial"/>
        </w:rPr>
      </w:pPr>
    </w:p>
    <w:p>
      <w:pPr>
        <w:spacing w:after="0" w:line="260" w:lineRule="auto"/>
      </w:pPr>
      <w:r>
        <w:t>Predlog ni predmet usklajevanja s pravnim redom EU.</w:t>
      </w:r>
    </w:p>
    <w:p>
      <w:pPr>
        <w:spacing w:after="0" w:line="260" w:lineRule="auto"/>
        <w:rPr>
          <w:rFonts w:ascii="Arial" w:hAnsi="Arial" w:cs="Arial"/>
        </w:rPr>
      </w:pPr>
    </w:p>
    <w:p>
      <w:pPr>
        <w:pStyle w:val="SrajckaNaslovZamik"/>
        <w:spacing w:after="0" w:line="260" w:lineRule="auto"/>
      </w:pPr>
      <w:r>
        <w:t>3.3</w:t>
      </w:r>
      <w:r>
        <w:tab/>
      </w:r>
      <w:r>
        <w:t>Prikaz ureditve v posameznih državah članicah Evropske unije</w:t>
      </w:r>
    </w:p>
    <w:p>
      <w:pPr>
        <w:spacing w:after="0" w:line="260" w:lineRule="auto"/>
        <w:rPr>
          <w:rFonts w:ascii="Arial" w:hAnsi="Arial" w:cs="Arial"/>
        </w:rPr>
      </w:pPr>
    </w:p>
    <w:p>
      <w:pPr>
        <w:spacing w:after="0" w:line="260" w:lineRule="auto"/>
      </w:pPr>
      <w:r>
        <w:t>/</w:t>
      </w:r>
    </w:p>
    <w:p>
      <w:pPr>
        <w:spacing w:after="0" w:line="260" w:lineRule="auto"/>
        <w:rPr>
          <w:rFonts w:ascii="Arial" w:hAnsi="Arial" w:cs="Arial"/>
        </w:rPr>
      </w:pPr>
    </w:p>
    <w:p>
      <w:pPr>
        <w:pStyle w:val="Odebeljeno"/>
        <w:spacing w:after="0" w:line="260" w:lineRule="auto"/>
      </w:pPr>
      <w:r>
        <w:t>4.</w:t>
      </w:r>
      <w:r>
        <w:tab/>
      </w:r>
      <w:r>
        <w:t>Presoja posledic</w:t>
      </w:r>
    </w:p>
    <w:p>
      <w:pPr>
        <w:pStyle w:val="Odebeljeno"/>
        <w:spacing w:after="0" w:line="260" w:lineRule="auto"/>
      </w:pPr>
      <w:r>
        <w:t>4.1</w:t>
      </w:r>
      <w:r>
        <w:tab/>
      </w:r>
      <w:r>
        <w:t>Presoja administrativnih posledic</w:t>
      </w:r>
    </w:p>
    <w:p>
      <w:pPr>
        <w:spacing w:after="0" w:line="260" w:lineRule="auto"/>
        <w:rPr>
          <w:rFonts w:ascii="Arial" w:hAnsi="Arial" w:cs="Arial"/>
        </w:rPr>
      </w:pPr>
    </w:p>
    <w:p>
      <w:pPr>
        <w:spacing w:after="0" w:line="260" w:lineRule="auto"/>
      </w:pPr>
      <w:r>
        <w:t>Predlog nima administrativnih posledic.</w:t>
      </w:r>
    </w:p>
    <w:p>
      <w:pPr>
        <w:spacing w:after="0" w:line="260" w:lineRule="auto"/>
        <w:rPr>
          <w:rFonts w:ascii="Arial" w:hAnsi="Arial" w:cs="Arial"/>
        </w:rPr>
      </w:pPr>
    </w:p>
    <w:p>
      <w:pPr>
        <w:pStyle w:val="Odebeljeno"/>
        <w:spacing w:after="0" w:line="260" w:lineRule="auto"/>
      </w:pPr>
      <w:r>
        <w:t>4.2</w:t>
      </w:r>
      <w:r>
        <w:tab/>
      </w:r>
      <w:r>
        <w:t>Presoja posledic za okolje, vključno s prostorskimi in varstvenimi vidiki</w:t>
      </w:r>
    </w:p>
    <w:p>
      <w:pPr>
        <w:spacing w:after="0" w:line="260" w:lineRule="auto"/>
        <w:rPr>
          <w:rFonts w:ascii="Arial" w:hAnsi="Arial" w:cs="Arial"/>
        </w:rPr>
      </w:pPr>
    </w:p>
    <w:p>
      <w:pPr>
        <w:spacing w:after="0" w:line="260" w:lineRule="auto"/>
      </w:pPr>
      <w:r>
        <w:t>Predlog nima posledic za okolje.</w:t>
      </w:r>
    </w:p>
    <w:p>
      <w:pPr>
        <w:spacing w:after="0" w:line="260" w:lineRule="auto"/>
        <w:rPr>
          <w:rFonts w:ascii="Arial" w:hAnsi="Arial" w:cs="Arial"/>
        </w:rPr>
      </w:pPr>
    </w:p>
    <w:p>
      <w:pPr>
        <w:pStyle w:val="Odebeljeno"/>
        <w:spacing w:after="0" w:line="260" w:lineRule="auto"/>
      </w:pPr>
      <w:r>
        <w:t>4.3</w:t>
      </w:r>
      <w:r>
        <w:tab/>
      </w:r>
      <w:r>
        <w:t>Presoja posledic za gospodarstvo</w:t>
      </w:r>
    </w:p>
    <w:p>
      <w:pPr>
        <w:spacing w:after="0" w:line="260" w:lineRule="auto"/>
        <w:rPr>
          <w:rFonts w:ascii="Arial" w:hAnsi="Arial" w:cs="Arial"/>
        </w:rPr>
      </w:pPr>
    </w:p>
    <w:p>
      <w:pPr>
        <w:pStyle w:val="Odebeljeno"/>
        <w:spacing w:after="0" w:line="260" w:lineRule="auto"/>
        <w:ind w:left="360" w:hanging="360"/>
      </w:pPr>
      <w:r>
        <w:t>a)</w:t>
      </w:r>
      <w:r>
        <w:tab/>
      </w:r>
      <w:r>
        <w:t>Predpis ima učinek na fizične in pravne osebe, ki opravljajo dejavnost.</w:t>
      </w:r>
    </w:p>
    <w:p>
      <w:pPr>
        <w:spacing w:after="0" w:line="260" w:lineRule="auto"/>
        <w:rPr>
          <w:rFonts w:ascii="Arial" w:hAnsi="Arial" w:cs="Arial"/>
        </w:rPr>
      </w:pPr>
    </w:p>
    <w:p>
      <w:pPr>
        <w:pStyle w:val="Odebeljeno"/>
        <w:spacing w:after="0" w:line="260" w:lineRule="auto"/>
        <w:ind w:left="720" w:hanging="360"/>
      </w:pPr>
      <w:r>
        <w:t>–</w:t>
      </w:r>
      <w:r>
        <w:tab/>
      </w:r>
      <w:r>
        <w:t>Predpis ima negativen učinek na stroške poslovanja.</w:t>
      </w:r>
    </w:p>
    <w:p>
      <w:pPr>
        <w:spacing w:after="0" w:line="260" w:lineRule="auto"/>
        <w:rPr>
          <w:rFonts w:ascii="Arial" w:hAnsi="Arial" w:cs="Arial"/>
        </w:rPr>
      </w:pPr>
    </w:p>
    <w:p>
      <w:pPr>
        <w:spacing w:after="0" w:line="240" w:lineRule="auto"/>
        <w:jc w:val="both"/>
      </w:pPr>
      <w:r>
        <w:t>Predpis nalaga plačilo tarife za storitve agencije, ki izvirajo iz novih obveznosti v skladu z zakonom ali predpisi EU.</w:t>
      </w:r>
    </w:p>
    <w:p>
      <w:pPr>
        <w:spacing w:after="0" w:line="240" w:lineRule="auto"/>
        <w:ind w:left="720" w:firstLine="0"/>
      </w:pPr>
    </w:p>
    <w:p>
      <w:pPr>
        <w:spacing w:after="0" w:line="260" w:lineRule="auto"/>
        <w:rPr>
          <w:rFonts w:ascii="Arial" w:hAnsi="Arial" w:cs="Arial"/>
        </w:rPr>
      </w:pPr>
    </w:p>
    <w:p>
      <w:pPr>
        <w:pStyle w:val="Odebeljeno"/>
        <w:spacing w:after="0" w:line="260" w:lineRule="auto"/>
      </w:pPr>
      <w:r>
        <w:t>4.4</w:t>
      </w:r>
      <w:r>
        <w:tab/>
      </w:r>
      <w:r>
        <w:t>Presoja posledic za socialno področje</w:t>
      </w:r>
    </w:p>
    <w:p>
      <w:pPr>
        <w:spacing w:after="0" w:line="260" w:lineRule="auto"/>
        <w:rPr>
          <w:rFonts w:ascii="Arial" w:hAnsi="Arial" w:cs="Arial"/>
        </w:rPr>
      </w:pPr>
    </w:p>
    <w:p>
      <w:pPr>
        <w:spacing w:after="0" w:line="260" w:lineRule="auto"/>
      </w:pPr>
      <w:r>
        <w:t>Predlog nima posledic za socialno področje.</w:t>
      </w:r>
    </w:p>
    <w:p>
      <w:pPr>
        <w:spacing w:after="0" w:line="260" w:lineRule="auto"/>
        <w:rPr>
          <w:rFonts w:ascii="Arial" w:hAnsi="Arial" w:cs="Arial"/>
        </w:rPr>
      </w:pPr>
    </w:p>
    <w:p>
      <w:pPr>
        <w:pStyle w:val="Odebeljeno"/>
        <w:spacing w:after="0" w:line="260" w:lineRule="auto"/>
      </w:pPr>
      <w:r>
        <w:t>4.5</w:t>
      </w:r>
      <w:r>
        <w:tab/>
      </w:r>
      <w:r>
        <w:t>Presoja posledic za dokumente razvojnega načrtovanja</w:t>
      </w:r>
    </w:p>
    <w:p>
      <w:pPr>
        <w:spacing w:after="0" w:line="260" w:lineRule="auto"/>
        <w:rPr>
          <w:rFonts w:ascii="Arial" w:hAnsi="Arial" w:cs="Arial"/>
        </w:rPr>
      </w:pPr>
    </w:p>
    <w:p>
      <w:pPr>
        <w:spacing w:after="0" w:line="260" w:lineRule="auto"/>
      </w:pPr>
      <w:r>
        <w:t>Predlog nima posledic za dokumente razvojnega načrtovanja.</w:t>
      </w:r>
    </w:p>
    <w:p>
      <w:pPr>
        <w:spacing w:after="0" w:line="260" w:lineRule="auto"/>
        <w:rPr>
          <w:rFonts w:ascii="Arial" w:hAnsi="Arial" w:cs="Arial"/>
        </w:rPr>
      </w:pPr>
    </w:p>
    <w:p>
      <w:pPr>
        <w:pStyle w:val="Odebeljeno"/>
        <w:spacing w:after="0" w:line="260" w:lineRule="auto"/>
      </w:pPr>
      <w:r>
        <w:t>4.6</w:t>
      </w:r>
      <w:r>
        <w:tab/>
      </w:r>
      <w:r>
        <w:t>Presoja posledic za druga področja</w:t>
      </w:r>
    </w:p>
    <w:p>
      <w:pPr>
        <w:spacing w:after="0" w:line="260" w:lineRule="auto"/>
        <w:rPr>
          <w:rFonts w:ascii="Arial" w:hAnsi="Arial" w:cs="Arial"/>
        </w:rPr>
      </w:pPr>
    </w:p>
    <w:p>
      <w:pPr>
        <w:spacing w:after="0" w:line="260" w:lineRule="auto"/>
      </w:pPr>
      <w:r>
        <w:t>Predlog nima posledic za druga področja.</w:t>
      </w:r>
    </w:p>
    <w:p>
      <w:pPr>
        <w:spacing w:after="0" w:line="260" w:lineRule="auto"/>
        <w:rPr>
          <w:rFonts w:ascii="Arial" w:hAnsi="Arial" w:cs="Arial"/>
        </w:rPr>
      </w:pPr>
    </w:p>
    <w:p>
      <w:pPr>
        <w:pStyle w:val="Odebeljeno"/>
        <w:spacing w:after="0" w:line="260" w:lineRule="auto"/>
      </w:pPr>
      <w:r>
        <w:t>4.7</w:t>
      </w:r>
      <w:r>
        <w:tab/>
      </w:r>
      <w:r>
        <w:t>Izvajanje sprejetega predpisa</w:t>
      </w:r>
    </w:p>
    <w:p>
      <w:pPr>
        <w:spacing w:after="0" w:line="260" w:lineRule="auto"/>
        <w:rPr>
          <w:rFonts w:ascii="Arial" w:hAnsi="Arial" w:cs="Arial"/>
        </w:rPr>
      </w:pPr>
    </w:p>
    <w:p>
      <w:pPr>
        <w:spacing w:after="0" w:line="260" w:lineRule="auto"/>
      </w:pPr>
      <w:r>
        <w:t>Ni podatka.</w:t>
      </w:r>
    </w:p>
    <w:p>
      <w:pPr>
        <w:spacing w:after="0" w:line="260" w:lineRule="auto"/>
        <w:rPr>
          <w:rFonts w:ascii="Arial" w:hAnsi="Arial" w:cs="Arial"/>
        </w:rPr>
      </w:pPr>
    </w:p>
    <w:p>
      <w:pPr>
        <w:pStyle w:val="Odebeljeno"/>
        <w:spacing w:after="0" w:line="260" w:lineRule="auto"/>
      </w:pPr>
      <w:r>
        <w:t>5.</w:t>
      </w:r>
      <w:r>
        <w:tab/>
      </w:r>
      <w:r>
        <w:t>Prikaz sodelovanja javnosti</w:t>
      </w:r>
    </w:p>
    <w:p>
      <w:pPr>
        <w:spacing w:after="0" w:line="260" w:lineRule="auto"/>
        <w:rPr>
          <w:rFonts w:ascii="Arial" w:hAnsi="Arial" w:cs="Arial"/>
        </w:rPr>
      </w:pPr>
    </w:p>
    <w:p>
      <w:pPr>
        <w:spacing w:after="0" w:line="260" w:lineRule="auto"/>
      </w:pPr>
      <w:r>
        <w:t>/</w:t>
      </w:r>
    </w:p>
    <w:p>
      <w:pPr>
        <w:spacing w:after="0" w:line="260" w:lineRule="auto"/>
        <w:rPr>
          <w:rFonts w:ascii="Arial" w:hAnsi="Arial" w:cs="Arial"/>
        </w:rPr>
      </w:pPr>
    </w:p>
    <w:p>
      <w:r>
        <w:br w:type="page"/>
      </w:r>
    </w:p>
    <w:p>
      <w:pPr>
        <w:pStyle w:val="Odebeljeno"/>
        <w:spacing w:after="0" w:line="260" w:lineRule="auto"/>
      </w:pPr>
      <w:r>
        <w:t>II.</w:t>
      </w:r>
      <w:r>
        <w:tab/>
      </w:r>
      <w:r>
        <w:t>BESEDILO ČLENOV</w:t>
      </w:r>
    </w:p>
    <w:p>
      <w:pPr>
        <w:pStyle w:val="Odstavek"/>
        <w:spacing w:after="0" w:line="260" w:lineRule="auto"/>
      </w:pPr>
      <w:r>
        <w:t>Na podlagi 40. člena Zakona o javnih agencijah (Uradni list RS, št. 52/02, 51/04 – EZ-A, 33/11 – ZEKom-C in 83/25 - ZOUL), četrtega odstavka 244 člena Zakona o letalstvu (Uradni list RS, št. 85/24, Zlet-1) in 32. člena Sklepa o ustanovitvi Javne agencije za civilno letalstvo Republike Slovenije (Uradni list RS, št. 81/10 in 85/24-Zlet-1) po predhodnem soglasju Vlade Republike Slovenije svet Javne agencije za civilno letalstvo Republike Slovenije izdaja</w:t>
      </w:r>
    </w:p>
    <w:p>
      <w:pPr>
        <w:spacing w:after="0" w:line="260" w:lineRule="auto"/>
        <w:rPr>
          <w:rFonts w:ascii="Arial" w:hAnsi="Arial" w:cs="Arial"/>
        </w:rPr>
      </w:pPr>
    </w:p>
    <w:p>
      <w:pPr>
        <w:pStyle w:val="Naslov1"/>
        <w:spacing w:after="0" w:line="260" w:lineRule="auto"/>
      </w:pPr>
      <w:r>
        <w:t>Sprememba Tarife za izvajanje storitev Javne agencije za civilno letalstvo Republike Slovenije</w:t>
      </w:r>
    </w:p>
    <w:p>
      <w:r>
        <w:br w:type="page"/>
      </w:r>
    </w:p>
    <w:p>
      <w:pPr>
        <w:pStyle w:val="Odebeljeno"/>
        <w:spacing w:after="0" w:line="260" w:lineRule="auto"/>
      </w:pPr>
      <w:r>
        <w:t>III.</w:t>
      </w:r>
      <w:r>
        <w:tab/>
      </w:r>
      <w:r>
        <w:t>OBRAZLOŽITEV</w:t>
      </w:r>
    </w:p>
    <w:p>
      <w:pPr>
        <w:spacing w:after="0" w:line="260" w:lineRule="auto"/>
        <w:rPr>
          <w:rFonts w:ascii="Arial" w:hAnsi="Arial" w:cs="Arial"/>
        </w:rPr>
      </w:pPr>
    </w:p>
    <w:p>
      <w:r>
        <w:br w:type="page"/>
      </w:r>
    </w:p>
    <w:p>
      <w:pPr>
        <w:pStyle w:val="Odebeljeno"/>
        <w:spacing w:after="0" w:line="260" w:lineRule="auto"/>
      </w:pPr>
      <w:r>
        <w:t>IV.</w:t>
      </w:r>
      <w:r>
        <w:tab/>
      </w:r>
      <w:r>
        <w:t>PRILOGE</w:t>
      </w:r>
    </w:p>
    <w:p>
      <w:pPr>
        <w:spacing w:after="0" w:line="260" w:lineRule="auto"/>
        <w:rPr>
          <w:rFonts w:ascii="Arial" w:hAnsi="Arial" w:cs="Arial"/>
        </w:rPr>
      </w:pPr>
    </w:p>
    <w:p>
      <w:pPr>
        <w:spacing w:after="0" w:line="260" w:lineRule="auto"/>
      </w:pPr>
      <w:r>
        <w:tab/>
      </w:r>
      <w:r>
        <w:t>- Sklep Sveta agencijet. 9000-1/2026/43 z dne 19. 10. 2026 (Sklep_Sprememba_Tarife_OKT2026_P.pdf)</w:t>
      </w:r>
    </w:p>
    <w:sectPr>
      <w:footerReference w:type="default" r:id="rId4"/>
      <w:pgMar w:header="708" w:footer="708"/>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i/>
        <w:sz w:val="16"/>
      </w:rPr>
      <w:t>Ustvarjeno v MOPED-DOCS, 27. 10. 2026 10:15:54, verzija 6</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