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5.0 -->
  <w:body>
    <w:p>
      <w:pPr>
        <w:spacing w:after="0" w:line="260" w:lineRule="auto"/>
        <w:rPr>
          <w:rFonts w:ascii="Arial" w:hAnsi="Arial" w:cs="Arial"/>
        </w:rPr>
      </w:pPr>
    </w:p>
    <w:p>
      <w:pPr>
        <w:spacing w:after="0" w:line="260" w:lineRule="auto"/>
        <w:rPr>
          <w:rFonts w:ascii="Arial" w:hAnsi="Arial" w:cs="Arial"/>
        </w:rPr>
      </w:pPr>
    </w:p>
    <w:p>
      <w:pPr>
        <w:spacing w:after="0" w:line="260" w:lineRule="auto"/>
        <w:rPr>
          <w:rFonts w:ascii="Arial" w:hAnsi="Arial" w:cs="Arial"/>
        </w:rPr>
      </w:pPr>
    </w:p>
    <w:p>
      <w:pPr>
        <w:spacing w:after="0" w:line="260" w:lineRule="auto"/>
        <w:rPr>
          <w:rFonts w:ascii="Arial" w:hAnsi="Arial" w:cs="Arial"/>
        </w:rPr>
      </w:pPr>
    </w:p>
    <w:p>
      <w:pPr>
        <w:spacing w:after="0" w:line="260" w:lineRule="auto"/>
        <w:rPr>
          <w:rFonts w:ascii="Arial" w:hAnsi="Arial" w:cs="Arial"/>
        </w:rPr>
      </w:pPr>
    </w:p>
    <w:p>
      <w:pPr>
        <w:spacing w:after="0" w:line="260" w:lineRule="auto"/>
        <w:rPr>
          <w:rFonts w:ascii="Arial" w:hAnsi="Arial" w:cs="Arial"/>
        </w:rPr>
      </w:pPr>
    </w:p>
    <w:p>
      <w:pPr>
        <w:spacing w:after="0" w:line="260" w:lineRule="auto"/>
        <w:rPr>
          <w:rFonts w:ascii="Arial" w:hAnsi="Arial" w:cs="Arial"/>
        </w:rPr>
      </w:pPr>
    </w:p>
    <w:p>
      <w:pPr>
        <w:spacing w:after="0" w:line="260" w:lineRule="auto"/>
        <w:rPr>
          <w:rFonts w:ascii="Arial" w:hAnsi="Arial" w:cs="Arial"/>
        </w:rPr>
      </w:pPr>
    </w:p>
    <w:p>
      <w:pPr>
        <w:spacing w:after="0" w:line="260" w:lineRule="auto"/>
        <w:rPr>
          <w:rFonts w:ascii="Arial" w:hAnsi="Arial" w:cs="Arial"/>
        </w:rPr>
      </w:pPr>
    </w:p>
    <w:p>
      <w:pPr>
        <w:spacing w:after="0" w:line="260" w:lineRule="auto"/>
        <w:rPr>
          <w:rFonts w:ascii="Arial" w:hAnsi="Arial" w:cs="Arial"/>
        </w:rPr>
      </w:pPr>
    </w:p>
    <w:p>
      <w:pPr>
        <w:spacing w:after="0" w:line="260" w:lineRule="auto"/>
        <w:rPr>
          <w:rFonts w:ascii="Arial" w:hAnsi="Arial" w:cs="Arial"/>
        </w:rPr>
      </w:pPr>
    </w:p>
    <w:p>
      <w:pPr>
        <w:spacing w:after="0" w:line="260" w:lineRule="auto"/>
        <w:rPr>
          <w:rFonts w:ascii="Arial" w:hAnsi="Arial" w:cs="Arial"/>
        </w:rPr>
      </w:pPr>
    </w:p>
    <w:p>
      <w:pPr>
        <w:spacing w:after="0" w:line="260" w:lineRule="auto"/>
        <w:rPr>
          <w:rFonts w:ascii="Arial" w:hAnsi="Arial" w:cs="Arial"/>
        </w:rPr>
      </w:pPr>
    </w:p>
    <w:p>
      <w:pPr>
        <w:spacing w:after="0" w:line="260" w:lineRule="auto"/>
        <w:rPr>
          <w:rFonts w:ascii="Arial" w:hAnsi="Arial" w:cs="Arial"/>
        </w:rPr>
      </w:pPr>
    </w:p>
    <w:p>
      <w:pPr>
        <w:pStyle w:val="SredinskoOdebeljeno"/>
        <w:spacing w:after="0" w:line="260" w:lineRule="auto"/>
      </w:pPr>
      <w:r>
        <w:t>UREDBA O SPREMEMBAH IN DOPOLNITVAH UREDBE O IZVAJANJU UREDBE (EU) O IZBOLJŠANJU UREDITVE PORAVNAV VREDNOSTNIH PAPIRJEV V EVROPSKI UNIJI IN O CENTRALNIH DEPOTNIH DRUŽBAH</w:t>
      </w:r>
    </w:p>
    <w:p>
      <w:pPr>
        <w:spacing w:after="0" w:line="260" w:lineRule="auto"/>
        <w:rPr>
          <w:rFonts w:ascii="Arial" w:hAnsi="Arial" w:cs="Arial"/>
        </w:rPr>
      </w:pPr>
    </w:p>
    <w:p>
      <w:pPr>
        <w:pStyle w:val="Sredinsko"/>
        <w:spacing w:after="0" w:line="260" w:lineRule="auto"/>
      </w:pPr>
      <w:r>
        <w:t>PREDLOG</w:t>
      </w:r>
    </w:p>
    <w:p>
      <w:pPr>
        <w:spacing w:after="0" w:line="260" w:lineRule="auto"/>
        <w:rPr>
          <w:rFonts w:ascii="Arial" w:hAnsi="Arial" w:cs="Arial"/>
        </w:rPr>
      </w:pPr>
    </w:p>
    <w:p>
      <w:pPr>
        <w:spacing w:after="0" w:line="260" w:lineRule="auto"/>
        <w:rPr>
          <w:rFonts w:ascii="Arial" w:hAnsi="Arial" w:cs="Arial"/>
        </w:rPr>
      </w:pPr>
    </w:p>
    <w:p>
      <w:pPr>
        <w:pStyle w:val="Sredinsko"/>
        <w:spacing w:after="0" w:line="260" w:lineRule="auto"/>
      </w:pPr>
      <w:r>
        <w:t>EVA: 2026-1611-0032</w:t>
      </w:r>
    </w:p>
    <w:p>
      <w:r>
        <w:br w:type="page"/>
      </w:r>
    </w:p>
    <w:p>
      <w:pPr>
        <w:pStyle w:val="Odebeljeno"/>
        <w:spacing w:after="0" w:line="260" w:lineRule="auto"/>
      </w:pPr>
      <w:r>
        <w:t>I.</w:t>
      </w:r>
      <w:r>
        <w:tab/>
      </w:r>
      <w:r>
        <w:t>UVOD</w:t>
      </w:r>
    </w:p>
    <w:p>
      <w:pPr>
        <w:pStyle w:val="Odebeljeno"/>
        <w:spacing w:after="0" w:line="260" w:lineRule="auto"/>
      </w:pPr>
      <w:r>
        <w:t>1.</w:t>
      </w:r>
      <w:r>
        <w:tab/>
      </w:r>
      <w:r>
        <w:t>Razlogi in podlage za izdajo</w:t>
      </w:r>
    </w:p>
    <w:p>
      <w:pPr>
        <w:spacing w:after="0" w:line="260" w:lineRule="auto"/>
        <w:rPr>
          <w:rFonts w:ascii="Arial" w:hAnsi="Arial" w:cs="Arial"/>
        </w:rPr>
      </w:pPr>
    </w:p>
    <w:p>
      <w:pPr>
        <w:spacing w:after="0" w:line="260" w:lineRule="auto"/>
      </w:pPr>
      <w:r>
        <w:t>Pravna podlaga:</w:t>
      </w:r>
    </w:p>
    <w:p>
      <w:pPr>
        <w:spacing w:after="0" w:line="240" w:lineRule="auto"/>
      </w:pPr>
      <w:r>
        <w:t>Pravna podlaga za izdajo uredbe je sedmi odstavek 21. člena Zakona o Vladi Republike Slovenije (Uradni list RS, št. 24/05 – uradno prečiščeno besedilo, 109/08, 38/10 – ZUKN, 8/12, 21/13, 47/13 – ZDU-1G, 65/14, 55/17, 163/22, 57/25 – ZF in 555/26), ki določa, da vlada za izvrševanje predpisov Evropske unije izdaja uredbe in druge akte iz svoje pristojnosti.</w:t>
      </w:r>
    </w:p>
    <w:p>
      <w:pPr>
        <w:spacing w:after="0" w:line="240" w:lineRule="auto"/>
      </w:pPr>
      <w:r>
        <w:t xml:space="preserve"> </w:t>
      </w:r>
    </w:p>
    <w:p>
      <w:pPr>
        <w:spacing w:after="0" w:line="240" w:lineRule="auto"/>
      </w:pPr>
      <w:r>
        <w:t>Uredba (EU) št. 909/2014 Evropskega parlamenta in Sveta z dne 23. julija 2014 o izboljšanju ureditve poravnav vrednostnih papirjev v Evropski uniji in o centralnih depotnih družbah ter o spremembi direktiv 98/26/ES in 2014/65/EU ter Uredbe (EU) št. 236/2012 (UL L št. 257 z dne 28. 8. 2014, str. 1), nazadnje spremenjena z Uredbo (EU) 2025/2075 Evropskega parlamenta in Sveta z dne 8. oktobra 2025 o spremembi Uredbe (EU) št. 909/2014 glede krajšega cikla poravnave v Uniji (UL L z dne 14. 10. 2025), (v nadaljnjem besedilu: Uredba 909/2014/EU), se kot uredba EU v državah članicah neposredno uporablja, vendar za njeno učinkovito izvajanje na nacionalni ravni zahteva sprejetje nacionalnega predpisa, s katerim se določijo pristojni organi, razdelitev nadzornih pristojnosti, nadzorni ukrepi in druge zadeve, ki jih Uredba 909/2014/EU prepušča ureditvi držav članic.</w:t>
      </w:r>
    </w:p>
    <w:p>
      <w:pPr>
        <w:spacing w:after="0" w:line="260" w:lineRule="auto"/>
        <w:rPr>
          <w:rFonts w:ascii="Arial" w:hAnsi="Arial" w:cs="Arial"/>
        </w:rPr>
      </w:pPr>
    </w:p>
    <w:p>
      <w:pPr>
        <w:spacing w:after="0" w:line="260" w:lineRule="auto"/>
      </w:pPr>
      <w:r>
        <w:t>Rok za izdajo:</w:t>
      </w:r>
    </w:p>
    <w:p>
      <w:pPr>
        <w:spacing w:after="0" w:line="240" w:lineRule="auto"/>
      </w:pPr>
      <w:r>
        <w:t>Rok za izdajo uredbe ni izrecno določen z zakonom. Obveznost uskladitve nacionalnega izvedbenega predpisa z veljavnim besedilom Uredbe 909/2014/EU pa izhaja iz splošne dolžnosti držav članic, da zagotovijo učinkovito izvajanje neposredno uporabnih uredb EU na nacionalni ravni. Uredba (EU) 2023/2845 Evropskega parlamenta in Sveta z dne 13. decembra 2023 o spremembi Uredbe (EU) št. 909/2014 glede discipline pri poravnavi, čezmejnega opravljanja storitev, sodelovanja pri nadzoru, zagotavljanja pomožnih bančnih storitev in zahtev za centralne depotne družbe tretjih držav ter spremembi Uredbe (EU) št. 236/2012 (UL L št. 2023/2845 z dne 27. 12. 2023), (v nadaljnjem besedilu: Uredba 2023/2845/EU), ki je bistveno spremenila Uredbo 909/2014/EU, je začela veljati 16. januarja 2024, njen pretežni del se je začel uporabljati z dnem uveljavitve, nekatere njene določbe pa se uporabljajo od 1. maja 2024 oziroma od 17. januarja 2026. Ker se Uredba 2023/2845/EU v celoti uporablja najkasneje od 17. januarja 2026, je uskladitev nacionalnega izvedbenega predpisa nujna v najkrajšem možnem času.</w:t>
      </w:r>
    </w:p>
    <w:p>
      <w:pPr>
        <w:spacing w:after="0" w:line="260" w:lineRule="auto"/>
        <w:rPr>
          <w:rFonts w:ascii="Arial" w:hAnsi="Arial" w:cs="Arial"/>
        </w:rPr>
      </w:pPr>
    </w:p>
    <w:p>
      <w:pPr>
        <w:spacing w:after="0" w:line="260" w:lineRule="auto"/>
      </w:pPr>
      <w:r>
        <w:t>Glavni razlogi za izdajo:</w:t>
      </w:r>
    </w:p>
    <w:p>
      <w:pPr>
        <w:spacing w:after="0" w:line="240" w:lineRule="auto"/>
      </w:pPr>
      <w:r>
        <w:t>Uredba 909/2014/EU je bila z Uredbo 2023/2845/EU bistveno spremenjena in dopolnjena. Uredba 2023/2845/EU je med drugim uvedla nove institute, kot so kolegij nadzornikov za centralne depotne družbe, katerih dejavnosti so zelo pomembne v več državah članicah (novi 24.a člen Uredbe 909/2014/EU), podrobnejše zahteve glede načrtov za sanacijo in urejeno prenehanje centralnih depotnih družb (novi 22.a člen Uredbe 909/2014/EU), postopek obveznega kritnega nakupa (novi 7.a člen Uredbe 909/2014/EU) ter odloženo neto poravnavo (novi 47.a člen Uredbe 909/2014/EU). Poleg tega je bila bistveno prenovljena ureditev čezmejnega opravljanja storitev (23. člen Uredbe 909/2014/EU) ter postopek odvzema dovoljenja, ki zdaj vključuje tudi obveznost vzpostavitve postopkov za urejeno poravnavo in prenos sredstev v primeru odvzema dovoljenja (novi peti odstavek 20. člena Uredbe 909/2014/EU).</w:t>
      </w:r>
    </w:p>
    <w:p>
      <w:pPr>
        <w:spacing w:after="0" w:line="240" w:lineRule="auto"/>
      </w:pPr>
      <w:r>
        <w:t xml:space="preserve"> </w:t>
      </w:r>
    </w:p>
    <w:p>
      <w:pPr>
        <w:spacing w:after="0" w:line="240" w:lineRule="auto"/>
      </w:pPr>
      <w:r>
        <w:t>Veljavna Uredba o izvajanju Uredbe (EU) o izboljšanju ureditve poravnav vrednostnih papirjev v Evropski uniji in o centralnih depotnih družbah (Uradni list RS, št. 60/16) je bila sprejeta na podlagi prvotnega besedila Uredbe 909/2014/EU iz leta 2014 in je bila nazadnje usklajena s spremembo iz leta 2016. Zaradi navedenih sprememb Uredbe 909/2014/EU veljavna uredba o izvajanju ni več v celoti skladna z nadrejenim predpisom EU, zlasti v delu, ki se nanaša na razdelitev nadzornih pristojnosti med Agencijo za trg vrednostnih papirjev in Banko Slovenije, saj ne zajema novih členov Uredbe 909/2014/EU in se sklicuje na določbe, ki so bile z Uredbo 2023/2845/EU črtane ali nadomeščene z novimi. Prav tako je treba natančneje opredeliti nadzorne ukrepe pristojnih organov v skladu s 63. členom Uredbe 909/2014/EU.</w:t>
      </w:r>
    </w:p>
    <w:p>
      <w:pPr>
        <w:spacing w:after="0" w:line="260" w:lineRule="auto"/>
        <w:rPr>
          <w:rFonts w:ascii="Arial" w:hAnsi="Arial" w:cs="Arial"/>
        </w:rPr>
      </w:pPr>
    </w:p>
    <w:p>
      <w:pPr>
        <w:pStyle w:val="Odebeljeno"/>
        <w:spacing w:after="0" w:line="260" w:lineRule="auto"/>
      </w:pPr>
      <w:r>
        <w:t>2.</w:t>
      </w:r>
      <w:r>
        <w:tab/>
      </w:r>
      <w:r>
        <w:t>Ocena finančnih posledic predloga akta za državni proračun in druga javna finančna sredstva</w:t>
      </w:r>
    </w:p>
    <w:p>
      <w:pPr>
        <w:spacing w:after="0" w:line="260" w:lineRule="auto"/>
        <w:rPr>
          <w:rFonts w:ascii="Arial" w:hAnsi="Arial" w:cs="Arial"/>
        </w:rPr>
      </w:pPr>
    </w:p>
    <w:p>
      <w:pPr>
        <w:spacing w:after="0" w:line="260" w:lineRule="auto"/>
      </w:pPr>
      <w:r>
        <w:t>Presoja posledic je bila opravljena ob sprejemanju zakona, ki je podlaga za izdajo tega predloga.</w:t>
      </w:r>
    </w:p>
    <w:p>
      <w:pPr>
        <w:spacing w:after="0" w:line="260" w:lineRule="auto"/>
        <w:rPr>
          <w:rFonts w:ascii="Arial" w:hAnsi="Arial" w:cs="Arial"/>
        </w:rPr>
      </w:pPr>
    </w:p>
    <w:p>
      <w:pPr>
        <w:pStyle w:val="Odebeljeno"/>
        <w:spacing w:after="0" w:line="260" w:lineRule="auto"/>
      </w:pPr>
      <w:r>
        <w:t>3.</w:t>
      </w:r>
      <w:r>
        <w:tab/>
      </w:r>
      <w:r>
        <w:t>Prikaz ureditve v drugih pravnih sistemih in prilagojenosti predlagane ureditve pravu Evropske unije</w:t>
      </w:r>
    </w:p>
    <w:p>
      <w:pPr>
        <w:spacing w:after="0" w:line="260" w:lineRule="auto"/>
        <w:rPr>
          <w:rFonts w:ascii="Arial" w:hAnsi="Arial" w:cs="Arial"/>
        </w:rPr>
      </w:pPr>
    </w:p>
    <w:p>
      <w:pPr>
        <w:pStyle w:val="Odebeljeno"/>
        <w:spacing w:after="0" w:line="260" w:lineRule="auto"/>
      </w:pPr>
      <w:r>
        <w:t>3.1</w:t>
      </w:r>
      <w:r>
        <w:tab/>
      </w:r>
      <w:r>
        <w:t>Prikaz ureditve v drugih pravnih sistemih</w:t>
      </w:r>
    </w:p>
    <w:p>
      <w:pPr>
        <w:spacing w:after="0" w:line="260" w:lineRule="auto"/>
        <w:rPr>
          <w:rFonts w:ascii="Arial" w:hAnsi="Arial" w:cs="Arial"/>
        </w:rPr>
      </w:pPr>
    </w:p>
    <w:p>
      <w:pPr>
        <w:spacing w:after="0" w:line="260" w:lineRule="auto"/>
      </w:pPr>
      <w:r>
        <w:t>/</w:t>
      </w:r>
    </w:p>
    <w:p>
      <w:pPr>
        <w:spacing w:after="0" w:line="260" w:lineRule="auto"/>
        <w:rPr>
          <w:rFonts w:ascii="Arial" w:hAnsi="Arial" w:cs="Arial"/>
        </w:rPr>
      </w:pPr>
    </w:p>
    <w:p>
      <w:pPr>
        <w:pStyle w:val="Odebeljeno"/>
        <w:spacing w:after="0" w:line="260" w:lineRule="auto"/>
      </w:pPr>
      <w:r>
        <w:t>3.2</w:t>
      </w:r>
      <w:r>
        <w:tab/>
      </w:r>
      <w:r>
        <w:t>Prikaz ureditve v pravnem redu Evropske unije</w:t>
      </w:r>
    </w:p>
    <w:p>
      <w:pPr>
        <w:spacing w:after="0" w:line="260" w:lineRule="auto"/>
        <w:rPr>
          <w:rFonts w:ascii="Arial" w:hAnsi="Arial" w:cs="Arial"/>
        </w:rPr>
      </w:pPr>
    </w:p>
    <w:tbl>
      <w:tblPr>
        <w:tblStyle w:val="TableGrid"/>
        <w:tblW w:w="0" w:type="auto"/>
        <w:tblLook w:val="04A0"/>
      </w:tblPr>
      <w:tblGrid>
        <w:gridCol w:w="9062"/>
      </w:tblGrid>
      <w:tr w:rsidTr="00E91806">
        <w:tblPrEx>
          <w:tblW w:w="0" w:type="auto"/>
          <w:tblLook w:val="04A0"/>
        </w:tblPrEx>
        <w:trPr>
          <w:trHeight w:val="416"/>
        </w:trPr>
        <w:tc>
          <w:tcPr>
            <w:tcW w:w="9062" w:type="dxa"/>
            <w:tcBorders>
              <w:bottom w:val="triple" w:sz="4" w:space="0" w:color="auto"/>
            </w:tcBorders>
            <w:vAlign w:val="center"/>
          </w:tcPr>
          <w:p>
            <w:pPr>
              <w:jc w:val="center"/>
              <w:rPr>
                <w:b/>
              </w:rPr>
            </w:pPr>
            <w:r>
              <w:rPr>
                <w:b/>
              </w:rPr>
              <w:t>IZJAVA O SKLADNOSTI S PRAVNIM REDOM EU</w:t>
            </w:r>
          </w:p>
        </w:tc>
      </w:tr>
    </w:tbl>
    <w:p>
      <w:pPr>
        <w:spacing w:after="0"/>
        <w:rPr>
          <w:b/>
          <w:u w:val="single"/>
        </w:rPr>
      </w:pPr>
      <w:r>
        <w:rPr>
          <w:b/>
          <w:u w:val="single"/>
        </w:rPr>
        <w:t>NASLOV PREDPISA RS</w:t>
      </w:r>
    </w:p>
    <w:p>
      <w:pPr>
        <w:spacing w:after="0"/>
      </w:pPr>
    </w:p>
    <w:p>
      <w:pPr>
        <w:spacing w:after="0" w:line="360" w:lineRule="auto"/>
        <w:rPr>
          <w:sz w:val="20"/>
          <w:szCs w:val="20"/>
        </w:rPr>
      </w:pPr>
      <w:r>
        <w:rPr>
          <w:sz w:val="20"/>
          <w:szCs w:val="20"/>
        </w:rPr>
        <w:t>Uredba o spremembah in dopolnitvah Uredbe o izvajanju Uredbe (EU) o izboljšanju ureditve poravnav vrednostnih papirjev v Evropski uniji in o centralnih depotnih družbah</w:t>
      </w:r>
    </w:p>
    <w:p>
      <w:pPr>
        <w:spacing w:after="0"/>
      </w:pPr>
    </w:p>
    <w:p>
      <w:pPr>
        <w:spacing w:after="0"/>
        <w:rPr>
          <w:b/>
        </w:rPr>
      </w:pPr>
      <w:r>
        <w:rPr>
          <w:b/>
          <w:u w:val="single"/>
        </w:rPr>
        <w:t>EVA</w:t>
      </w:r>
    </w:p>
    <w:p>
      <w:pPr>
        <w:spacing w:after="0"/>
      </w:pPr>
      <w:r>
        <w:t>2026-1611-0032</w:t>
      </w:r>
    </w:p>
    <w:p>
      <w:pPr>
        <w:spacing w:after="0"/>
      </w:pPr>
    </w:p>
    <w:p>
      <w:pPr>
        <w:spacing w:after="0"/>
        <w:rPr>
          <w:b/>
          <w:u w:val="single"/>
        </w:rPr>
      </w:pPr>
      <w:r>
        <w:rPr>
          <w:b/>
          <w:u w:val="single"/>
        </w:rPr>
        <w:t>AKTI EU, KATERIH PRENOS ALI IZVAJANJE SE ZAGOTAVLJA S PREDPISOM RS</w:t>
      </w:r>
    </w:p>
    <w:p>
      <w:pPr>
        <w:spacing w:after="0"/>
      </w:pPr>
    </w:p>
    <w:tbl>
      <w:tblPr>
        <w:tblStyle w:val="Navadnatabela11"/>
        <w:tblW w:w="8628" w:type="dxa"/>
        <w:tblInd w:w="127" w:type="dxa"/>
        <w:tblLook w:val="04A0"/>
      </w:tblPr>
      <w:tblGrid>
        <w:gridCol w:w="694"/>
        <w:gridCol w:w="1559"/>
        <w:gridCol w:w="4816"/>
        <w:gridCol w:w="1559"/>
      </w:tblGrid>
      <w:tr>
        <w:tblPrEx>
          <w:tblW w:w="8628" w:type="dxa"/>
          <w:tblInd w:w="127" w:type="dxa"/>
          <w:tblLook w:val="04A0"/>
        </w:tblPrEx>
        <w:trPr>
          <w:tblHeader/>
        </w:trPr>
        <w:tc>
          <w:tcPr>
            <w:tcW w:w="694" w:type="dxa"/>
            <w:shd w:val="clear" w:color="auto" w:fill="808080"/>
          </w:tcPr>
          <w:p>
            <w:pPr>
              <w:jc w:val="center"/>
              <w:rPr>
                <w:b w:val="0"/>
                <w:sz w:val="20"/>
                <w:szCs w:val="20"/>
              </w:rPr>
            </w:pPr>
            <w:r>
              <w:rPr>
                <w:sz w:val="20"/>
                <w:szCs w:val="20"/>
              </w:rPr>
              <w:t>Št.</w:t>
            </w:r>
          </w:p>
        </w:tc>
        <w:tc>
          <w:tcPr>
            <w:tcW w:w="1559" w:type="dxa"/>
            <w:shd w:val="clear" w:color="auto" w:fill="808080"/>
          </w:tcPr>
          <w:p>
            <w:pPr>
              <w:jc w:val="center"/>
              <w:rPr>
                <w:b w:val="0"/>
                <w:sz w:val="20"/>
                <w:szCs w:val="20"/>
              </w:rPr>
            </w:pPr>
            <w:r>
              <w:rPr>
                <w:sz w:val="20"/>
                <w:szCs w:val="20"/>
              </w:rPr>
              <w:t>CELEX</w:t>
            </w:r>
          </w:p>
        </w:tc>
        <w:tc>
          <w:tcPr>
            <w:tcW w:w="4816" w:type="dxa"/>
            <w:shd w:val="clear" w:color="auto" w:fill="808080"/>
          </w:tcPr>
          <w:p>
            <w:pPr>
              <w:jc w:val="center"/>
              <w:rPr>
                <w:b w:val="0"/>
                <w:sz w:val="20"/>
                <w:szCs w:val="20"/>
              </w:rPr>
            </w:pPr>
            <w:r>
              <w:rPr>
                <w:sz w:val="20"/>
                <w:szCs w:val="20"/>
              </w:rPr>
              <w:t>Naslov</w:t>
            </w:r>
          </w:p>
        </w:tc>
        <w:tc>
          <w:tcPr>
            <w:tcW w:w="1559" w:type="dxa"/>
            <w:shd w:val="clear" w:color="auto" w:fill="808080"/>
          </w:tcPr>
          <w:p>
            <w:pPr>
              <w:jc w:val="center"/>
              <w:rPr>
                <w:sz w:val="20"/>
                <w:szCs w:val="20"/>
              </w:rPr>
            </w:pPr>
            <w:r>
              <w:rPr>
                <w:sz w:val="20"/>
                <w:szCs w:val="20"/>
              </w:rPr>
              <w:t>Zadnjič spremenjen z (CELEX)</w:t>
            </w:r>
          </w:p>
        </w:tc>
      </w:tr>
      <w:tr>
        <w:tblPrEx>
          <w:tblW w:w="8628" w:type="dxa"/>
          <w:tblInd w:w="127" w:type="dxa"/>
          <w:tblLook w:val="04A0"/>
        </w:tblPrEx>
        <w:tc>
          <w:tcPr>
            <w:tcW w:w="694" w:type="dxa"/>
          </w:tcPr>
          <w:p>
            <w:pPr>
              <w:rPr>
                <w:sz w:val="20"/>
                <w:szCs w:val="20"/>
              </w:rPr>
            </w:pPr>
            <w:r>
              <w:rPr>
                <w:sz w:val="20"/>
                <w:szCs w:val="20"/>
              </w:rPr>
              <w:t>1</w:t>
            </w:r>
          </w:p>
        </w:tc>
        <w:tc>
          <w:tcPr>
            <w:tcW w:w="1559" w:type="dxa"/>
          </w:tcPr>
          <w:p>
            <w:pPr>
              <w:rPr>
                <w:sz w:val="20"/>
                <w:szCs w:val="20"/>
              </w:rPr>
            </w:pPr>
            <w:r>
              <w:rPr>
                <w:sz w:val="20"/>
                <w:szCs w:val="20"/>
              </w:rPr>
              <w:t>32014R0909</w:t>
            </w:r>
          </w:p>
        </w:tc>
        <w:tc>
          <w:tcPr>
            <w:tcW w:w="5099" w:type="dxa"/>
          </w:tcPr>
          <w:p>
            <w:pPr>
              <w:rPr>
                <w:sz w:val="20"/>
                <w:szCs w:val="20"/>
              </w:rPr>
            </w:pPr>
            <w:r>
              <w:rPr>
                <w:sz w:val="20"/>
                <w:szCs w:val="20"/>
              </w:rPr>
              <w:t>Uredba (EU) št. 909/2014 Evropskega parlamenta in Sveta z dne 23. julija 2014 o izboljšanju ureditve poravnav vrednostnih papirjev v Evropski uniji in o centralnih depotnih družbah ter o spremembi direktiv 98/26/ES in 2014/65/EU ter Uredbe (EU) št. 236/2012</w:t>
            </w:r>
          </w:p>
        </w:tc>
        <w:tc>
          <w:tcPr>
            <w:tcW w:w="1701" w:type="dxa"/>
          </w:tcPr>
          <w:p>
            <w:pPr>
              <w:rPr>
                <w:sz w:val="20"/>
                <w:szCs w:val="20"/>
              </w:rPr>
            </w:pPr>
            <w:r>
              <w:rPr>
                <w:sz w:val="20"/>
                <w:szCs w:val="20"/>
              </w:rPr>
              <w:t>32025R2075</w:t>
            </w:r>
          </w:p>
        </w:tc>
      </w:tr>
    </w:tbl>
    <w:tbl>
      <w:tblPr>
        <w:tblStyle w:val="TableNormal"/>
        <w:tblW w:w="8647" w:type="dxa"/>
        <w:tblInd w:w="108" w:type="dxa"/>
        <w:tblLayout w:type="fixed"/>
        <w:tblLook w:val="04A0"/>
      </w:tblPr>
      <w:tblGrid>
        <w:gridCol w:w="709"/>
        <w:gridCol w:w="1134"/>
        <w:gridCol w:w="851"/>
        <w:gridCol w:w="850"/>
        <w:gridCol w:w="1559"/>
        <w:gridCol w:w="709"/>
        <w:gridCol w:w="1134"/>
        <w:gridCol w:w="851"/>
        <w:gridCol w:w="850"/>
      </w:tblGrid>
      <w:tr>
        <w:tblPrEx>
          <w:tblW w:w="8647" w:type="dxa"/>
          <w:tblInd w:w="108" w:type="dxa"/>
          <w:tblLayout w:type="fixed"/>
          <w:tblLook w:val="04A0"/>
        </w:tblPrEx>
        <w:trPr>
          <w:trHeight w:val="452"/>
          <w:tblHeader/>
        </w:trPr>
        <w:tc>
          <w:tcPr>
            <w:tcW w:w="3529" w:type="dxa"/>
            <w:gridSpan w:val="4"/>
            <w:shd w:val="clear" w:color="auto" w:fill="808080" w:themeFillShade="80"/>
          </w:tcPr>
          <w:p>
            <w:pPr>
              <w:jc w:val="center"/>
              <w:rPr>
                <w:b/>
                <w:sz w:val="20"/>
                <w:szCs w:val="20"/>
              </w:rPr>
            </w:pPr>
            <w:r>
              <w:rPr>
                <w:b/>
                <w:sz w:val="20"/>
                <w:szCs w:val="20"/>
              </w:rPr>
              <w:t>Predpis RS</w:t>
            </w:r>
          </w:p>
        </w:tc>
        <w:tc>
          <w:tcPr>
            <w:tcW w:w="1559" w:type="dxa"/>
            <w:vMerge w:val="restart"/>
            <w:shd w:val="clear" w:color="auto" w:fill="808080" w:themeFillShade="80"/>
          </w:tcPr>
          <w:p>
            <w:pPr>
              <w:jc w:val="center"/>
              <w:rPr>
                <w:b/>
                <w:sz w:val="20"/>
                <w:szCs w:val="20"/>
              </w:rPr>
            </w:pPr>
            <w:r>
              <w:rPr>
                <w:b/>
                <w:sz w:val="20"/>
                <w:szCs w:val="20"/>
              </w:rPr>
              <w:t>Opomba ali CELEX akta EU predpisa</w:t>
            </w:r>
          </w:p>
        </w:tc>
        <w:tc>
          <w:tcPr>
            <w:tcW w:w="3528" w:type="dxa"/>
            <w:gridSpan w:val="4"/>
            <w:shd w:val="clear" w:color="auto" w:fill="808080" w:themeFillShade="80"/>
          </w:tcPr>
          <w:p>
            <w:pPr>
              <w:jc w:val="center"/>
              <w:rPr>
                <w:b/>
                <w:sz w:val="20"/>
                <w:szCs w:val="20"/>
              </w:rPr>
            </w:pPr>
            <w:r>
              <w:rPr>
                <w:b/>
                <w:sz w:val="20"/>
                <w:szCs w:val="20"/>
              </w:rPr>
              <w:t>Akt EU</w:t>
            </w:r>
          </w:p>
        </w:tc>
      </w:tr>
      <w:tr>
        <w:tblPrEx>
          <w:tblW w:w="8647" w:type="dxa"/>
          <w:tblInd w:w="108" w:type="dxa"/>
          <w:tblLayout w:type="fixed"/>
          <w:tblLook w:val="04A0"/>
        </w:tblPrEx>
        <w:trPr>
          <w:trHeight w:val="250"/>
          <w:tblHeader/>
        </w:trPr>
        <w:tc>
          <w:tcPr>
            <w:tcW w:w="709" w:type="dxa"/>
            <w:tcBorders>
              <w:bottom w:val="double" w:sz="4" w:space="0" w:color="auto"/>
            </w:tcBorders>
            <w:shd w:val="clear" w:color="auto" w:fill="808080" w:themeFillShade="80"/>
          </w:tcPr>
          <w:p>
            <w:pPr>
              <w:rPr>
                <w:sz w:val="20"/>
                <w:szCs w:val="20"/>
              </w:rPr>
            </w:pPr>
            <w:r>
              <w:rPr>
                <w:sz w:val="20"/>
                <w:szCs w:val="20"/>
              </w:rPr>
              <w:t>Člen</w:t>
            </w:r>
          </w:p>
        </w:tc>
        <w:tc>
          <w:tcPr>
            <w:tcW w:w="1134" w:type="dxa"/>
            <w:tcBorders>
              <w:bottom w:val="double" w:sz="4" w:space="0" w:color="auto"/>
            </w:tcBorders>
            <w:shd w:val="clear" w:color="auto" w:fill="808080" w:themeFillShade="80"/>
          </w:tcPr>
          <w:p>
            <w:pPr>
              <w:rPr>
                <w:sz w:val="20"/>
                <w:szCs w:val="20"/>
              </w:rPr>
            </w:pPr>
            <w:r>
              <w:rPr>
                <w:sz w:val="20"/>
                <w:szCs w:val="20"/>
              </w:rPr>
              <w:t>Odstavek</w:t>
            </w:r>
          </w:p>
        </w:tc>
        <w:tc>
          <w:tcPr>
            <w:tcW w:w="851" w:type="dxa"/>
            <w:tcBorders>
              <w:bottom w:val="double" w:sz="4" w:space="0" w:color="auto"/>
            </w:tcBorders>
            <w:shd w:val="clear" w:color="auto" w:fill="808080" w:themeFillShade="80"/>
          </w:tcPr>
          <w:p>
            <w:pPr>
              <w:rPr>
                <w:sz w:val="20"/>
                <w:szCs w:val="20"/>
              </w:rPr>
            </w:pPr>
            <w:r>
              <w:rPr>
                <w:sz w:val="20"/>
                <w:szCs w:val="20"/>
              </w:rPr>
              <w:t>Točka</w:t>
            </w:r>
          </w:p>
        </w:tc>
        <w:tc>
          <w:tcPr>
            <w:tcW w:w="850" w:type="dxa"/>
            <w:tcBorders>
              <w:bottom w:val="double" w:sz="4" w:space="0" w:color="auto"/>
            </w:tcBorders>
            <w:shd w:val="clear" w:color="auto" w:fill="808080" w:themeFillShade="80"/>
          </w:tcPr>
          <w:p>
            <w:pPr>
              <w:rPr>
                <w:sz w:val="20"/>
                <w:szCs w:val="20"/>
              </w:rPr>
            </w:pPr>
            <w:r>
              <w:rPr>
                <w:sz w:val="20"/>
                <w:szCs w:val="20"/>
              </w:rPr>
              <w:t>Alinea</w:t>
            </w:r>
          </w:p>
        </w:tc>
        <w:tc>
          <w:tcPr>
            <w:tcW w:w="1985" w:type="dxa"/>
            <w:vMerge/>
            <w:tcBorders>
              <w:bottom w:val="double" w:sz="4" w:space="0" w:color="auto"/>
            </w:tcBorders>
            <w:shd w:val="clear" w:color="auto" w:fill="808080" w:themeFillShade="80"/>
          </w:tcPr>
          <w:p>
            <w:pPr>
              <w:rPr>
                <w:b/>
                <w:sz w:val="20"/>
                <w:szCs w:val="20"/>
              </w:rPr>
            </w:pPr>
          </w:p>
        </w:tc>
        <w:tc>
          <w:tcPr>
            <w:tcW w:w="709" w:type="dxa"/>
            <w:tcBorders>
              <w:bottom w:val="double" w:sz="4" w:space="0" w:color="auto"/>
            </w:tcBorders>
            <w:shd w:val="clear" w:color="auto" w:fill="808080" w:themeFillShade="80"/>
          </w:tcPr>
          <w:p>
            <w:pPr>
              <w:rPr>
                <w:sz w:val="20"/>
                <w:szCs w:val="20"/>
              </w:rPr>
            </w:pPr>
            <w:r>
              <w:rPr>
                <w:sz w:val="20"/>
                <w:szCs w:val="20"/>
              </w:rPr>
              <w:t>Člen</w:t>
            </w:r>
          </w:p>
        </w:tc>
        <w:tc>
          <w:tcPr>
            <w:tcW w:w="1134" w:type="dxa"/>
            <w:tcBorders>
              <w:bottom w:val="double" w:sz="4" w:space="0" w:color="auto"/>
            </w:tcBorders>
            <w:shd w:val="clear" w:color="auto" w:fill="808080" w:themeFillShade="80"/>
          </w:tcPr>
          <w:p>
            <w:pPr>
              <w:rPr>
                <w:sz w:val="20"/>
                <w:szCs w:val="20"/>
              </w:rPr>
            </w:pPr>
            <w:r>
              <w:rPr>
                <w:sz w:val="20"/>
                <w:szCs w:val="20"/>
              </w:rPr>
              <w:t>Odstavek</w:t>
            </w:r>
          </w:p>
        </w:tc>
        <w:tc>
          <w:tcPr>
            <w:tcW w:w="851" w:type="dxa"/>
            <w:tcBorders>
              <w:bottom w:val="double" w:sz="4" w:space="0" w:color="auto"/>
            </w:tcBorders>
            <w:shd w:val="clear" w:color="auto" w:fill="808080" w:themeFillShade="80"/>
          </w:tcPr>
          <w:p>
            <w:pPr>
              <w:rPr>
                <w:sz w:val="20"/>
                <w:szCs w:val="20"/>
              </w:rPr>
            </w:pPr>
            <w:r>
              <w:rPr>
                <w:sz w:val="20"/>
                <w:szCs w:val="20"/>
              </w:rPr>
              <w:t>Točka</w:t>
            </w:r>
          </w:p>
        </w:tc>
        <w:tc>
          <w:tcPr>
            <w:tcW w:w="850" w:type="dxa"/>
            <w:tcBorders>
              <w:bottom w:val="double" w:sz="4" w:space="0" w:color="auto"/>
            </w:tcBorders>
            <w:shd w:val="clear" w:color="auto" w:fill="808080" w:themeFillShade="80"/>
          </w:tcPr>
          <w:p>
            <w:pPr>
              <w:rPr>
                <w:sz w:val="20"/>
                <w:szCs w:val="20"/>
              </w:rPr>
            </w:pPr>
            <w:r>
              <w:rPr>
                <w:sz w:val="20"/>
                <w:szCs w:val="20"/>
              </w:rPr>
              <w:t>Alinea</w:t>
            </w:r>
          </w:p>
        </w:tc>
      </w:tr>
      <w:tr>
        <w:tblPrEx>
          <w:tblW w:w="8647" w:type="dxa"/>
          <w:tblInd w:w="108" w:type="dxa"/>
          <w:tblLayout w:type="fixed"/>
          <w:tblLook w:val="04A0"/>
        </w:tblPrEx>
        <w:trPr>
          <w:trHeight w:hRule="exact" w:val="750"/>
        </w:trPr>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jc w:val="center"/>
            </w:pPr>
            <w:r>
              <w:t>1</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jc w:val="center"/>
              <w:rPr>
                <w:sz w:val="20"/>
                <w:szCs w:val="20"/>
              </w:rP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jc w:val="center"/>
              <w:rPr>
                <w:sz w:val="20"/>
                <w:szCs w:val="20"/>
              </w:rP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jc w:val="center"/>
              <w:rPr>
                <w:sz w:val="20"/>
                <w:szCs w:val="20"/>
              </w:rP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jc w:val="center"/>
              <w:rPr>
                <w:sz w:val="20"/>
                <w:szCs w:val="20"/>
              </w:rPr>
            </w:pPr>
            <w:r>
              <w:rPr>
                <w:sz w:val="20"/>
                <w:szCs w:val="20"/>
              </w:rPr>
              <w:t>Ni predmet usklajevanja s pravom EU</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jc w:val="center"/>
              <w:rPr>
                <w:sz w:val="20"/>
                <w:szCs w:val="20"/>
              </w:rP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jc w:val="center"/>
              <w:rPr>
                <w:sz w:val="20"/>
                <w:szCs w:val="20"/>
              </w:rP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jc w:val="center"/>
              <w:rPr>
                <w:sz w:val="20"/>
                <w:szCs w:val="20"/>
              </w:rP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jc w:val="center"/>
              <w:rPr>
                <w:sz w:val="20"/>
                <w:szCs w:val="20"/>
              </w:rPr>
            </w:pPr>
          </w:p>
        </w:tc>
      </w:tr>
      <w:tr>
        <w:tblPrEx>
          <w:tblW w:w="8647" w:type="dxa"/>
          <w:tblInd w:w="108" w:type="dxa"/>
          <w:tblLayout w:type="fixed"/>
          <w:tblLook w:val="04A0"/>
        </w:tblPrEx>
        <w:trPr>
          <w:trHeight w:hRule="exact" w:val="750"/>
        </w:trPr>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jc w:val="center"/>
            </w:pPr>
            <w:r>
              <w:t>2</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jc w:val="center"/>
              <w:rPr>
                <w:sz w:val="20"/>
                <w:szCs w:val="20"/>
              </w:rP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jc w:val="center"/>
              <w:rPr>
                <w:sz w:val="20"/>
                <w:szCs w:val="20"/>
              </w:rP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jc w:val="center"/>
              <w:rPr>
                <w:sz w:val="20"/>
                <w:szCs w:val="20"/>
              </w:rP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jc w:val="center"/>
              <w:rPr>
                <w:sz w:val="20"/>
                <w:szCs w:val="20"/>
              </w:rPr>
            </w:pPr>
            <w:r>
              <w:rPr>
                <w:sz w:val="20"/>
                <w:szCs w:val="20"/>
              </w:rPr>
              <w:t>32014R0909</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jc w:val="center"/>
              <w:rPr>
                <w:sz w:val="20"/>
                <w:szCs w:val="20"/>
              </w:rPr>
            </w:pPr>
            <w:r>
              <w:rPr>
                <w:sz w:val="20"/>
                <w:szCs w:val="20"/>
              </w:rPr>
              <w:t>7</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jc w:val="center"/>
              <w:rPr>
                <w:sz w:val="20"/>
                <w:szCs w:val="20"/>
              </w:rPr>
            </w:pPr>
            <w:r>
              <w:rPr>
                <w:sz w:val="20"/>
                <w:szCs w:val="20"/>
              </w:rPr>
              <w:t>7</w:t>
            </w: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jc w:val="center"/>
              <w:rPr>
                <w:sz w:val="20"/>
                <w:szCs w:val="20"/>
              </w:rP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jc w:val="center"/>
              <w:rPr>
                <w:sz w:val="20"/>
                <w:szCs w:val="20"/>
              </w:rPr>
            </w:pPr>
          </w:p>
        </w:tc>
      </w:tr>
      <w:tr>
        <w:tblPrEx>
          <w:tblW w:w="8647" w:type="dxa"/>
          <w:tblInd w:w="108" w:type="dxa"/>
          <w:tblLayout w:type="fixed"/>
          <w:tblLook w:val="04A0"/>
        </w:tblPrEx>
        <w:trPr>
          <w:trHeight w:hRule="exact" w:val="750"/>
        </w:trPr>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jc w:val="center"/>
            </w:pPr>
            <w:r>
              <w:t>2</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jc w:val="center"/>
              <w:rPr>
                <w:sz w:val="20"/>
                <w:szCs w:val="20"/>
              </w:rP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jc w:val="center"/>
              <w:rPr>
                <w:sz w:val="20"/>
                <w:szCs w:val="20"/>
              </w:rP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jc w:val="center"/>
              <w:rPr>
                <w:sz w:val="20"/>
                <w:szCs w:val="20"/>
              </w:rP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jc w:val="center"/>
              <w:rPr>
                <w:sz w:val="20"/>
                <w:szCs w:val="20"/>
              </w:rPr>
            </w:pPr>
            <w:r>
              <w:rPr>
                <w:sz w:val="20"/>
                <w:szCs w:val="20"/>
              </w:rPr>
              <w:t>32014R0909</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jc w:val="center"/>
              <w:rPr>
                <w:sz w:val="20"/>
                <w:szCs w:val="20"/>
              </w:rPr>
            </w:pPr>
            <w:r>
              <w:rPr>
                <w:sz w:val="20"/>
                <w:szCs w:val="20"/>
              </w:rPr>
              <w:t>7a</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jc w:val="center"/>
              <w:rPr>
                <w:sz w:val="20"/>
                <w:szCs w:val="20"/>
              </w:rP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jc w:val="center"/>
              <w:rPr>
                <w:sz w:val="20"/>
                <w:szCs w:val="20"/>
              </w:rP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jc w:val="center"/>
              <w:rPr>
                <w:sz w:val="20"/>
                <w:szCs w:val="20"/>
              </w:rPr>
            </w:pPr>
          </w:p>
        </w:tc>
      </w:tr>
      <w:tr>
        <w:tblPrEx>
          <w:tblW w:w="8647" w:type="dxa"/>
          <w:tblInd w:w="108" w:type="dxa"/>
          <w:tblLayout w:type="fixed"/>
          <w:tblLook w:val="04A0"/>
        </w:tblPrEx>
        <w:trPr>
          <w:trHeight w:hRule="exact" w:val="750"/>
        </w:trPr>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jc w:val="center"/>
            </w:pPr>
            <w:r>
              <w:t>2</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jc w:val="center"/>
              <w:rPr>
                <w:sz w:val="20"/>
                <w:szCs w:val="20"/>
              </w:rP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jc w:val="center"/>
              <w:rPr>
                <w:sz w:val="20"/>
                <w:szCs w:val="20"/>
              </w:rP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jc w:val="center"/>
              <w:rPr>
                <w:sz w:val="20"/>
                <w:szCs w:val="20"/>
              </w:rP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jc w:val="center"/>
              <w:rPr>
                <w:sz w:val="20"/>
                <w:szCs w:val="20"/>
              </w:rPr>
            </w:pPr>
            <w:r>
              <w:rPr>
                <w:sz w:val="20"/>
                <w:szCs w:val="20"/>
              </w:rPr>
              <w:t>32014R0909</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jc w:val="center"/>
              <w:rPr>
                <w:sz w:val="20"/>
                <w:szCs w:val="20"/>
              </w:rPr>
            </w:pPr>
            <w:r>
              <w:rPr>
                <w:sz w:val="20"/>
                <w:szCs w:val="20"/>
              </w:rPr>
              <w:t>20</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jc w:val="center"/>
              <w:rPr>
                <w:sz w:val="20"/>
                <w:szCs w:val="20"/>
              </w:rPr>
            </w:pPr>
            <w:r>
              <w:rPr>
                <w:sz w:val="20"/>
                <w:szCs w:val="20"/>
              </w:rPr>
              <w:t>5</w:t>
            </w: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jc w:val="center"/>
              <w:rPr>
                <w:sz w:val="20"/>
                <w:szCs w:val="20"/>
              </w:rP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jc w:val="center"/>
              <w:rPr>
                <w:sz w:val="20"/>
                <w:szCs w:val="20"/>
              </w:rPr>
            </w:pPr>
          </w:p>
        </w:tc>
      </w:tr>
      <w:tr>
        <w:tblPrEx>
          <w:tblW w:w="8647" w:type="dxa"/>
          <w:tblInd w:w="108" w:type="dxa"/>
          <w:tblLayout w:type="fixed"/>
          <w:tblLook w:val="04A0"/>
        </w:tblPrEx>
        <w:trPr>
          <w:trHeight w:hRule="exact" w:val="750"/>
        </w:trPr>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jc w:val="center"/>
            </w:pPr>
            <w:r>
              <w:t>2</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jc w:val="center"/>
              <w:rPr>
                <w:sz w:val="20"/>
                <w:szCs w:val="20"/>
              </w:rP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jc w:val="center"/>
              <w:rPr>
                <w:sz w:val="20"/>
                <w:szCs w:val="20"/>
              </w:rP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jc w:val="center"/>
              <w:rPr>
                <w:sz w:val="20"/>
                <w:szCs w:val="20"/>
              </w:rP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jc w:val="center"/>
              <w:rPr>
                <w:sz w:val="20"/>
                <w:szCs w:val="20"/>
              </w:rPr>
            </w:pPr>
            <w:r>
              <w:rPr>
                <w:sz w:val="20"/>
                <w:szCs w:val="20"/>
              </w:rPr>
              <w:t>32014R0909</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jc w:val="center"/>
              <w:rPr>
                <w:sz w:val="20"/>
                <w:szCs w:val="20"/>
              </w:rPr>
            </w:pPr>
            <w:r>
              <w:rPr>
                <w:sz w:val="20"/>
                <w:szCs w:val="20"/>
              </w:rPr>
              <w:t>22a</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jc w:val="center"/>
              <w:rPr>
                <w:sz w:val="20"/>
                <w:szCs w:val="20"/>
              </w:rP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jc w:val="center"/>
              <w:rPr>
                <w:sz w:val="20"/>
                <w:szCs w:val="20"/>
              </w:rP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jc w:val="center"/>
              <w:rPr>
                <w:sz w:val="20"/>
                <w:szCs w:val="20"/>
              </w:rPr>
            </w:pPr>
          </w:p>
        </w:tc>
      </w:tr>
      <w:tr>
        <w:tblPrEx>
          <w:tblW w:w="8647" w:type="dxa"/>
          <w:tblInd w:w="108" w:type="dxa"/>
          <w:tblLayout w:type="fixed"/>
          <w:tblLook w:val="04A0"/>
        </w:tblPrEx>
        <w:trPr>
          <w:trHeight w:hRule="exact" w:val="750"/>
        </w:trPr>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jc w:val="center"/>
            </w:pPr>
            <w:r>
              <w:t>2</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jc w:val="center"/>
              <w:rPr>
                <w:sz w:val="20"/>
                <w:szCs w:val="20"/>
              </w:rP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jc w:val="center"/>
              <w:rPr>
                <w:sz w:val="20"/>
                <w:szCs w:val="20"/>
              </w:rP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jc w:val="center"/>
              <w:rPr>
                <w:sz w:val="20"/>
                <w:szCs w:val="20"/>
              </w:rP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jc w:val="center"/>
              <w:rPr>
                <w:sz w:val="20"/>
                <w:szCs w:val="20"/>
              </w:rPr>
            </w:pPr>
            <w:r>
              <w:rPr>
                <w:sz w:val="20"/>
                <w:szCs w:val="20"/>
              </w:rPr>
              <w:t>32014R0909</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jc w:val="center"/>
              <w:rPr>
                <w:sz w:val="20"/>
                <w:szCs w:val="20"/>
              </w:rPr>
            </w:pPr>
            <w:r>
              <w:rPr>
                <w:sz w:val="20"/>
                <w:szCs w:val="20"/>
              </w:rPr>
              <w:t>23</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jc w:val="center"/>
              <w:rPr>
                <w:sz w:val="20"/>
                <w:szCs w:val="20"/>
              </w:rP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jc w:val="center"/>
              <w:rPr>
                <w:sz w:val="20"/>
                <w:szCs w:val="20"/>
              </w:rP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jc w:val="center"/>
              <w:rPr>
                <w:sz w:val="20"/>
                <w:szCs w:val="20"/>
              </w:rPr>
            </w:pPr>
          </w:p>
        </w:tc>
      </w:tr>
      <w:tr>
        <w:tblPrEx>
          <w:tblW w:w="8647" w:type="dxa"/>
          <w:tblInd w:w="108" w:type="dxa"/>
          <w:tblLayout w:type="fixed"/>
          <w:tblLook w:val="04A0"/>
        </w:tblPrEx>
        <w:trPr>
          <w:trHeight w:hRule="exact" w:val="750"/>
        </w:trPr>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jc w:val="center"/>
            </w:pPr>
            <w:r>
              <w:t>2</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jc w:val="center"/>
              <w:rPr>
                <w:sz w:val="20"/>
                <w:szCs w:val="20"/>
              </w:rP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jc w:val="center"/>
              <w:rPr>
                <w:sz w:val="20"/>
                <w:szCs w:val="20"/>
              </w:rP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jc w:val="center"/>
              <w:rPr>
                <w:sz w:val="20"/>
                <w:szCs w:val="20"/>
              </w:rP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jc w:val="center"/>
              <w:rPr>
                <w:sz w:val="20"/>
                <w:szCs w:val="20"/>
              </w:rPr>
            </w:pPr>
            <w:r>
              <w:rPr>
                <w:sz w:val="20"/>
                <w:szCs w:val="20"/>
              </w:rPr>
              <w:t>32014R0909</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jc w:val="center"/>
              <w:rPr>
                <w:sz w:val="20"/>
                <w:szCs w:val="20"/>
              </w:rPr>
            </w:pPr>
            <w:r>
              <w:rPr>
                <w:sz w:val="20"/>
                <w:szCs w:val="20"/>
              </w:rPr>
              <w:t>24a</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jc w:val="center"/>
              <w:rPr>
                <w:sz w:val="20"/>
                <w:szCs w:val="20"/>
              </w:rP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jc w:val="center"/>
              <w:rPr>
                <w:sz w:val="20"/>
                <w:szCs w:val="20"/>
              </w:rP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jc w:val="center"/>
              <w:rPr>
                <w:sz w:val="20"/>
                <w:szCs w:val="20"/>
              </w:rPr>
            </w:pPr>
          </w:p>
        </w:tc>
      </w:tr>
      <w:tr>
        <w:tblPrEx>
          <w:tblW w:w="8647" w:type="dxa"/>
          <w:tblInd w:w="108" w:type="dxa"/>
          <w:tblLayout w:type="fixed"/>
          <w:tblLook w:val="04A0"/>
        </w:tblPrEx>
        <w:trPr>
          <w:trHeight w:hRule="exact" w:val="750"/>
        </w:trPr>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jc w:val="center"/>
            </w:pPr>
            <w:r>
              <w:t>2</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jc w:val="center"/>
              <w:rPr>
                <w:sz w:val="20"/>
                <w:szCs w:val="20"/>
              </w:rP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jc w:val="center"/>
              <w:rPr>
                <w:sz w:val="20"/>
                <w:szCs w:val="20"/>
              </w:rP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jc w:val="center"/>
              <w:rPr>
                <w:sz w:val="20"/>
                <w:szCs w:val="20"/>
              </w:rP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jc w:val="center"/>
              <w:rPr>
                <w:sz w:val="20"/>
                <w:szCs w:val="20"/>
              </w:rPr>
            </w:pPr>
            <w:r>
              <w:rPr>
                <w:sz w:val="20"/>
                <w:szCs w:val="20"/>
              </w:rPr>
              <w:t>32014R0909</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jc w:val="center"/>
              <w:rPr>
                <w:sz w:val="20"/>
                <w:szCs w:val="20"/>
              </w:rPr>
            </w:pPr>
            <w:r>
              <w:rPr>
                <w:sz w:val="20"/>
                <w:szCs w:val="20"/>
              </w:rPr>
              <w:t>47a</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jc w:val="center"/>
              <w:rPr>
                <w:sz w:val="20"/>
                <w:szCs w:val="20"/>
              </w:rP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jc w:val="center"/>
              <w:rPr>
                <w:sz w:val="20"/>
                <w:szCs w:val="20"/>
              </w:rP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jc w:val="center"/>
              <w:rPr>
                <w:sz w:val="20"/>
                <w:szCs w:val="20"/>
              </w:rPr>
            </w:pPr>
          </w:p>
        </w:tc>
      </w:tr>
      <w:tr>
        <w:tblPrEx>
          <w:tblW w:w="8647" w:type="dxa"/>
          <w:tblInd w:w="108" w:type="dxa"/>
          <w:tblLayout w:type="fixed"/>
          <w:tblLook w:val="04A0"/>
        </w:tblPrEx>
        <w:trPr>
          <w:trHeight w:hRule="exact" w:val="750"/>
        </w:trPr>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jc w:val="center"/>
            </w:pPr>
            <w:r>
              <w:t>3</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jc w:val="center"/>
              <w:rPr>
                <w:sz w:val="20"/>
                <w:szCs w:val="20"/>
              </w:rP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jc w:val="center"/>
              <w:rPr>
                <w:sz w:val="20"/>
                <w:szCs w:val="20"/>
              </w:rP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jc w:val="center"/>
              <w:rPr>
                <w:sz w:val="20"/>
                <w:szCs w:val="20"/>
              </w:rP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jc w:val="center"/>
              <w:rPr>
                <w:sz w:val="20"/>
                <w:szCs w:val="20"/>
              </w:rPr>
            </w:pPr>
            <w:r>
              <w:rPr>
                <w:sz w:val="20"/>
                <w:szCs w:val="20"/>
              </w:rPr>
              <w:t>32014R0909</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jc w:val="center"/>
              <w:rPr>
                <w:sz w:val="20"/>
                <w:szCs w:val="20"/>
              </w:rPr>
            </w:pPr>
            <w:r>
              <w:rPr>
                <w:sz w:val="20"/>
                <w:szCs w:val="20"/>
              </w:rPr>
              <w:t>63</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jc w:val="center"/>
              <w:rPr>
                <w:sz w:val="20"/>
                <w:szCs w:val="20"/>
              </w:rPr>
            </w:pPr>
            <w:r>
              <w:rPr>
                <w:sz w:val="20"/>
                <w:szCs w:val="20"/>
              </w:rPr>
              <w:t>2</w:t>
            </w: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jc w:val="center"/>
              <w:rPr>
                <w:sz w:val="20"/>
                <w:szCs w:val="20"/>
              </w:rPr>
            </w:pPr>
            <w:r>
              <w:t>d</w:t>
            </w: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jc w:val="center"/>
              <w:rPr>
                <w:sz w:val="20"/>
                <w:szCs w:val="20"/>
              </w:rPr>
            </w:pPr>
          </w:p>
        </w:tc>
      </w:tr>
      <w:tr>
        <w:tblPrEx>
          <w:tblW w:w="8647" w:type="dxa"/>
          <w:tblInd w:w="108" w:type="dxa"/>
          <w:tblLayout w:type="fixed"/>
          <w:tblLook w:val="04A0"/>
        </w:tblPrEx>
        <w:trPr>
          <w:trHeight w:hRule="exact" w:val="750"/>
        </w:trPr>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jc w:val="center"/>
            </w:pPr>
            <w:r>
              <w:t>4</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jc w:val="center"/>
              <w:rPr>
                <w:sz w:val="20"/>
                <w:szCs w:val="20"/>
              </w:rP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jc w:val="center"/>
              <w:rPr>
                <w:sz w:val="20"/>
                <w:szCs w:val="20"/>
              </w:rP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jc w:val="center"/>
              <w:rPr>
                <w:sz w:val="20"/>
                <w:szCs w:val="20"/>
              </w:rP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jc w:val="center"/>
              <w:rPr>
                <w:sz w:val="20"/>
                <w:szCs w:val="20"/>
              </w:rPr>
            </w:pPr>
            <w:r>
              <w:rPr>
                <w:sz w:val="20"/>
                <w:szCs w:val="20"/>
              </w:rPr>
              <w:t>Ni predmet usklajevanja s pravom EU</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jc w:val="center"/>
              <w:rPr>
                <w:sz w:val="20"/>
                <w:szCs w:val="20"/>
              </w:rP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jc w:val="center"/>
              <w:rPr>
                <w:sz w:val="20"/>
                <w:szCs w:val="20"/>
              </w:rP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jc w:val="center"/>
              <w:rPr>
                <w:sz w:val="20"/>
                <w:szCs w:val="20"/>
              </w:rP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pPr>
              <w:jc w:val="center"/>
              <w:rPr>
                <w:sz w:val="20"/>
                <w:szCs w:val="20"/>
              </w:rPr>
            </w:pPr>
          </w:p>
        </w:tc>
      </w:tr>
    </w:tbl>
    <w:p>
      <w:pPr>
        <w:spacing w:after="0"/>
        <w:rPr>
          <w:b/>
        </w:rPr>
      </w:pPr>
    </w:p>
    <w:p>
      <w:pPr>
        <w:spacing w:after="0" w:line="260" w:lineRule="auto"/>
        <w:rPr>
          <w:rFonts w:ascii="Arial" w:hAnsi="Arial" w:cs="Arial"/>
        </w:rPr>
      </w:pPr>
    </w:p>
    <w:p>
      <w:pPr>
        <w:pStyle w:val="SrajckaNaslovZamik"/>
        <w:spacing w:after="0" w:line="260" w:lineRule="auto"/>
      </w:pPr>
      <w:r>
        <w:t>3.3</w:t>
      </w:r>
      <w:r>
        <w:tab/>
      </w:r>
      <w:r>
        <w:t>Prikaz ureditve v posameznih državah članicah Evropske unije</w:t>
      </w:r>
    </w:p>
    <w:p>
      <w:pPr>
        <w:spacing w:after="0" w:line="260" w:lineRule="auto"/>
        <w:rPr>
          <w:rFonts w:ascii="Arial" w:hAnsi="Arial" w:cs="Arial"/>
        </w:rPr>
      </w:pPr>
    </w:p>
    <w:p>
      <w:pPr>
        <w:spacing w:after="0" w:line="260" w:lineRule="auto"/>
      </w:pPr>
      <w:r>
        <w:t>/</w:t>
      </w:r>
    </w:p>
    <w:p>
      <w:pPr>
        <w:spacing w:after="0" w:line="260" w:lineRule="auto"/>
        <w:rPr>
          <w:rFonts w:ascii="Arial" w:hAnsi="Arial" w:cs="Arial"/>
        </w:rPr>
      </w:pPr>
    </w:p>
    <w:p>
      <w:pPr>
        <w:pStyle w:val="Odebeljeno"/>
        <w:spacing w:after="0" w:line="260" w:lineRule="auto"/>
      </w:pPr>
      <w:r>
        <w:t>4.</w:t>
      </w:r>
      <w:r>
        <w:tab/>
      </w:r>
      <w:r>
        <w:t>Presoja posledic</w:t>
      </w:r>
    </w:p>
    <w:p>
      <w:pPr>
        <w:spacing w:after="0" w:line="260" w:lineRule="auto"/>
        <w:rPr>
          <w:rFonts w:ascii="Arial" w:hAnsi="Arial" w:cs="Arial"/>
        </w:rPr>
      </w:pPr>
    </w:p>
    <w:p>
      <w:pPr>
        <w:spacing w:after="0" w:line="260" w:lineRule="auto"/>
      </w:pPr>
      <w:r>
        <w:t>Presoja posledic je bila opravljena ob sprejemanju zakona, ki je podlaga za izdajo tega predloga.</w:t>
      </w:r>
    </w:p>
    <w:p>
      <w:pPr>
        <w:spacing w:after="0" w:line="260" w:lineRule="auto"/>
        <w:rPr>
          <w:rFonts w:ascii="Arial" w:hAnsi="Arial" w:cs="Arial"/>
        </w:rPr>
      </w:pPr>
    </w:p>
    <w:p>
      <w:pPr>
        <w:pStyle w:val="Odebeljeno"/>
        <w:spacing w:after="0" w:line="260" w:lineRule="auto"/>
      </w:pPr>
      <w:r>
        <w:t>5.</w:t>
      </w:r>
      <w:r>
        <w:tab/>
      </w:r>
      <w:r>
        <w:t>Prikaz sodelovanja javnosti</w:t>
      </w:r>
    </w:p>
    <w:p>
      <w:pPr>
        <w:spacing w:after="0" w:line="260" w:lineRule="auto"/>
        <w:rPr>
          <w:rFonts w:ascii="Arial" w:hAnsi="Arial" w:cs="Arial"/>
        </w:rPr>
      </w:pPr>
    </w:p>
    <w:p>
      <w:pPr>
        <w:spacing w:after="0" w:line="260" w:lineRule="auto"/>
      </w:pPr>
      <w:r>
        <w:t>Gradivo je bilo predmet sodelovanja z javnostjo.</w:t>
      </w:r>
    </w:p>
    <w:p>
      <w:pPr>
        <w:spacing w:after="0" w:line="260" w:lineRule="auto"/>
        <w:rPr>
          <w:rFonts w:ascii="Arial" w:hAnsi="Arial" w:cs="Arial"/>
        </w:rPr>
      </w:pPr>
    </w:p>
    <w:p>
      <w:pPr>
        <w:spacing w:after="0" w:line="260" w:lineRule="auto"/>
      </w:pPr>
      <w:r>
        <w:t>Datum objave na portalu eDemokracija:</w:t>
      </w:r>
    </w:p>
    <w:p>
      <w:pPr>
        <w:spacing w:after="0" w:line="260" w:lineRule="auto"/>
      </w:pPr>
      <w:r>
        <w:t>22. 4. 2026</w:t>
      </w:r>
    </w:p>
    <w:p>
      <w:pPr>
        <w:spacing w:after="0" w:line="260" w:lineRule="auto"/>
        <w:rPr>
          <w:rFonts w:ascii="Arial" w:hAnsi="Arial" w:cs="Arial"/>
        </w:rPr>
      </w:pPr>
    </w:p>
    <w:p>
      <w:pPr>
        <w:spacing w:after="0" w:line="260" w:lineRule="auto"/>
      </w:pPr>
      <w:r>
        <w:t>Na gradivo so bila podana mnenja, predlogi in pripombe.</w:t>
      </w:r>
    </w:p>
    <w:p>
      <w:pPr>
        <w:spacing w:after="0" w:line="260" w:lineRule="auto"/>
        <w:rPr>
          <w:rFonts w:ascii="Arial" w:hAnsi="Arial" w:cs="Arial"/>
        </w:rPr>
      </w:pPr>
    </w:p>
    <w:p>
      <w:pPr>
        <w:spacing w:after="0" w:line="260" w:lineRule="auto"/>
      </w:pPr>
      <w:r>
        <w:t>V razpravo vključeni subjekti:</w:t>
      </w:r>
    </w:p>
    <w:p>
      <w:pPr>
        <w:spacing w:after="0" w:line="240" w:lineRule="auto"/>
      </w:pPr>
      <w:r>
        <w:t>Agencija za trg vrednostnih papirjev, Banka Slovenije</w:t>
      </w:r>
    </w:p>
    <w:p>
      <w:pPr>
        <w:spacing w:after="0" w:line="260" w:lineRule="auto"/>
        <w:rPr>
          <w:rFonts w:ascii="Arial" w:hAnsi="Arial" w:cs="Arial"/>
        </w:rPr>
      </w:pPr>
    </w:p>
    <w:p>
      <w:pPr>
        <w:spacing w:after="0" w:line="260" w:lineRule="auto"/>
      </w:pPr>
      <w:r>
        <w:t>Obrazložitev upoštevanja mnenj, predlogov in pripomb v razpravo vključenih subjektov:</w:t>
      </w:r>
    </w:p>
    <w:p>
      <w:pPr>
        <w:spacing w:after="0" w:line="240" w:lineRule="auto"/>
      </w:pPr>
      <w:r>
        <w:t>Predlog uredbe sledi predhodni koordinaciji z Banko Slovenije in Agencijo za trg vrednostnih papirjev, ki je potekala konec leta 2024 in v začetku leta 2025.</w:t>
      </w:r>
    </w:p>
    <w:p>
      <w:pPr>
        <w:spacing w:after="0" w:line="240" w:lineRule="auto"/>
      </w:pPr>
      <w:r>
        <w:t xml:space="preserve"> </w:t>
      </w:r>
    </w:p>
    <w:p>
      <w:pPr>
        <w:spacing w:after="0" w:line="240" w:lineRule="auto"/>
      </w:pPr>
      <w:r>
        <w:t>Pripravljen predlog uredbe je bil še pred objavo na portalu eDemokracija najprej posredovan Banki Slovenije in Agenciji za trg vrednostnih papirjev kot pristojnima nadzornima organoma v predhodno usklajevanje.</w:t>
      </w:r>
    </w:p>
    <w:p>
      <w:pPr>
        <w:spacing w:after="0" w:line="240" w:lineRule="auto"/>
      </w:pPr>
      <w:r>
        <w:t xml:space="preserve"> </w:t>
      </w:r>
    </w:p>
    <w:p>
      <w:pPr>
        <w:spacing w:after="0" w:line="240" w:lineRule="auto"/>
        <w:jc w:val="left"/>
      </w:pPr>
      <w:r>
        <w:rPr>
          <w:b/>
        </w:rPr>
        <w:t>Agencija za trg vrednostnih papirjev</w:t>
      </w:r>
    </w:p>
    <w:p>
      <w:pPr>
        <w:spacing w:after="0" w:line="240" w:lineRule="auto"/>
      </w:pPr>
      <w:r>
        <w:t xml:space="preserve"> </w:t>
      </w:r>
    </w:p>
    <w:p>
      <w:pPr>
        <w:spacing w:after="0" w:line="240" w:lineRule="auto"/>
      </w:pPr>
      <w:r>
        <w:t>Mnenja, predlogi in pripombe Agencije za trg vrednostnih papirjev so bili upoštevani večinoma.</w:t>
      </w:r>
    </w:p>
    <w:p>
      <w:pPr>
        <w:spacing w:after="0" w:line="240" w:lineRule="auto"/>
      </w:pPr>
      <w:r>
        <w:t xml:space="preserve"> </w:t>
      </w:r>
    </w:p>
    <w:p>
      <w:pPr>
        <w:spacing w:after="0" w:line="240" w:lineRule="auto"/>
      </w:pPr>
      <w:r>
        <w:t>Agencija je še pred pripravo gradiva v dopisu z dne 12. decembra 2024 predlagala precizacijo 4. točke prvega odstavka 11. člena uredbe o izvajanju (opredelitev oseb, na katere se nanaša prepoved opravljanja vodstvenih funkcij) — predlog je bil upoštevan v celoti.</w:t>
      </w:r>
    </w:p>
    <w:p>
      <w:pPr>
        <w:spacing w:after="0" w:line="240" w:lineRule="auto"/>
      </w:pPr>
      <w:r>
        <w:t xml:space="preserve"> </w:t>
      </w:r>
    </w:p>
    <w:p>
      <w:pPr>
        <w:spacing w:after="0" w:line="240" w:lineRule="auto"/>
      </w:pPr>
      <w:r>
        <w:t>Po prejemu osnutka uredbe je agencija v dopisu z dne 15. aprila 2026 podala naslednje dodatne pripombe na delovno gradivo:</w:t>
      </w:r>
    </w:p>
    <w:p>
      <w:pPr>
        <w:spacing w:after="0" w:line="240" w:lineRule="auto"/>
        <w:ind w:left="454"/>
      </w:pPr>
      <w:r>
        <w:t>- potrdila je pristojnosti agencije in Banke Slovenije ter pristojnost agencije za vzpostavitev kolegija nadzornikov — upoštevano;</w:t>
      </w:r>
    </w:p>
    <w:p>
      <w:pPr>
        <w:spacing w:after="0" w:line="240" w:lineRule="auto"/>
        <w:ind w:left="454"/>
      </w:pPr>
      <w:r>
        <w:t>- predlagala je deljeno pristojnost za 22.a člen Uredbe 909/2014/EU (načrti za sanacijo in urejeno prenehanje), tako da se del, ki se nanaša na storitve iz pristojnosti Banke Slovenije, doda v prvi odstavek 9. člena — upoštevano, s soglasjem Banke Slovenije;</w:t>
      </w:r>
    </w:p>
    <w:p>
      <w:pPr>
        <w:spacing w:after="0" w:line="240" w:lineRule="auto"/>
        <w:ind w:left="454"/>
      </w:pPr>
      <w:r>
        <w:t>- predlagala je deljeno pristojnost za peti odstavek 20. člena Uredbe 909/2014/EU (prenos sredstev ob odvzemu dovoljenja) — ni bilo upoštevano, ker se peti odstavek 20. člena izrecno nanaša na prenos evidenc, povezanih z opravljanjem storitev iz 1. in 2. točke oddelka A priloge, za katere je pristojna agencija, ne Banka Slovenije;</w:t>
      </w:r>
    </w:p>
    <w:p>
      <w:pPr>
        <w:spacing w:after="0" w:line="240" w:lineRule="auto"/>
        <w:ind w:left="454"/>
      </w:pPr>
      <w:r>
        <w:t>- predlagala je spremembo 14. člena uredbe o izvajanju, ki bi Banki Slovenije omogočila neposredno komuniciranje z organi, s katerimi dejansko komunicira (zlasti EBA) — ni bilo upoštevano, ker 11. člen Uredbe 909/2014/EU izrecno predvideva, da država članica imenuje en organ za sodelovanje s pristojnimi organi drugih držav članic, zadevnimi organi, ESMA in EBA, Banka Slovenije pa to vlogo že opravlja na podlagi druge sektorske zakonodaje.</w:t>
      </w:r>
    </w:p>
    <w:p>
      <w:pPr>
        <w:spacing w:after="0" w:line="240" w:lineRule="auto"/>
      </w:pPr>
      <w:r>
        <w:t xml:space="preserve"> </w:t>
      </w:r>
    </w:p>
    <w:p>
      <w:pPr>
        <w:spacing w:after="0" w:line="240" w:lineRule="auto"/>
        <w:jc w:val="left"/>
      </w:pPr>
      <w:r>
        <w:rPr>
          <w:b/>
        </w:rPr>
        <w:t>Banka Slovenije</w:t>
      </w:r>
    </w:p>
    <w:p>
      <w:pPr>
        <w:spacing w:after="0" w:line="240" w:lineRule="auto"/>
      </w:pPr>
      <w:r>
        <w:t xml:space="preserve"> </w:t>
      </w:r>
    </w:p>
    <w:p>
      <w:pPr>
        <w:spacing w:after="0" w:line="240" w:lineRule="auto"/>
      </w:pPr>
      <w:r>
        <w:t>Mnenja, predlogi in pripombe Banke Slovenije so bili upoštevani v celoti.</w:t>
      </w:r>
    </w:p>
    <w:p>
      <w:pPr>
        <w:spacing w:after="0" w:line="240" w:lineRule="auto"/>
      </w:pPr>
      <w:r>
        <w:t xml:space="preserve"> </w:t>
      </w:r>
    </w:p>
    <w:p>
      <w:pPr>
        <w:spacing w:after="0" w:line="240" w:lineRule="auto"/>
      </w:pPr>
      <w:r>
        <w:t>Banka Slovenije je v dopisu z dne 18. februarja 2025 še pred pripravo gradiva predlagala posodobitev navedka zadnje spremembe Uredbe 909/2014/EU, dodajanje novih členov v pristojnosti Banke Slovenije (7.a in 47.a člen) in agencije (22.a, 24.a člen) ter črtanje 23. člena iz pristojnosti Banke Slovenije — vsi predlogi so bili upoštevani.</w:t>
      </w:r>
    </w:p>
    <w:p>
      <w:pPr>
        <w:spacing w:after="0" w:line="240" w:lineRule="auto"/>
      </w:pPr>
      <w:r>
        <w:t xml:space="preserve"> </w:t>
      </w:r>
    </w:p>
    <w:p>
      <w:pPr>
        <w:spacing w:after="0" w:line="240" w:lineRule="auto"/>
      </w:pPr>
      <w:r>
        <w:t>Po prejemu prvega osnutka delovnega gradiva je Banka Slovenije v dopisu z dne 15. aprila 2026 predlagala popravek sklica na »sedmi« namesto »deveti« odstavek 7. člena v tretjem odstavku 9. člena ter dodajanje pristojnosti agencije za enajsti odstavek 7.a člena v delu, ki se nanaša na CNS in mesta trgovanja — oba predloga sta bila upoštevana.</w:t>
      </w:r>
    </w:p>
    <w:p>
      <w:pPr>
        <w:spacing w:after="0" w:line="240" w:lineRule="auto"/>
      </w:pPr>
      <w:r>
        <w:t xml:space="preserve"> </w:t>
      </w:r>
    </w:p>
    <w:p>
      <w:pPr>
        <w:spacing w:after="0" w:line="240" w:lineRule="auto"/>
      </w:pPr>
      <w:r>
        <w:t>Po posredovanju prejetih predlogov ATVP (glej zgoraj) se je Banka Slovenije v dodatnem stališču z dne 21. aprila 2026 strinjala s predlogom Agencije za deljeno pristojnost pri 22.a členu Uredbe 909/2014/EU ter nasprotovala predlogoma Agencije glede deljene pristojnosti pri petem odstavku 20. člena in glede neposrednega komuniciranja Banke Slovenije z organi v 14. členu — stališče Banke Slovenije je bilo upoštevano v celoti.</w:t>
      </w:r>
    </w:p>
    <w:p>
      <w:pPr>
        <w:spacing w:after="0" w:line="260" w:lineRule="auto"/>
        <w:rPr>
          <w:rFonts w:ascii="Arial" w:hAnsi="Arial" w:cs="Arial"/>
        </w:rPr>
      </w:pPr>
    </w:p>
    <w:p>
      <w:pPr>
        <w:spacing w:after="0" w:line="260" w:lineRule="auto"/>
      </w:pPr>
      <w:r>
        <w:t>Poročilo o sodelovanju z javnostjo:</w:t>
      </w:r>
    </w:p>
    <w:p>
      <w:pPr>
        <w:spacing w:after="0" w:line="240" w:lineRule="auto"/>
      </w:pPr>
      <w:r>
        <w:t>Osnutek Uredbe o spremembah in dopolnitvah Uredbe o izvajanju Uredbe (EU) o izboljšanju ureditve poravnav vrednostnih papirjev v Evropski uniji in o centralnih depotnih družbah je bil objavljen na portalu eDemokracija z rokom za odziv javnosti 30 dni. V roku za odziv je bil prejet en komentar fizične osebe.</w:t>
      </w:r>
    </w:p>
    <w:p>
      <w:pPr>
        <w:spacing w:after="0" w:line="240" w:lineRule="auto"/>
      </w:pPr>
      <w:r>
        <w:t xml:space="preserve"> </w:t>
      </w:r>
    </w:p>
    <w:p>
      <w:pPr>
        <w:spacing w:after="0" w:line="240" w:lineRule="auto"/>
      </w:pPr>
      <w:r>
        <w:t>Komentar vsebuje predloge za bistveno razširitev obsega novele, vključno s predlogom celovite nove uredbe o izvajanju s 15 členi, razširitvijo pristojnosti agencije na praktično vse člene Uredbe 909/2014/EU, uvedbo prehodnih določb ter predlogom sprememb Zakona o trgu finančnih instrumentov. Predlogi niso bili upoštevani, ker bistveno presegajo okvir predloga uredbe, ki je namenjen uskladitvi razdelitve nadzornih pristojnosti z veljavnim besedilom Uredbe 909/2014/EU, kakor je bila spremenjena z Uredbo 2023/2845/EU in Uredbo 2025/2075/EU. Del predlogov zahteva zakonsko podlago (spremembe Zakona o trgu finančnih instrumentov), ki ni predmet tega postopka, del pa se nanaša na neposredno uporabne določbe Uredbe 909/2014/EU, ki nacionalne izvedbene ureditve ne zahtevajo. Predlogi bodo sicer evidentirani za morebitno prihodnjo celovitejšo prenovo izvedbene ureditve.</w:t>
      </w:r>
    </w:p>
    <w:p>
      <w:pPr>
        <w:spacing w:after="0" w:line="260" w:lineRule="auto"/>
        <w:rPr>
          <w:rFonts w:ascii="Arial" w:hAnsi="Arial" w:cs="Arial"/>
        </w:rPr>
      </w:pPr>
    </w:p>
    <w:p>
      <w:r>
        <w:br w:type="page"/>
      </w:r>
    </w:p>
    <w:p>
      <w:pPr>
        <w:pStyle w:val="Odebeljeno"/>
        <w:spacing w:after="0" w:line="260" w:lineRule="auto"/>
      </w:pPr>
      <w:r>
        <w:t>II.</w:t>
      </w:r>
      <w:r>
        <w:tab/>
      </w:r>
      <w:r>
        <w:t>BESEDILO ČLENOV</w:t>
      </w:r>
    </w:p>
    <w:p>
      <w:pPr>
        <w:pStyle w:val="Odstavek"/>
        <w:spacing w:after="0" w:line="260" w:lineRule="auto"/>
      </w:pPr>
      <w:r>
        <w:t>Na podlagi sedmega odstavka 21. člena Zakona o Vladi Republike Slovenije (Uradni list RS, št. 24/05 – uradno prečiščeno besedilo, 109/08, 38/10 – ZUKN, 8/12, 21/13, 47/13 – ZDU-1G, 65/14, 55/17, 163/22, 57/25 – ZF in 555/26) Vlada Republike Slovenije izdaja</w:t>
      </w:r>
    </w:p>
    <w:p>
      <w:pPr>
        <w:spacing w:after="0" w:line="260" w:lineRule="auto"/>
        <w:rPr>
          <w:rFonts w:ascii="Arial" w:hAnsi="Arial" w:cs="Arial"/>
        </w:rPr>
      </w:pPr>
    </w:p>
    <w:p>
      <w:pPr>
        <w:pStyle w:val="Naslov1"/>
        <w:spacing w:after="0" w:line="260" w:lineRule="auto"/>
      </w:pPr>
      <w:r>
        <w:t>Uredbo o spremembah in dopolnitvah Uredbe o izvajanju Uredbe (EU) o izboljšanju ureditve poravnav vrednostnih papirjev v Evropski uniji in o centralnih depotnih družbah</w:t>
      </w:r>
    </w:p>
    <w:p>
      <w:pPr>
        <w:pStyle w:val="len"/>
        <w:spacing w:after="0" w:line="260" w:lineRule="auto"/>
      </w:pPr>
      <w:r>
        <w:t>1. člen</w:t>
      </w:r>
    </w:p>
    <w:p>
      <w:pPr>
        <w:spacing w:after="0" w:line="260" w:lineRule="auto"/>
        <w:rPr>
          <w:rFonts w:ascii="Arial" w:hAnsi="Arial" w:cs="Arial"/>
        </w:rPr>
      </w:pPr>
    </w:p>
    <w:p>
      <w:pPr>
        <w:spacing w:after="0" w:line="260" w:lineRule="auto"/>
      </w:pPr>
      <w:r>
        <w:tab/>
      </w:r>
      <w:r>
        <w:t>V Uredbi o izvajanju Uredbe (EU) o izboljšanju ureditve poravnav vrednostnih papirjev v Evropski uniji in o centralnih depotnih družbah (Uradni list RS, št. 60/16) se besedilo 1. člena spremeni tako, da se glasi:</w:t>
      </w:r>
    </w:p>
    <w:p>
      <w:pPr>
        <w:spacing w:after="0" w:line="260" w:lineRule="auto"/>
        <w:rPr>
          <w:rFonts w:ascii="Arial" w:hAnsi="Arial" w:cs="Arial"/>
        </w:rPr>
      </w:pPr>
    </w:p>
    <w:p>
      <w:pPr>
        <w:spacing w:after="0" w:line="260" w:lineRule="auto"/>
        <w:rPr>
          <w:rFonts w:ascii="Arial" w:hAnsi="Arial" w:cs="Arial"/>
        </w:rPr>
      </w:pPr>
    </w:p>
    <w:p>
      <w:pPr>
        <w:spacing w:after="0" w:line="260" w:lineRule="auto"/>
      </w:pPr>
      <w:r>
        <w:tab/>
      </w:r>
      <w:r>
        <w:t>»S to uredbo se v zvezi z izvajanjem Uredbe (EU) št. 909/2014 Evropskega parlamenta in Sveta z dne 23. julija 2014 o izboljšanju ureditve poravnav vrednostnih papirjev v Evropski uniji in o centralnih depotnih družbah ter o spremembi direktiv 98/26/ES in 2014/65/EU ter Uredbe (EU) št. 236/2012 (UL L št. 257 z dne 28. 8. 2014, str. 1), nazadnje spremenjene z Uredbo (EU) 2025/2075 Evropskega parlamenta in Sveta z dne 8. oktobra 2025 o spremembi Uredbe (EU) št. 909/2014 glede krajšega cikla poravnave v Uniji (UL L z dne 14. 10. 2025), (v nadaljnjem besedilu: Uredba 909/2014/EU), določajo pristojni organ za izdajanje dovoljenj centralni depotni družbi (v nadaljnjem besedilu: CDD), dovoljenj za razširitev opravljanja dejavnosti CDD, dovoljenj za prenos opravljanja posamezne storitve na drugo osebo, odvzem dovoljenja CDD, sistem obveščanja o kršitvah, ki ga vzpostavita CDD in Agencija za trg vrednostnih papirjev (v nadaljnjem besedilu: agencija), pristojni organ glede načrta za reševanje CDD, pristojni organ za nadzor nad CDD, vzpostavitev kolegija nadzornikov, pristojni organ za ustanovitev kolegija nadzornikov, način opravljanja nadzora, nadzorni ukrepi, javna objava kršitev, pristojni organ za sodelovanje z drugimi organi držav članic, zadevnimi organi, Evropskim organom za vrednostne papirje in trge (v nadaljnjem besedilu: ESMA) in Evropskim bančnim organom (v nadaljnjem besedilu: EBA) ter tarifa in letno nadomestilo pristojnega organa.«.</w:t>
      </w:r>
    </w:p>
    <w:p>
      <w:pPr>
        <w:pStyle w:val="len"/>
        <w:spacing w:after="0" w:line="260" w:lineRule="auto"/>
      </w:pPr>
      <w:r>
        <w:t>2. člen</w:t>
      </w:r>
    </w:p>
    <w:p>
      <w:pPr>
        <w:spacing w:after="0" w:line="260" w:lineRule="auto"/>
        <w:rPr>
          <w:rFonts w:ascii="Arial" w:hAnsi="Arial" w:cs="Arial"/>
        </w:rPr>
      </w:pPr>
    </w:p>
    <w:p>
      <w:pPr>
        <w:spacing w:after="0" w:line="260" w:lineRule="auto"/>
      </w:pPr>
      <w:r>
        <w:tab/>
      </w:r>
      <w:r>
        <w:t>V 9. členu se v prvem odstavku besedilo »23. do 25.« nadomesti z besedilom »7.a, 22.a, 24. in 25.«, za besedilom »45.,« pa se doda besedilo »47.a,«.</w:t>
      </w:r>
    </w:p>
    <w:p>
      <w:pPr>
        <w:spacing w:after="0" w:line="260" w:lineRule="auto"/>
        <w:rPr>
          <w:rFonts w:ascii="Arial" w:hAnsi="Arial" w:cs="Arial"/>
        </w:rPr>
      </w:pPr>
    </w:p>
    <w:p>
      <w:pPr>
        <w:spacing w:after="0" w:line="260" w:lineRule="auto"/>
      </w:pPr>
      <w:r>
        <w:tab/>
      </w:r>
      <w:r>
        <w:t>V tretjem odstavku se besedilo »devetega odstavka 7.« nadomesti z besedilom »sedmega odstavka 7. člena in enajstega odstavka 7.a«, besedilo »tretjega odstavka 22. člena« pa se nadomesti z besedilom »petega odstavka 20. člena, 22.a, 24.a«.</w:t>
      </w:r>
    </w:p>
    <w:p>
      <w:pPr>
        <w:spacing w:after="0" w:line="260" w:lineRule="auto"/>
        <w:rPr>
          <w:rFonts w:ascii="Arial" w:hAnsi="Arial" w:cs="Arial"/>
        </w:rPr>
      </w:pPr>
    </w:p>
    <w:p>
      <w:pPr>
        <w:pStyle w:val="len"/>
        <w:spacing w:after="0" w:line="260" w:lineRule="auto"/>
      </w:pPr>
      <w:r>
        <w:t>3. člen</w:t>
      </w:r>
    </w:p>
    <w:p>
      <w:pPr>
        <w:spacing w:after="0" w:line="260" w:lineRule="auto"/>
        <w:rPr>
          <w:rFonts w:ascii="Arial" w:hAnsi="Arial" w:cs="Arial"/>
        </w:rPr>
      </w:pPr>
    </w:p>
    <w:p>
      <w:pPr>
        <w:spacing w:after="0" w:line="260" w:lineRule="auto"/>
      </w:pPr>
      <w:r>
        <w:tab/>
      </w:r>
      <w:r>
        <w:t>V 11. členu se v prvem odstavku v 4. točki za besedo »CDD« doda besedilo »kateremu koli članu upravljalnega organa ali kateri koli drugi odgovorni fizični osebi«.</w:t>
      </w:r>
    </w:p>
    <w:p>
      <w:pPr>
        <w:spacing w:after="0" w:line="260" w:lineRule="auto"/>
        <w:rPr>
          <w:rFonts w:ascii="Arial" w:hAnsi="Arial" w:cs="Arial"/>
        </w:rPr>
      </w:pPr>
    </w:p>
    <w:p>
      <w:pPr>
        <w:pStyle w:val="Poglavje"/>
        <w:spacing w:after="0" w:line="260" w:lineRule="auto"/>
      </w:pPr>
      <w:r>
        <w:t>KONČNA DOLOČBA</w:t>
      </w:r>
    </w:p>
    <w:p>
      <w:pPr>
        <w:pStyle w:val="len"/>
        <w:spacing w:after="0" w:line="260" w:lineRule="auto"/>
      </w:pPr>
      <w:r>
        <w:t>4. člen</w:t>
      </w:r>
    </w:p>
    <w:p>
      <w:pPr>
        <w:pStyle w:val="lennaslov"/>
        <w:spacing w:after="0" w:line="260" w:lineRule="auto"/>
      </w:pPr>
      <w:r>
        <w:t>(začetek veljavnosti)</w:t>
      </w:r>
    </w:p>
    <w:p>
      <w:pPr>
        <w:spacing w:after="0" w:line="260" w:lineRule="auto"/>
        <w:rPr>
          <w:rFonts w:ascii="Arial" w:hAnsi="Arial" w:cs="Arial"/>
        </w:rPr>
      </w:pPr>
    </w:p>
    <w:p>
      <w:pPr>
        <w:spacing w:after="0" w:line="260" w:lineRule="auto"/>
      </w:pPr>
      <w:r>
        <w:tab/>
      </w:r>
      <w:r>
        <w:t>Ta uredba začne veljati petnajsti dan po objavi v Uradnem listu Republike Slovenije.</w:t>
      </w:r>
    </w:p>
    <w:p>
      <w:r>
        <w:br w:type="page"/>
      </w:r>
    </w:p>
    <w:p>
      <w:pPr>
        <w:pStyle w:val="Odebeljeno"/>
        <w:spacing w:after="0" w:line="260" w:lineRule="auto"/>
      </w:pPr>
      <w:r>
        <w:t>III.</w:t>
      </w:r>
      <w:r>
        <w:tab/>
      </w:r>
      <w:r>
        <w:t>OBRAZLOŽITEV</w:t>
      </w:r>
    </w:p>
    <w:p>
      <w:pPr>
        <w:spacing w:after="0" w:line="260" w:lineRule="auto"/>
        <w:rPr>
          <w:rFonts w:ascii="Arial" w:hAnsi="Arial" w:cs="Arial"/>
        </w:rPr>
      </w:pPr>
    </w:p>
    <w:p>
      <w:pPr>
        <w:pStyle w:val="Odebeljeno"/>
        <w:spacing w:after="0" w:line="260" w:lineRule="auto"/>
      </w:pPr>
      <w:r>
        <w:t>K 1. členu:</w:t>
      </w:r>
    </w:p>
    <w:p>
      <w:pPr>
        <w:spacing w:after="0" w:line="240" w:lineRule="auto"/>
      </w:pPr>
      <w:r>
        <w:t>S spremembo 1. člena uredbe o izvajanju se posodablja navedek zadnje spremembe Uredbe 909/2014/EU. Uredba 909/2014/EU je bila namreč po sprejetju uredbe o izvajanju leta 2016 spremenjena z Uredbo 2022/858/EU (pilotni režim za tržne infrastrukture na podlagi tehnologije razpršene evidence), Uredbo 2022/2554/EU (akt o digitalni operativni odpornosti za finančni sektor), Uredbo 2023/2845/EU (sprememba Uredbe 909/2014/EU glede discipline pri poravnavi, čezmejnega opravljanja storitev, sodelovanja pri nadzoru, zagotavljanja pomožnih bančnih storitev in zahtev za centralne depotne družbe tretjih držav) in Uredbo 2025/2075/EU (sprememba Uredbe 909/2014/EU glede krajšega cikla poravnave v Uniji). V skladu z nomotehničnimi smernicami se v navedku navaja le zadnja sprememba, tj. Uredba 2025/2075/EU.</w:t>
      </w:r>
    </w:p>
    <w:p>
      <w:pPr>
        <w:spacing w:after="0" w:line="240" w:lineRule="auto"/>
      </w:pPr>
      <w:r>
        <w:t xml:space="preserve"> </w:t>
      </w:r>
    </w:p>
    <w:p>
      <w:pPr>
        <w:spacing w:after="0" w:line="240" w:lineRule="auto"/>
      </w:pPr>
      <w:r>
        <w:t>Poleg tega se med vsebine, ki jih ureja uredba o izvajanju, dodajata vzpostavitev kolegija nadzornikov in pristojni organ za ustanovitev kolegija nadzornikov. Uredba 2023/2845/EU je namreč v novem 24.a členu Uredbe 909/2014/EU uvedla kolegij nadzornikov za CDD, katerih dejavnosti so zelo pomembne za delovanje trgov vrednostnih papirjev in zaščito vlagateljev v vsaj dveh državah članicah gostiteljicah. V skladu z 24.a členom Uredbe 909/2014/EU kolegij vzpostavi in mu predseduje pristojni organ matične države članice, torej agencija.</w:t>
      </w:r>
    </w:p>
    <w:p>
      <w:pPr>
        <w:spacing w:after="0" w:line="260" w:lineRule="auto"/>
        <w:rPr>
          <w:rFonts w:ascii="Arial" w:hAnsi="Arial" w:cs="Arial"/>
        </w:rPr>
      </w:pPr>
    </w:p>
    <w:p>
      <w:pPr>
        <w:pStyle w:val="Odebeljeno"/>
        <w:spacing w:after="0" w:line="260" w:lineRule="auto"/>
      </w:pPr>
      <w:r>
        <w:t>K 2. členu:</w:t>
      </w:r>
    </w:p>
    <w:p>
      <w:pPr>
        <w:spacing w:after="0" w:line="240" w:lineRule="auto"/>
      </w:pPr>
      <w:r>
        <w:t>S spremembo 9. člena uredbe o izvajanju se posodablja razdelitev nadzornih pristojnosti med Banko Slovenije in agencijo, da se upoštevajo spremembe in novi členi Uredbe 909/2014/EU, uvedeni z Uredbo 2023/2845/EU.</w:t>
      </w:r>
    </w:p>
    <w:p>
      <w:pPr>
        <w:spacing w:after="0" w:line="240" w:lineRule="auto"/>
      </w:pPr>
      <w:r>
        <w:t xml:space="preserve"> </w:t>
      </w:r>
    </w:p>
    <w:p>
      <w:pPr>
        <w:spacing w:after="0" w:line="240" w:lineRule="auto"/>
      </w:pPr>
      <w:r>
        <w:t>V prvem odstavku 9. člena (pristojnosti Banke Slovenije) se:</w:t>
      </w:r>
    </w:p>
    <w:p>
      <w:pPr>
        <w:spacing w:after="0" w:line="240" w:lineRule="auto"/>
      </w:pPr>
      <w:r>
        <w:t xml:space="preserve"> </w:t>
      </w:r>
    </w:p>
    <w:p>
      <w:pPr>
        <w:spacing w:after="0" w:line="240" w:lineRule="auto"/>
        <w:ind w:left="454"/>
      </w:pPr>
      <w:r>
        <w:t>- dodajata 7.a člen Uredbe 909/2014/EU, ki ureja postopek obveznega kritnega nakupa (buy-in), in 47.a člen Uredbe 909/2014/EU, ki ureja odloženo neto poravnavo. Obe vsebini se navezujeta na storitev poravnave iz 3. točke oddelka A priloge Uredbe 909/2014/EU, za nadzor nad katero je pristojna Banka Slovenije;</w:t>
      </w:r>
    </w:p>
    <w:p>
      <w:pPr>
        <w:spacing w:after="0" w:line="240" w:lineRule="auto"/>
        <w:ind w:left="454"/>
      </w:pPr>
      <w:r>
        <w:t>- dodaja 22.a člen Uredbe 909/2014/EU, ki ureja načrte za sanacijo in urejeno prenehanje. Pristojnost Banke Slovenije za nadzor nad tem členom izhaja iz uvodne navedbe prvega odstavka 9. člena, ki pristojnost Banke Slovenije omejuje na storitve iz 3. točke oddelka A ter 1., 3. in 4.(a) točke oddelka B ter oddelka C priloge Uredbe 909/2014/EU;</w:t>
      </w:r>
    </w:p>
    <w:p>
      <w:pPr>
        <w:spacing w:after="0" w:line="240" w:lineRule="auto"/>
        <w:ind w:left="454"/>
      </w:pPr>
      <w:r>
        <w:t>- črta sklic na 23. člen Uredbe 909/2014/EU (svoboda opravljanja storitev v drugi državi članici), ker se ta člen po spremembi z Uredbo 2023/2845/EU nanaša izključno na storitve iz 1. in 2. točke oddelka A priloge Uredbe 909/2014/EU, za katere je pristojna agencija. Zaradi tega se besedilo »23. do 25. člena« nadomesti z besedilom »24. in 25. člena«.</w:t>
      </w:r>
    </w:p>
    <w:p>
      <w:pPr>
        <w:spacing w:after="0" w:line="240" w:lineRule="auto"/>
      </w:pPr>
      <w:r>
        <w:t xml:space="preserve"> </w:t>
      </w:r>
    </w:p>
    <w:p>
      <w:pPr>
        <w:spacing w:after="0" w:line="240" w:lineRule="auto"/>
      </w:pPr>
      <w:r>
        <w:t>V tretjem odstavku 9. člena (pristojnosti agencije) se:</w:t>
      </w:r>
    </w:p>
    <w:p>
      <w:pPr>
        <w:spacing w:after="0" w:line="240" w:lineRule="auto"/>
      </w:pPr>
      <w:r>
        <w:t xml:space="preserve"> </w:t>
      </w:r>
    </w:p>
    <w:p>
      <w:pPr>
        <w:spacing w:after="0" w:line="240" w:lineRule="auto"/>
        <w:ind w:left="454"/>
      </w:pPr>
      <w:r>
        <w:t>- sklic na »devetega odstavka 7. člena« nadomesti s sklicem na »sedmega odstavka 7. člena«, ker se je vsebina prvotnega devetega odstavka 7. člena Uredbe 909/2014/EU na podlagi sprememb, uvedenih z Uredbo 2023/2845/EU, prenesla v sedmi odstavek 7. člena;</w:t>
      </w:r>
    </w:p>
    <w:p>
      <w:pPr>
        <w:spacing w:after="0" w:line="240" w:lineRule="auto"/>
        <w:ind w:left="454"/>
      </w:pPr>
      <w:r>
        <w:t>- dodaja sklic na enajsti odstavek 7.a člena Uredbe 909/2014/EU v delu, ki se nanaša na CNS in mesta trgovanja. Po vzoru delitve nadzornih pristojnosti v povezavi s 7. členom Uredbe 909/2014/EU, kjer je agencija pristojna za nadzor v delu, ki se nanaša na CNS in mesta trgovanja, se enaka razdelitev vzpostavlja tudi pri novem 7.a členu Uredbe 909/2014/EU;</w:t>
      </w:r>
    </w:p>
    <w:p>
      <w:pPr>
        <w:spacing w:after="0" w:line="240" w:lineRule="auto"/>
        <w:ind w:left="454"/>
      </w:pPr>
      <w:r>
        <w:t>- dodaja sklic na peti odstavek 20. člena Uredbe 909/2014/EU, ki ureja obveznost CDD, da vzpostavi, izvaja in vzdržuje ustrezne postopke za pravočasno in urejeno poravnavo ter prenos sredstev strank in udeležencev v primeru odvzema dovoljenja. Pristojnost agencije za nadzor nad tem odstavkom izhaja iz dejstva, da se peti odstavek 20. člena Uredbe 909/2014/EU izrecno nanaša na prenos evidenc, povezanih z opravljanjem osnovnih storitev iz 1. in 2. točke oddelka A priloge Uredbe 909/2014/EU, za katere je pristojna agencija;</w:t>
      </w:r>
    </w:p>
    <w:p>
      <w:pPr>
        <w:spacing w:after="0" w:line="240" w:lineRule="auto"/>
        <w:ind w:left="454"/>
      </w:pPr>
      <w:r>
        <w:t>- sklic na »tretji odstavek 22. člena« nadomesti s sklicem na »22.a člen« Uredbe 909/2014/EU, ker je Uredba 2023/2845/EU dosedanji tretji odstavek 22. člena (načrti za sanacijo in urejeno prenehanje) nadomestila z novim, podrobnejšim 22.a členom;</w:t>
      </w:r>
    </w:p>
    <w:p>
      <w:pPr>
        <w:spacing w:after="0" w:line="240" w:lineRule="auto"/>
        <w:ind w:left="454"/>
      </w:pPr>
      <w:r>
        <w:t>- dodaja sklic na 24.a člen Uredbe 909/2014/EU, ki ureja kolegij nadzornikov. Agencija je v skladu z 24.a členom Uredbe 909/2014/EU organ, ki vzpostavi kolegij nadzornikov in mu predseduje.</w:t>
      </w:r>
    </w:p>
    <w:p>
      <w:pPr>
        <w:spacing w:after="0" w:line="260" w:lineRule="auto"/>
        <w:rPr>
          <w:rFonts w:ascii="Arial" w:hAnsi="Arial" w:cs="Arial"/>
        </w:rPr>
      </w:pPr>
    </w:p>
    <w:p>
      <w:pPr>
        <w:pStyle w:val="Odebeljeno"/>
        <w:spacing w:after="0" w:line="260" w:lineRule="auto"/>
      </w:pPr>
      <w:r>
        <w:t>K 3. členu:</w:t>
      </w:r>
    </w:p>
    <w:p>
      <w:pPr>
        <w:spacing w:after="0" w:line="240" w:lineRule="auto"/>
      </w:pPr>
      <w:r>
        <w:t>Z dopolnitvijo 4. točke prvega odstavka 11. člena uredbe o izvajanju se natančneje opredeljuje krog oseb, na katere se nanaša nadzorni ukrep začasne ali stalne prepovedi opravljanja vodstvenih funkcij v CDD. Veljavna ureditev te natančnejše opredelitve ni vsebovala, kar je v praksi vodilo v interpretacijske težave. Sprememba je usklajena s točko (d) drugega odstavka 63. člena Uredbe 909/2014/EU, ki izrecno določa, da se ta ukrep nanaša na katerega koli člana upravljalnega organa ali katero koli drugo odgovorno fizično osebo.</w:t>
      </w:r>
    </w:p>
    <w:p>
      <w:pPr>
        <w:spacing w:after="0" w:line="260" w:lineRule="auto"/>
        <w:rPr>
          <w:rFonts w:ascii="Arial" w:hAnsi="Arial" w:cs="Arial"/>
        </w:rPr>
      </w:pPr>
    </w:p>
    <w:p>
      <w:pPr>
        <w:pStyle w:val="Odebeljeno"/>
        <w:spacing w:after="0" w:line="260" w:lineRule="auto"/>
      </w:pPr>
      <w:r>
        <w:t>K 4. členu:</w:t>
      </w:r>
    </w:p>
    <w:p>
      <w:pPr>
        <w:spacing w:after="0" w:line="240" w:lineRule="auto"/>
      </w:pPr>
      <w:r>
        <w:t>Določena je štirinajstdnevna vacatio legis.</w:t>
      </w:r>
    </w:p>
    <w:p>
      <w:pPr>
        <w:spacing w:after="0" w:line="260" w:lineRule="auto"/>
        <w:rPr>
          <w:rFonts w:ascii="Arial" w:hAnsi="Arial" w:cs="Arial"/>
        </w:rPr>
      </w:pPr>
    </w:p>
    <w:p>
      <w:r>
        <w:br w:type="page"/>
      </w:r>
    </w:p>
    <w:p>
      <w:pPr>
        <w:pStyle w:val="Odebeljeno"/>
        <w:spacing w:after="0" w:line="260" w:lineRule="auto"/>
      </w:pPr>
      <w:r>
        <w:t>IV.</w:t>
      </w:r>
      <w:r>
        <w:tab/>
      </w:r>
      <w:r>
        <w:t>PRILOGE</w:t>
      </w:r>
    </w:p>
    <w:p>
      <w:pPr>
        <w:spacing w:after="0" w:line="260" w:lineRule="auto"/>
        <w:rPr>
          <w:rFonts w:ascii="Arial" w:hAnsi="Arial" w:cs="Arial"/>
        </w:rPr>
      </w:pPr>
    </w:p>
    <w:p>
      <w:pPr>
        <w:spacing w:after="0" w:line="260" w:lineRule="auto"/>
      </w:pPr>
      <w:r>
        <w:t>Priloge niso priložene.</w:t>
      </w:r>
    </w:p>
    <w:sectPr>
      <w:footerReference w:type="default" r:id="rId4"/>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rPr>
        <w:i/>
        <w:sz w:val="16"/>
      </w:rPr>
      <w:t>Ustvarjeno v MOPED-DOCS, 29. 06. 2026 10:22:41</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noPunctuationKerning/>
  <w:characterSpacingControl w:val="doNotCompress"/>
  <w:compat>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hAnsi="Arial" w:eastAsiaTheme="minorHAnsi" w:cstheme="minorBidi"/>
        <w:lang w:val="sl-SI"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3E20"/>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slov1">
    <w:name w:val="Naslov1"/>
    <w:qFormat/>
    <w:pPr>
      <w:spacing w:after="0"/>
      <w:jc w:val="center"/>
    </w:pPr>
    <w:rPr>
      <w:b/>
    </w:rPr>
  </w:style>
  <w:style w:type="paragraph" w:customStyle="1" w:styleId="Del">
    <w:name w:val="Del"/>
    <w:qFormat/>
    <w:pPr>
      <w:spacing w:before="480" w:after="0"/>
      <w:jc w:val="center"/>
    </w:pPr>
  </w:style>
  <w:style w:type="paragraph" w:customStyle="1" w:styleId="Delnaslov">
    <w:name w:val="Del naslov"/>
    <w:qFormat/>
    <w:pPr>
      <w:spacing w:after="0"/>
      <w:jc w:val="center"/>
    </w:pPr>
  </w:style>
  <w:style w:type="paragraph" w:customStyle="1" w:styleId="Poglavje">
    <w:name w:val="Poglavje"/>
    <w:qFormat/>
    <w:pPr>
      <w:spacing w:before="480" w:after="0"/>
      <w:jc w:val="center"/>
    </w:pPr>
  </w:style>
  <w:style w:type="paragraph" w:customStyle="1" w:styleId="Poglavjenaslov">
    <w:name w:val="Poglavje naslov"/>
    <w:qFormat/>
    <w:pPr>
      <w:spacing w:after="0"/>
      <w:jc w:val="center"/>
    </w:pPr>
  </w:style>
  <w:style w:type="paragraph" w:customStyle="1" w:styleId="Oddeleknaslov">
    <w:name w:val="Oddelek naslov"/>
    <w:qFormat/>
    <w:pPr>
      <w:spacing w:after="0"/>
      <w:jc w:val="center"/>
    </w:pPr>
  </w:style>
  <w:style w:type="paragraph" w:customStyle="1" w:styleId="Pododdeleknaslov">
    <w:name w:val="Pododdelek naslov"/>
    <w:qFormat/>
    <w:pPr>
      <w:spacing w:after="0"/>
      <w:jc w:val="center"/>
    </w:pPr>
  </w:style>
  <w:style w:type="paragraph" w:customStyle="1" w:styleId="Odseknaslov">
    <w:name w:val="Odsek naslov"/>
    <w:qFormat/>
    <w:pPr>
      <w:spacing w:after="0"/>
      <w:jc w:val="center"/>
    </w:pPr>
  </w:style>
  <w:style w:type="paragraph" w:customStyle="1" w:styleId="Oddelek">
    <w:name w:val="Oddelek"/>
    <w:qFormat/>
    <w:pPr>
      <w:spacing w:before="480" w:after="0"/>
      <w:jc w:val="center"/>
    </w:pPr>
  </w:style>
  <w:style w:type="paragraph" w:customStyle="1" w:styleId="Pododdelek">
    <w:name w:val="Pododdelek"/>
    <w:qFormat/>
    <w:pPr>
      <w:spacing w:before="480" w:after="0"/>
      <w:jc w:val="center"/>
    </w:pPr>
  </w:style>
  <w:style w:type="paragraph" w:customStyle="1" w:styleId="Odsek">
    <w:name w:val="Odsek"/>
    <w:qFormat/>
    <w:pPr>
      <w:spacing w:before="480" w:after="0"/>
      <w:jc w:val="center"/>
    </w:pPr>
  </w:style>
  <w:style w:type="paragraph" w:customStyle="1" w:styleId="len">
    <w:name w:val="Člen"/>
    <w:qFormat/>
    <w:pPr>
      <w:spacing w:before="480" w:after="0"/>
      <w:jc w:val="center"/>
    </w:pPr>
    <w:rPr>
      <w:b/>
    </w:rPr>
  </w:style>
  <w:style w:type="paragraph" w:customStyle="1" w:styleId="lennaslov">
    <w:name w:val="Člen naslov"/>
    <w:qFormat/>
    <w:pPr>
      <w:spacing w:after="0"/>
      <w:jc w:val="center"/>
    </w:pPr>
    <w:rPr>
      <w:b/>
    </w:rPr>
  </w:style>
  <w:style w:type="paragraph" w:customStyle="1" w:styleId="Odstavek">
    <w:name w:val="Odstavek"/>
    <w:qFormat/>
    <w:pPr>
      <w:spacing w:before="360" w:after="0"/>
      <w:ind w:firstLine="567"/>
      <w:jc w:val="both"/>
    </w:pPr>
  </w:style>
  <w:style w:type="paragraph" w:customStyle="1" w:styleId="tevilnatoka">
    <w:name w:val="Številčna točka"/>
    <w:qFormat/>
    <w:pPr>
      <w:jc w:val="both"/>
    </w:pPr>
  </w:style>
  <w:style w:type="paragraph" w:customStyle="1" w:styleId="rkovnatoka">
    <w:name w:val="Črkovna točka"/>
    <w:qFormat/>
    <w:pPr>
      <w:jc w:val="both"/>
    </w:pPr>
  </w:style>
  <w:style w:type="paragraph" w:customStyle="1" w:styleId="Alinea">
    <w:name w:val="Alinea"/>
    <w:qFormat/>
    <w:pPr>
      <w:jc w:val="both"/>
    </w:pPr>
  </w:style>
  <w:style w:type="character" w:customStyle="1" w:styleId="Hiperpovezava1">
    <w:name w:val="Hiperpovezava1"/>
    <w:basedOn w:val="DefaultParagraphFont"/>
    <w:uiPriority w:val="99"/>
    <w:unhideWhenUsed/>
    <w:rsid w:val="005C3D8F"/>
    <w:rPr>
      <w:color w:val="0000FF" w:themeColor="hyperlink"/>
      <w:u w:val="single"/>
    </w:rPr>
  </w:style>
  <w:style w:type="paragraph" w:styleId="Header">
    <w:name w:val="header"/>
    <w:basedOn w:val="Normal"/>
    <w:link w:val="GlavaZnak"/>
    <w:uiPriority w:val="99"/>
    <w:unhideWhenUsed/>
    <w:rsid w:val="00945425"/>
    <w:pPr>
      <w:tabs>
        <w:tab w:val="center" w:pos="4536"/>
        <w:tab w:val="right" w:pos="9072"/>
      </w:tabs>
      <w:spacing w:after="0" w:line="240" w:lineRule="auto"/>
    </w:pPr>
  </w:style>
  <w:style w:type="character" w:customStyle="1" w:styleId="GlavaZnak">
    <w:name w:val="Glava Znak"/>
    <w:basedOn w:val="DefaultParagraphFont"/>
    <w:link w:val="Header"/>
    <w:uiPriority w:val="99"/>
    <w:rsid w:val="00945425"/>
  </w:style>
  <w:style w:type="paragraph" w:styleId="Footer">
    <w:name w:val="footer"/>
    <w:basedOn w:val="Normal"/>
    <w:link w:val="NogaZnak"/>
    <w:uiPriority w:val="99"/>
    <w:unhideWhenUsed/>
    <w:rsid w:val="00945425"/>
    <w:pPr>
      <w:tabs>
        <w:tab w:val="center" w:pos="4536"/>
        <w:tab w:val="right" w:pos="9072"/>
      </w:tabs>
      <w:spacing w:after="0" w:line="240" w:lineRule="auto"/>
    </w:pPr>
  </w:style>
  <w:style w:type="character" w:customStyle="1" w:styleId="NogaZnak">
    <w:name w:val="Noga Znak"/>
    <w:basedOn w:val="DefaultParagraphFont"/>
    <w:link w:val="Footer"/>
    <w:uiPriority w:val="99"/>
    <w:rsid w:val="00945425"/>
  </w:style>
  <w:style w:type="table" w:styleId="TableGrid">
    <w:name w:val="Table Grid"/>
    <w:basedOn w:val="TableNormal"/>
    <w:uiPriority w:val="39"/>
    <w:rsid w:val="000E33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rajckaNaslovZamik">
    <w:name w:val="SrajckaNaslovZamik"/>
    <w:basedOn w:val="Normal"/>
    <w:qFormat/>
    <w:rsid w:val="000B0CD1"/>
    <w:pPr>
      <w:spacing w:after="0" w:line="240" w:lineRule="auto"/>
    </w:pPr>
    <w:rPr>
      <w:rFonts w:cs="Arial"/>
      <w:b/>
    </w:rPr>
  </w:style>
  <w:style w:type="paragraph" w:customStyle="1" w:styleId="Odebeljeno">
    <w:name w:val="Odebeljeno"/>
    <w:basedOn w:val="Normal"/>
    <w:qFormat/>
    <w:rsid w:val="0029037E"/>
    <w:pPr>
      <w:spacing w:after="0" w:line="240" w:lineRule="auto"/>
    </w:pPr>
    <w:rPr>
      <w:rFonts w:cs="Arial"/>
      <w:b/>
    </w:rPr>
  </w:style>
  <w:style w:type="paragraph" w:customStyle="1" w:styleId="DesnaPoravnava">
    <w:name w:val="DesnaPoravnava"/>
    <w:basedOn w:val="Normal"/>
    <w:qFormat/>
    <w:rsid w:val="007652EC"/>
    <w:pPr>
      <w:jc w:val="right"/>
    </w:pPr>
  </w:style>
  <w:style w:type="paragraph" w:customStyle="1" w:styleId="Podpisnik">
    <w:name w:val="Podpisnik"/>
    <w:basedOn w:val="Normal"/>
    <w:qFormat/>
    <w:rsid w:val="007651EC"/>
    <w:pPr>
      <w:widowControl w:val="0"/>
      <w:spacing w:before="0" w:after="0" w:line="260" w:lineRule="exact"/>
      <w:ind w:left="3969"/>
      <w:jc w:val="center"/>
    </w:pPr>
    <w:rPr>
      <w:b w:val="0"/>
    </w:rPr>
  </w:style>
  <w:style w:type="paragraph" w:customStyle="1" w:styleId="SredinskoOdebeljeno">
    <w:name w:val="SredinskoOdebeljeno"/>
    <w:basedOn w:val="Normal"/>
    <w:qFormat/>
    <w:rsid w:val="007652EC"/>
    <w:pPr>
      <w:spacing w:after="0" w:line="240" w:lineRule="auto"/>
      <w:jc w:val="center"/>
    </w:pPr>
    <w:rPr>
      <w:rFonts w:cs="Arial"/>
      <w:b/>
    </w:rPr>
  </w:style>
  <w:style w:type="paragraph" w:customStyle="1" w:styleId="Sredinsko">
    <w:name w:val="Sredinsko"/>
    <w:basedOn w:val="Normal"/>
    <w:qFormat/>
    <w:rsid w:val="007652EC"/>
    <w:pPr>
      <w:spacing w:after="0" w:line="240" w:lineRule="auto"/>
      <w:jc w:val="center"/>
    </w:pPr>
    <w:rPr>
      <w:rFonts w:cs="Arial"/>
    </w:rPr>
  </w:style>
  <w:style w:type="paragraph" w:customStyle="1" w:styleId="center">
    <w:name w:val="center"/>
    <w:pPr>
      <w:jc w:val="center"/>
    </w:pPr>
  </w:style>
  <w:style w:type="table" w:customStyle="1" w:styleId="Navadnatabela11">
    <w:name w:val="Navadna tabela 11"/>
    <w:basedOn w:val="TableNormal"/>
    <w:uiPriority w:val="41"/>
    <w:rsid w:val="00185854"/>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avadnatabela12">
    <w:name w:val="Navadna tabela 12"/>
    <w:basedOn w:val="TableNormal"/>
    <w:uiPriority w:val="41"/>
    <w:rsid w:val="00185855"/>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14</Pages>
  <Words>4101</Words>
  <Characters>23382</Characters>
  <Application>Microsoft Office Word</Application>
  <DocSecurity>0</DocSecurity>
  <Lines>194</Lines>
  <Paragraphs>54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27429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zorc</cp:lastModifiedBy>
  <cp:revision>3</cp:revision>
  <dcterms:created xsi:type="dcterms:W3CDTF">2019-02-01T07:54:00Z</dcterms:created>
  <dcterms:modified xsi:type="dcterms:W3CDTF">2019-02-01T08:06:00Z</dcterms:modified>
</cp:coreProperties>
</file>