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2.5.0 -->
  <w:body>
    <w:p>
      <w:pPr>
        <w:spacing w:after="0" w:line="260" w:lineRule="auto"/>
        <w:rPr>
          <w:rFonts w:ascii="Arial" w:hAnsi="Arial" w:cs="Arial"/>
        </w:rPr>
      </w:pPr>
    </w:p>
    <w:p>
      <w:pPr>
        <w:spacing w:after="0" w:line="260" w:lineRule="auto"/>
        <w:rPr>
          <w:rFonts w:ascii="Arial" w:hAnsi="Arial" w:cs="Arial"/>
        </w:rPr>
      </w:pPr>
    </w:p>
    <w:p>
      <w:pPr>
        <w:spacing w:after="0" w:line="260" w:lineRule="auto"/>
        <w:rPr>
          <w:rFonts w:ascii="Arial" w:hAnsi="Arial" w:cs="Arial"/>
        </w:rPr>
      </w:pPr>
    </w:p>
    <w:p>
      <w:pPr>
        <w:spacing w:after="0" w:line="260" w:lineRule="auto"/>
        <w:rPr>
          <w:rFonts w:ascii="Arial" w:hAnsi="Arial" w:cs="Arial"/>
        </w:rPr>
      </w:pPr>
    </w:p>
    <w:p>
      <w:pPr>
        <w:spacing w:after="0" w:line="260" w:lineRule="auto"/>
        <w:rPr>
          <w:rFonts w:ascii="Arial" w:hAnsi="Arial" w:cs="Arial"/>
        </w:rPr>
      </w:pPr>
    </w:p>
    <w:p>
      <w:pPr>
        <w:spacing w:after="0" w:line="260" w:lineRule="auto"/>
        <w:rPr>
          <w:rFonts w:ascii="Arial" w:hAnsi="Arial" w:cs="Arial"/>
        </w:rPr>
      </w:pPr>
    </w:p>
    <w:p>
      <w:pPr>
        <w:spacing w:after="0" w:line="260" w:lineRule="auto"/>
        <w:rPr>
          <w:rFonts w:ascii="Arial" w:hAnsi="Arial" w:cs="Arial"/>
        </w:rPr>
      </w:pPr>
    </w:p>
    <w:p>
      <w:pPr>
        <w:spacing w:after="0" w:line="260" w:lineRule="auto"/>
        <w:rPr>
          <w:rFonts w:ascii="Arial" w:hAnsi="Arial" w:cs="Arial"/>
        </w:rPr>
      </w:pPr>
    </w:p>
    <w:p>
      <w:pPr>
        <w:spacing w:after="0" w:line="260" w:lineRule="auto"/>
        <w:rPr>
          <w:rFonts w:ascii="Arial" w:hAnsi="Arial" w:cs="Arial"/>
        </w:rPr>
      </w:pPr>
    </w:p>
    <w:p>
      <w:pPr>
        <w:spacing w:after="0" w:line="260" w:lineRule="auto"/>
        <w:rPr>
          <w:rFonts w:ascii="Arial" w:hAnsi="Arial" w:cs="Arial"/>
        </w:rPr>
      </w:pPr>
    </w:p>
    <w:p>
      <w:pPr>
        <w:spacing w:after="0" w:line="260" w:lineRule="auto"/>
        <w:rPr>
          <w:rFonts w:ascii="Arial" w:hAnsi="Arial" w:cs="Arial"/>
        </w:rPr>
      </w:pPr>
    </w:p>
    <w:p>
      <w:pPr>
        <w:spacing w:after="0" w:line="260" w:lineRule="auto"/>
        <w:rPr>
          <w:rFonts w:ascii="Arial" w:hAnsi="Arial" w:cs="Arial"/>
        </w:rPr>
      </w:pPr>
    </w:p>
    <w:p>
      <w:pPr>
        <w:spacing w:after="0" w:line="260" w:lineRule="auto"/>
        <w:rPr>
          <w:rFonts w:ascii="Arial" w:hAnsi="Arial" w:cs="Arial"/>
        </w:rPr>
      </w:pPr>
    </w:p>
    <w:p>
      <w:pPr>
        <w:spacing w:after="0" w:line="260" w:lineRule="auto"/>
        <w:rPr>
          <w:rFonts w:ascii="Arial" w:hAnsi="Arial" w:cs="Arial"/>
        </w:rPr>
      </w:pPr>
    </w:p>
    <w:p>
      <w:pPr>
        <w:pStyle w:val="SredinskoOdebeljeno"/>
        <w:spacing w:after="0" w:line="260" w:lineRule="auto"/>
      </w:pPr>
      <w:r>
        <w:t>ODLOK O RAZGLASITVI NIŽJE STOPNJE TVEGANJA PRI OSKRBI Z ENERGIJO</w:t>
      </w:r>
    </w:p>
    <w:p>
      <w:pPr>
        <w:spacing w:after="0" w:line="260" w:lineRule="auto"/>
        <w:rPr>
          <w:rFonts w:ascii="Arial" w:hAnsi="Arial" w:cs="Arial"/>
        </w:rPr>
      </w:pPr>
    </w:p>
    <w:p>
      <w:pPr>
        <w:pStyle w:val="Sredinsko"/>
        <w:spacing w:after="0" w:line="260" w:lineRule="auto"/>
      </w:pPr>
      <w:r>
        <w:t>PREDLOG</w:t>
      </w:r>
    </w:p>
    <w:p>
      <w:pPr>
        <w:spacing w:after="0" w:line="260" w:lineRule="auto"/>
        <w:rPr>
          <w:rFonts w:ascii="Arial" w:hAnsi="Arial" w:cs="Arial"/>
        </w:rPr>
      </w:pPr>
    </w:p>
    <w:p>
      <w:pPr>
        <w:spacing w:after="0" w:line="260" w:lineRule="auto"/>
        <w:rPr>
          <w:rFonts w:ascii="Arial" w:hAnsi="Arial" w:cs="Arial"/>
        </w:rPr>
      </w:pPr>
    </w:p>
    <w:p>
      <w:pPr>
        <w:pStyle w:val="Sredinsko"/>
        <w:spacing w:after="0" w:line="260" w:lineRule="auto"/>
      </w:pPr>
      <w:r>
        <w:t>EVA: 2026-2570-0058</w:t>
      </w:r>
    </w:p>
    <w:p>
      <w:r>
        <w:br w:type="page"/>
      </w:r>
    </w:p>
    <w:p>
      <w:pPr>
        <w:pStyle w:val="Odebeljeno"/>
        <w:spacing w:after="0" w:line="260" w:lineRule="auto"/>
      </w:pPr>
      <w:r>
        <w:t>I.</w:t>
      </w:r>
      <w:r>
        <w:tab/>
      </w:r>
      <w:r>
        <w:t>UVOD</w:t>
      </w:r>
    </w:p>
    <w:p>
      <w:pPr>
        <w:pStyle w:val="Odebeljeno"/>
        <w:spacing w:after="0" w:line="260" w:lineRule="auto"/>
      </w:pPr>
      <w:r>
        <w:t>1.</w:t>
      </w:r>
      <w:r>
        <w:tab/>
      </w:r>
      <w:r>
        <w:t>Razlogi in podlage za izdajo</w:t>
      </w:r>
    </w:p>
    <w:p>
      <w:pPr>
        <w:spacing w:after="0" w:line="260" w:lineRule="auto"/>
        <w:rPr>
          <w:rFonts w:ascii="Arial" w:hAnsi="Arial" w:cs="Arial"/>
        </w:rPr>
      </w:pPr>
    </w:p>
    <w:p>
      <w:pPr>
        <w:spacing w:after="0" w:line="260" w:lineRule="auto"/>
      </w:pPr>
      <w:r>
        <w:t>Pravna podlaga:</w:t>
      </w:r>
    </w:p>
    <w:p>
      <w:pPr>
        <w:spacing w:after="0" w:line="240" w:lineRule="auto"/>
      </w:pPr>
      <w:r>
        <w:t>Prvi in četrti odstavek 156. člena Energetskega zakona (Uradni list RS, št. 38/24 in 47/25 – ZOEE-A)</w:t>
      </w:r>
    </w:p>
    <w:p>
      <w:pPr>
        <w:spacing w:after="0" w:line="260" w:lineRule="auto"/>
        <w:rPr>
          <w:rFonts w:ascii="Arial" w:hAnsi="Arial" w:cs="Arial"/>
        </w:rPr>
      </w:pPr>
    </w:p>
    <w:p>
      <w:pPr>
        <w:spacing w:after="0" w:line="260" w:lineRule="auto"/>
      </w:pPr>
      <w:r>
        <w:t>Rok za izdajo:</w:t>
      </w:r>
    </w:p>
    <w:p>
      <w:pPr>
        <w:spacing w:after="0" w:line="240" w:lineRule="auto"/>
      </w:pPr>
      <w:r>
        <w:t>/</w:t>
      </w:r>
    </w:p>
    <w:p>
      <w:pPr>
        <w:spacing w:after="0" w:line="260" w:lineRule="auto"/>
        <w:rPr>
          <w:rFonts w:ascii="Arial" w:hAnsi="Arial" w:cs="Arial"/>
        </w:rPr>
      </w:pPr>
    </w:p>
    <w:p>
      <w:pPr>
        <w:spacing w:after="0" w:line="260" w:lineRule="auto"/>
      </w:pPr>
      <w:r>
        <w:t>Glavni razlogi za izdajo:</w:t>
      </w:r>
    </w:p>
    <w:p>
      <w:pPr>
        <w:spacing w:after="0" w:line="240" w:lineRule="auto"/>
      </w:pPr>
      <w:r>
        <w:t>Cilj je razglasitev nižje stopnje tveganja pri oskrbi z energijo ter ukrep za zagotavljanje zanesljive oskrbe z električno energijo v Republiki Sloveniji.</w:t>
      </w:r>
    </w:p>
    <w:p>
      <w:pPr>
        <w:spacing w:after="0" w:line="260" w:lineRule="auto"/>
        <w:rPr>
          <w:rFonts w:ascii="Arial" w:hAnsi="Arial" w:cs="Arial"/>
        </w:rPr>
      </w:pPr>
    </w:p>
    <w:p>
      <w:pPr>
        <w:pStyle w:val="Odebeljeno"/>
        <w:spacing w:after="0" w:line="260" w:lineRule="auto"/>
      </w:pPr>
      <w:r>
        <w:t>2.</w:t>
      </w:r>
      <w:r>
        <w:tab/>
      </w:r>
      <w:r>
        <w:t>Ocena finančnih posledic predloga akta za državni proračun in druga javna finančna sredstva</w:t>
      </w:r>
    </w:p>
    <w:p>
      <w:pPr>
        <w:spacing w:after="0" w:line="260" w:lineRule="auto"/>
        <w:rPr>
          <w:rFonts w:ascii="Arial" w:hAnsi="Arial" w:cs="Arial"/>
        </w:rPr>
      </w:pPr>
    </w:p>
    <w:p>
      <w:pPr>
        <w:spacing w:after="0" w:line="260" w:lineRule="auto"/>
      </w:pPr>
      <w:r>
        <w:t>Presoja posledic je bila opravljena ob sprejemanju zakona, ki je podlaga za izdajo tega predloga.</w:t>
      </w:r>
    </w:p>
    <w:p>
      <w:pPr>
        <w:spacing w:after="0" w:line="260" w:lineRule="auto"/>
        <w:rPr>
          <w:rFonts w:ascii="Arial" w:hAnsi="Arial" w:cs="Arial"/>
        </w:rPr>
      </w:pPr>
    </w:p>
    <w:p>
      <w:pPr>
        <w:pStyle w:val="Odebeljeno"/>
        <w:spacing w:after="0" w:line="260" w:lineRule="auto"/>
      </w:pPr>
      <w:r>
        <w:t>3.</w:t>
      </w:r>
      <w:r>
        <w:tab/>
      </w:r>
      <w:r>
        <w:t>Prikaz ureditve v drugih pravnih sistemih in prilagojenosti predlagane ureditve pravu Evropske unije</w:t>
      </w:r>
    </w:p>
    <w:p>
      <w:pPr>
        <w:spacing w:after="0" w:line="260" w:lineRule="auto"/>
        <w:rPr>
          <w:rFonts w:ascii="Arial" w:hAnsi="Arial" w:cs="Arial"/>
        </w:rPr>
      </w:pPr>
    </w:p>
    <w:p>
      <w:pPr>
        <w:pStyle w:val="Odebeljeno"/>
        <w:spacing w:after="0" w:line="260" w:lineRule="auto"/>
      </w:pPr>
      <w:r>
        <w:t>3.1</w:t>
      </w:r>
      <w:r>
        <w:tab/>
      </w:r>
      <w:r>
        <w:t>Prikaz ureditve v drugih pravnih sistemih</w:t>
      </w:r>
    </w:p>
    <w:p>
      <w:pPr>
        <w:spacing w:after="0" w:line="260" w:lineRule="auto"/>
        <w:rPr>
          <w:rFonts w:ascii="Arial" w:hAnsi="Arial" w:cs="Arial"/>
        </w:rPr>
      </w:pPr>
    </w:p>
    <w:p>
      <w:pPr>
        <w:spacing w:after="0" w:line="260" w:lineRule="auto"/>
      </w:pPr>
      <w:r>
        <w:t>/</w:t>
      </w:r>
    </w:p>
    <w:p>
      <w:pPr>
        <w:spacing w:after="0" w:line="260" w:lineRule="auto"/>
        <w:rPr>
          <w:rFonts w:ascii="Arial" w:hAnsi="Arial" w:cs="Arial"/>
        </w:rPr>
      </w:pPr>
    </w:p>
    <w:p>
      <w:pPr>
        <w:pStyle w:val="Odebeljeno"/>
        <w:spacing w:after="0" w:line="260" w:lineRule="auto"/>
      </w:pPr>
      <w:r>
        <w:t>3.2</w:t>
      </w:r>
      <w:r>
        <w:tab/>
      </w:r>
      <w:r>
        <w:t>Prikaz ureditve v pravnem redu Evropske unije</w:t>
      </w:r>
    </w:p>
    <w:p>
      <w:pPr>
        <w:spacing w:after="0" w:line="260" w:lineRule="auto"/>
        <w:rPr>
          <w:rFonts w:ascii="Arial" w:hAnsi="Arial" w:cs="Arial"/>
        </w:rPr>
      </w:pPr>
    </w:p>
    <w:p>
      <w:pPr>
        <w:spacing w:after="0" w:line="260" w:lineRule="auto"/>
      </w:pPr>
      <w:r>
        <w:t>Predlog ni predmet usklajevanja s pravnim redom EU.</w:t>
      </w:r>
    </w:p>
    <w:p>
      <w:pPr>
        <w:spacing w:after="0" w:line="260" w:lineRule="auto"/>
        <w:rPr>
          <w:rFonts w:ascii="Arial" w:hAnsi="Arial" w:cs="Arial"/>
        </w:rPr>
      </w:pPr>
    </w:p>
    <w:p>
      <w:pPr>
        <w:pStyle w:val="SrajckaNaslovZamik"/>
        <w:spacing w:after="0" w:line="260" w:lineRule="auto"/>
      </w:pPr>
      <w:r>
        <w:t>3.3</w:t>
      </w:r>
      <w:r>
        <w:tab/>
      </w:r>
      <w:r>
        <w:t>Prikaz ureditve v posameznih državah članicah Evropske unije</w:t>
      </w:r>
    </w:p>
    <w:p>
      <w:pPr>
        <w:spacing w:after="0" w:line="260" w:lineRule="auto"/>
        <w:rPr>
          <w:rFonts w:ascii="Arial" w:hAnsi="Arial" w:cs="Arial"/>
        </w:rPr>
      </w:pPr>
    </w:p>
    <w:p>
      <w:pPr>
        <w:spacing w:after="0" w:line="260" w:lineRule="auto"/>
      </w:pPr>
      <w:r>
        <w:t>/</w:t>
      </w:r>
    </w:p>
    <w:p>
      <w:pPr>
        <w:spacing w:after="0" w:line="260" w:lineRule="auto"/>
        <w:rPr>
          <w:rFonts w:ascii="Arial" w:hAnsi="Arial" w:cs="Arial"/>
        </w:rPr>
      </w:pPr>
    </w:p>
    <w:p>
      <w:pPr>
        <w:pStyle w:val="Odebeljeno"/>
        <w:spacing w:after="0" w:line="260" w:lineRule="auto"/>
      </w:pPr>
      <w:r>
        <w:t>4.</w:t>
      </w:r>
      <w:r>
        <w:tab/>
      </w:r>
      <w:r>
        <w:t>Presoja posledic</w:t>
      </w:r>
    </w:p>
    <w:p>
      <w:pPr>
        <w:spacing w:after="0" w:line="260" w:lineRule="auto"/>
        <w:rPr>
          <w:rFonts w:ascii="Arial" w:hAnsi="Arial" w:cs="Arial"/>
        </w:rPr>
      </w:pPr>
    </w:p>
    <w:p>
      <w:pPr>
        <w:spacing w:after="0" w:line="260" w:lineRule="auto"/>
      </w:pPr>
      <w:r>
        <w:t>Presoja posledic je bila opravljena ob sprejemanju zakona, ki je podlaga za izdajo tega predloga.</w:t>
      </w:r>
    </w:p>
    <w:p>
      <w:pPr>
        <w:spacing w:after="0" w:line="260" w:lineRule="auto"/>
        <w:rPr>
          <w:rFonts w:ascii="Arial" w:hAnsi="Arial" w:cs="Arial"/>
        </w:rPr>
      </w:pPr>
    </w:p>
    <w:p>
      <w:pPr>
        <w:pStyle w:val="Odebeljeno"/>
        <w:spacing w:after="0" w:line="260" w:lineRule="auto"/>
      </w:pPr>
      <w:r>
        <w:t>5.</w:t>
      </w:r>
      <w:r>
        <w:tab/>
      </w:r>
      <w:r>
        <w:t>Prikaz sodelovanja javnosti</w:t>
      </w:r>
    </w:p>
    <w:p>
      <w:pPr>
        <w:spacing w:after="0" w:line="260" w:lineRule="auto"/>
        <w:rPr>
          <w:rFonts w:ascii="Arial" w:hAnsi="Arial" w:cs="Arial"/>
        </w:rPr>
      </w:pPr>
    </w:p>
    <w:p>
      <w:pPr>
        <w:spacing w:after="0" w:line="260" w:lineRule="auto"/>
      </w:pPr>
      <w:r>
        <w:t>Gradivo ni bilo predmet sodelovanja z javnostjo.</w:t>
      </w:r>
    </w:p>
    <w:p>
      <w:pPr>
        <w:spacing w:after="0" w:line="260" w:lineRule="auto"/>
        <w:rPr>
          <w:rFonts w:ascii="Arial" w:hAnsi="Arial" w:cs="Arial"/>
        </w:rPr>
      </w:pPr>
    </w:p>
    <w:p>
      <w:pPr>
        <w:spacing w:after="0" w:line="260" w:lineRule="auto"/>
      </w:pPr>
      <w:r>
        <w:t>Obrazložitev:</w:t>
      </w:r>
    </w:p>
    <w:p>
      <w:pPr>
        <w:spacing w:after="0" w:line="260" w:lineRule="auto"/>
      </w:pPr>
      <w:r>
        <w:t>Ni podatka.</w:t>
      </w:r>
    </w:p>
    <w:p>
      <w:pPr>
        <w:spacing w:after="0" w:line="260" w:lineRule="auto"/>
      </w:pPr>
    </w:p>
    <w:p>
      <w:pPr>
        <w:spacing w:after="0" w:line="260" w:lineRule="auto"/>
        <w:rPr>
          <w:rFonts w:ascii="Arial" w:hAnsi="Arial" w:cs="Arial"/>
        </w:rPr>
      </w:pPr>
    </w:p>
    <w:p>
      <w:r>
        <w:br w:type="page"/>
      </w:r>
    </w:p>
    <w:p>
      <w:pPr>
        <w:pStyle w:val="Odebeljeno"/>
        <w:spacing w:after="0" w:line="260" w:lineRule="auto"/>
      </w:pPr>
      <w:r>
        <w:t>II.</w:t>
      </w:r>
      <w:r>
        <w:tab/>
      </w:r>
      <w:r>
        <w:t>BESEDILO ČLENOV</w:t>
      </w:r>
    </w:p>
    <w:p>
      <w:pPr>
        <w:pStyle w:val="Odstavek"/>
        <w:spacing w:after="0" w:line="260" w:lineRule="auto"/>
      </w:pPr>
      <w:r>
        <w:t xml:space="preserve">Na podlagi prvega in četrtega odstavka 156. člena Energetskega zakona (Uradni list RS, št. 38/24 in 47/25 – ZOEE-A) Vlada Republike Slovenije izdaja </w:t>
      </w:r>
    </w:p>
    <w:p>
      <w:pPr>
        <w:spacing w:after="0" w:line="260" w:lineRule="auto"/>
        <w:rPr>
          <w:rFonts w:ascii="Arial" w:hAnsi="Arial" w:cs="Arial"/>
        </w:rPr>
      </w:pPr>
    </w:p>
    <w:p>
      <w:pPr>
        <w:pStyle w:val="Naslov1"/>
        <w:spacing w:after="0" w:line="260" w:lineRule="auto"/>
      </w:pPr>
      <w:r>
        <w:t>Odlok o razglasitvi nižje stopnje tveganja pri oskrbi z energijo</w:t>
      </w:r>
    </w:p>
    <w:p>
      <w:pPr>
        <w:pStyle w:val="len"/>
        <w:spacing w:after="0" w:line="260" w:lineRule="auto"/>
      </w:pPr>
      <w:r>
        <w:t>1. člen</w:t>
      </w:r>
    </w:p>
    <w:p>
      <w:pPr>
        <w:pStyle w:val="lennaslov"/>
        <w:spacing w:after="0" w:line="260" w:lineRule="auto"/>
      </w:pPr>
      <w:r>
        <w:t>(vsebina)</w:t>
      </w:r>
    </w:p>
    <w:p>
      <w:pPr>
        <w:spacing w:after="0" w:line="260" w:lineRule="auto"/>
        <w:rPr>
          <w:rFonts w:ascii="Arial" w:hAnsi="Arial" w:cs="Arial"/>
        </w:rPr>
      </w:pPr>
    </w:p>
    <w:p>
      <w:pPr>
        <w:spacing w:after="0" w:line="260" w:lineRule="auto"/>
      </w:pPr>
      <w:r>
        <w:tab/>
      </w:r>
      <w:r>
        <w:t>S tem odlokom se v Republiki Sloveniji razglasi nižja stopnja tveganja pri oskrbi z energijo.</w:t>
      </w:r>
    </w:p>
    <w:p>
      <w:pPr>
        <w:pStyle w:val="len"/>
        <w:spacing w:after="0" w:line="260" w:lineRule="auto"/>
      </w:pPr>
      <w:r>
        <w:t>2. člen</w:t>
      </w:r>
    </w:p>
    <w:p>
      <w:pPr>
        <w:pStyle w:val="lennaslov"/>
        <w:spacing w:after="0" w:line="260" w:lineRule="auto"/>
      </w:pPr>
      <w:r>
        <w:t>(izvedba nujnega ukrepa)</w:t>
      </w:r>
    </w:p>
    <w:p>
      <w:pPr>
        <w:spacing w:after="0" w:line="260" w:lineRule="auto"/>
        <w:rPr>
          <w:rFonts w:ascii="Arial" w:hAnsi="Arial" w:cs="Arial"/>
        </w:rPr>
      </w:pPr>
    </w:p>
    <w:p>
      <w:pPr>
        <w:spacing w:after="0" w:line="260" w:lineRule="auto"/>
      </w:pPr>
      <w:r>
        <w:tab/>
      </w:r>
      <w:r>
        <w:t xml:space="preserve">(1) </w:t>
      </w:r>
      <w:r>
        <w:t>Nuklearna elektrarna Krško d. o. o. (v nadaljnjem besedilu: NEK) mora za zagotovitev nemotenega delovanja elektroenergetskega sistema in neprekinjene oskrbe z električno energijo v Republiki Sloveniji zagotavljati obvezni obseg proizvodnje električne energije vsaj v višini tehničnega minimuma, ki glede na temperaturo in pretok reke Save še zagotavlja varno in zanesljivo delovanje elektrarne.</w:t>
      </w:r>
    </w:p>
    <w:p>
      <w:pPr>
        <w:spacing w:after="0" w:line="260" w:lineRule="auto"/>
        <w:rPr>
          <w:rFonts w:ascii="Arial" w:hAnsi="Arial" w:cs="Arial"/>
        </w:rPr>
      </w:pPr>
    </w:p>
    <w:p>
      <w:pPr>
        <w:spacing w:after="0" w:line="260" w:lineRule="auto"/>
      </w:pPr>
      <w:r>
        <w:tab/>
      </w:r>
      <w:r>
        <w:t xml:space="preserve">(2) </w:t>
      </w:r>
      <w:r>
        <w:t>Hidroelektrarne na Spodnji Savi, d. o. o. morajo prilagajati obratovanje in s tem pretok reke Save potrebam NEK.</w:t>
      </w:r>
    </w:p>
    <w:p>
      <w:pPr>
        <w:pStyle w:val="Poglavje"/>
        <w:spacing w:after="0" w:line="260" w:lineRule="auto"/>
      </w:pPr>
      <w:r>
        <w:t>KONČNA DOLOČBA</w:t>
      </w:r>
    </w:p>
    <w:p>
      <w:pPr>
        <w:pStyle w:val="len"/>
        <w:spacing w:after="0" w:line="260" w:lineRule="auto"/>
      </w:pPr>
      <w:r>
        <w:t>3. člen</w:t>
      </w:r>
    </w:p>
    <w:p>
      <w:pPr>
        <w:pStyle w:val="lennaslov"/>
        <w:spacing w:after="0" w:line="260" w:lineRule="auto"/>
      </w:pPr>
      <w:r>
        <w:t>(začetek in konec veljavnosti)</w:t>
      </w:r>
    </w:p>
    <w:p>
      <w:pPr>
        <w:spacing w:after="0" w:line="260" w:lineRule="auto"/>
        <w:rPr>
          <w:rFonts w:ascii="Arial" w:hAnsi="Arial" w:cs="Arial"/>
        </w:rPr>
      </w:pPr>
    </w:p>
    <w:p>
      <w:pPr>
        <w:spacing w:after="0" w:line="260" w:lineRule="auto"/>
      </w:pPr>
      <w:r>
        <w:tab/>
      </w:r>
      <w:r>
        <w:t>Ta odlok začne veljati 13. avgusta 2026 in velja do vključno 19. avgusta 2026.</w:t>
      </w:r>
    </w:p>
    <w:p>
      <w:pPr>
        <w:spacing w:after="0" w:line="260" w:lineRule="auto"/>
        <w:rPr>
          <w:rFonts w:ascii="Arial" w:hAnsi="Arial" w:cs="Arial"/>
        </w:rPr>
      </w:pPr>
    </w:p>
    <w:p>
      <w:pPr>
        <w:spacing w:after="0" w:line="260" w:lineRule="auto"/>
      </w:pPr>
      <w:r>
        <w:t>Št. 007-164/2026</w:t>
      </w:r>
    </w:p>
    <w:p>
      <w:pPr>
        <w:spacing w:after="0" w:line="260" w:lineRule="auto"/>
        <w:rPr>
          <w:rFonts w:ascii="Arial" w:hAnsi="Arial" w:cs="Arial"/>
        </w:rPr>
      </w:pPr>
    </w:p>
    <w:p>
      <w:pPr>
        <w:spacing w:after="0" w:line="260" w:lineRule="auto"/>
      </w:pPr>
      <w:r>
        <w:t>Ljubljana, dne 12. avgusta 2026</w:t>
      </w:r>
    </w:p>
    <w:p>
      <w:pPr>
        <w:spacing w:after="0" w:line="260" w:lineRule="auto"/>
        <w:rPr>
          <w:rFonts w:ascii="Arial" w:hAnsi="Arial" w:cs="Arial"/>
        </w:rPr>
      </w:pPr>
    </w:p>
    <w:p>
      <w:pPr>
        <w:spacing w:after="0" w:line="260" w:lineRule="auto"/>
      </w:pPr>
      <w:r>
        <w:t>EVA 2026-2570-0058</w:t>
      </w:r>
    </w:p>
    <w:p>
      <w:pPr>
        <w:spacing w:after="0" w:line="260" w:lineRule="auto"/>
        <w:rPr>
          <w:rFonts w:ascii="Arial" w:hAnsi="Arial" w:cs="Arial"/>
        </w:rPr>
      </w:pPr>
    </w:p>
    <w:p>
      <w:pPr>
        <w:pStyle w:val="Podpisnik"/>
        <w:spacing w:after="0" w:line="260" w:lineRule="auto"/>
      </w:pPr>
      <w:r>
        <w:t>Vlada Republike Slovenije</w:t>
      </w:r>
      <w:r>
        <w:br/>
      </w:r>
      <w:r>
        <w:t>Janez Janša</w:t>
      </w:r>
      <w:r>
        <w:br/>
      </w:r>
      <w:r>
        <w:t>predsednik</w:t>
      </w:r>
    </w:p>
    <w:p>
      <w:r>
        <w:br w:type="page"/>
      </w:r>
    </w:p>
    <w:p>
      <w:pPr>
        <w:pStyle w:val="Odebeljeno"/>
        <w:spacing w:after="0" w:line="260" w:lineRule="auto"/>
      </w:pPr>
      <w:r>
        <w:t>III.</w:t>
      </w:r>
      <w:r>
        <w:tab/>
      </w:r>
      <w:r>
        <w:t>OBRAZLOŽITEV</w:t>
      </w:r>
    </w:p>
    <w:p>
      <w:pPr>
        <w:spacing w:after="0" w:line="260" w:lineRule="auto"/>
        <w:rPr>
          <w:rFonts w:ascii="Arial" w:hAnsi="Arial" w:cs="Arial"/>
        </w:rPr>
      </w:pPr>
    </w:p>
    <w:p>
      <w:pPr>
        <w:pStyle w:val="Odebeljeno"/>
        <w:spacing w:after="0" w:line="260" w:lineRule="auto"/>
      </w:pPr>
      <w:r>
        <w:t>K 1. členu:</w:t>
      </w:r>
    </w:p>
    <w:p>
      <w:pPr>
        <w:spacing w:after="0" w:line="240" w:lineRule="auto"/>
      </w:pPr>
      <w:r>
        <w:t>Ta člen določa, da se s tem odlokom razglasi nižja stopnja tveganja pri oskrbi z energijo.</w:t>
      </w:r>
    </w:p>
    <w:p>
      <w:pPr>
        <w:spacing w:after="0" w:line="240" w:lineRule="auto"/>
      </w:pPr>
      <w:r>
        <w:t>Na podlagi Energetskega zakona (Uradni list RS, št. 38/24 in 47/25 – ZOEE-A) lahko Vlada RS razglasi nižjo stopnjo tveganja zaradi priprave na krizo na področju oskrbe z energijo takrat, ko je zelo verjetno, da bo potrebno razglasiti stopnjo pripravljenosti v sektorju oskrbe s plinom skladno z Uredbo 2017/1938/EU o ukrepih za zagotavljanje zanesljivosti oskrbe s plinom ter zgodnje opozorilo v sektorju oskrbe z električno energijo skladno z Uredbo 2019/941/EU o pripravljenosti na tveganja v sektorju električne energije.</w:t>
      </w:r>
    </w:p>
    <w:p>
      <w:pPr>
        <w:spacing w:after="0" w:line="240" w:lineRule="auto"/>
      </w:pPr>
      <w:r>
        <w:t xml:space="preserve"> </w:t>
      </w:r>
    </w:p>
    <w:p>
      <w:pPr>
        <w:spacing w:after="0" w:line="240" w:lineRule="auto"/>
      </w:pPr>
      <w:r>
        <w:t>Razmere v slovenskem omrežju so še vedno zaostrene: TEŠ6 je v remontu, proizvodnja hidroelektrarn v Sloveniji je izredno nizka, uvoz iz Madžarske ni mogoč, še vedno je mogoča zaustavitev NEK zaradi visoke temperature reke Save. ELES, slovenski sistemski operater, je izdelal več analiz razmer v omrežju, zadnjo 10. avgusta 2026 za obdobje od 11. avgusta do 17. avgusta 2026.</w:t>
      </w:r>
    </w:p>
    <w:p>
      <w:pPr>
        <w:spacing w:after="0" w:line="240" w:lineRule="auto"/>
      </w:pPr>
      <w:r>
        <w:t xml:space="preserve"> </w:t>
      </w:r>
    </w:p>
    <w:p>
      <w:pPr>
        <w:spacing w:after="0" w:line="240" w:lineRule="auto"/>
      </w:pPr>
      <w:r>
        <w:t>ELES-ove analize kažejo, da je razpoložljive energije v omrežju zadosti, tudi v primeru zaustavitve NEK. Vso manjkajočo energijo je namreč mogoče uvoziti preko čezmejnih povezav (Avstrija, Hrvaška, Italija). Evropske analize zadostnosti proizvodnje električne energije ne kažejo na pomanjkanje razpoložljivih proizvodnih zmogljivosti ali na težave pri zagotavljanju potrebnih količin električne energije za pokrivanje pričakovane porabe, energijo je torej v Evropi mogoče kupiti.</w:t>
      </w:r>
    </w:p>
    <w:p>
      <w:pPr>
        <w:spacing w:after="0" w:line="240" w:lineRule="auto"/>
      </w:pPr>
      <w:r>
        <w:t xml:space="preserve"> </w:t>
      </w:r>
    </w:p>
    <w:p>
      <w:pPr>
        <w:spacing w:after="0" w:line="240" w:lineRule="auto"/>
      </w:pPr>
      <w:r>
        <w:t>ELES-ove analize pa še vedno kažejo na težave pri zagotavljanju ustrezne napetosti v 400 kV omrežju v primeru zaustavitve NEK: napetosti so še vedno previsoke, tudi zaradi zaostrenih razmer v regiji (na Balkanu in na Madžarskem), kjer je zaradi razmer izklopljenih večje število elektrarn na 400 kV DV. Previsoke napetosti lahko povzročijo izklope elektrarn in daljnovodov, posledično lahko pride do razpada elektroenergetskega sistema, kot na primer lansko leto v Španiji. Zato ELES-ova analiza ugotavlja, da je iz stališča zagotavljanja stabilnega napetostnega profila obratovanje NEK še vedno potrebno, tudi po ponovnem vklopu DV 400 kV Divača-Redipuglia. Za potrebe zagotavljanja ustreznega napetostnega profila ni potrebno delovanje NEK na polni moči, delovati pa mora na vsaj minimalni moči.</w:t>
      </w:r>
    </w:p>
    <w:p>
      <w:pPr>
        <w:spacing w:after="0" w:line="240" w:lineRule="auto"/>
      </w:pPr>
      <w:r>
        <w:t xml:space="preserve"> </w:t>
      </w:r>
    </w:p>
    <w:p>
      <w:pPr>
        <w:spacing w:after="0" w:line="240" w:lineRule="auto"/>
      </w:pPr>
      <w:r>
        <w:t>Zaradi navedenega Vlada RS razglaša nižjo stopnjo tveganja pri oskrbi z energijo.</w:t>
      </w:r>
    </w:p>
    <w:p>
      <w:pPr>
        <w:spacing w:after="0" w:line="260" w:lineRule="auto"/>
        <w:rPr>
          <w:rFonts w:ascii="Arial" w:hAnsi="Arial" w:cs="Arial"/>
        </w:rPr>
      </w:pPr>
    </w:p>
    <w:p>
      <w:pPr>
        <w:pStyle w:val="Odebeljeno"/>
        <w:spacing w:after="0" w:line="260" w:lineRule="auto"/>
      </w:pPr>
      <w:r>
        <w:t>K 2. členu:</w:t>
      </w:r>
    </w:p>
    <w:p>
      <w:pPr>
        <w:spacing w:after="0" w:line="240" w:lineRule="auto"/>
      </w:pPr>
      <w:r>
        <w:t>156. člen EZ-2 določa tudi, da lahko Vlada lahko v času razglašene nižje ali višje stopnje tveganja pri oskrbi z energijo gospodarskim družbam s področja energetike, ki so v 100 % posredni ali neposredni lasti Republike Slovenije, predpiše izvedbo ukrepov, ki omogočajo neprekinjenost oskrbe z energijo čim večjemu delu odjemalcev in s katerimi bo možno izkoristiti vse razpoložljive domače vire za proizvodnjo električne energije in toplote ter se s tem izogniti predvidenim motnjam in ali skrajšati trajanje dejanskih motenj in zmanjšati cenovni pritisk, kot so obvezni obseg proizvodnje, zagotavljanje sistemskih storitev sistemskemu operaterju ali zagotavljanje energije za pokrivanje izgub sistema. Ukrepi vlade morajo biti potrebni in sorazmerni.</w:t>
      </w:r>
    </w:p>
    <w:p>
      <w:pPr>
        <w:spacing w:after="0" w:line="240" w:lineRule="auto"/>
      </w:pPr>
      <w:r>
        <w:t xml:space="preserve"> </w:t>
      </w:r>
    </w:p>
    <w:p>
      <w:pPr>
        <w:spacing w:after="0" w:line="240" w:lineRule="auto"/>
      </w:pPr>
      <w:r>
        <w:t>Zato vlada nalaga NEK d.o.o., da mora, za zagotovitev nemotenega delovanja elektroenergetskega sistema in neprekinjene oskrbe z električno energijo v Republiki Sloveniji, zagotavljati obvezni obseg proizvodnje električne energije vsaj v višini tehničnega minimuma, ki glede na temperaturo in pretok reke Save, še zagotavlja varno in zanesljivo delovanje elektrarne. Pri obratovanju mora NEK upoštevati vse omejitve iz okoljevarstvenega soglasja.</w:t>
      </w:r>
    </w:p>
    <w:p>
      <w:pPr>
        <w:spacing w:after="0" w:line="240" w:lineRule="auto"/>
      </w:pPr>
      <w:r>
        <w:t xml:space="preserve"> </w:t>
      </w:r>
    </w:p>
    <w:p>
      <w:pPr>
        <w:spacing w:after="0" w:line="240" w:lineRule="auto"/>
      </w:pPr>
      <w:r>
        <w:t>NEK je v preteklem tednu z obratovanjem na zmanjšani moči uspešno ohranjal delovanje znotraj meja okoljevarstvenega soglasja. Trenutne razmere so sicer še negotove, a zaenkrat kaže, da bo lahko nadaljeval z obratovanjem na zmanjšani moči, brez preseganja omejitev okoljevarstvenega soglasja. Negotovost povzroča morebiten dodaten izpad kakšnega od daljnovodov, kar lahko poslabša napetostne razmere v omrežju, ali pa nadaljnje segrevanje reke Save, zaradi nadaljevanja vročinskega vala in nadaljnjega upadanja pretoka Save.</w:t>
      </w:r>
    </w:p>
    <w:p>
      <w:pPr>
        <w:spacing w:after="0" w:line="240" w:lineRule="auto"/>
      </w:pPr>
      <w:r>
        <w:t xml:space="preserve"> </w:t>
      </w:r>
    </w:p>
    <w:p>
      <w:pPr>
        <w:spacing w:after="0" w:line="240" w:lineRule="auto"/>
      </w:pPr>
      <w:r>
        <w:t>V drugem odstavku je dodano določilo obratovanju elektrarn na spodnji Savi. Ker je ohranjanje obratovanja NEK vsaj na tehničnem minimumu potrebno zaradi ohranjanja ustreznih napetostnih razmer v omrežju in s tem za ohranjanje celovitosti omrežja, je obratovanje teh hidroelektrarn in s tem vzdrževanje konstantnega pretoka Save potrebno prilagoditi razmeram.</w:t>
      </w:r>
    </w:p>
    <w:p>
      <w:pPr>
        <w:spacing w:after="0" w:line="260" w:lineRule="auto"/>
        <w:rPr>
          <w:rFonts w:ascii="Arial" w:hAnsi="Arial" w:cs="Arial"/>
        </w:rPr>
      </w:pPr>
    </w:p>
    <w:p>
      <w:pPr>
        <w:pStyle w:val="Odebeljeno"/>
        <w:spacing w:after="0" w:line="260" w:lineRule="auto"/>
      </w:pPr>
      <w:r>
        <w:t>K 3. členu:</w:t>
      </w:r>
    </w:p>
    <w:p>
      <w:pPr>
        <w:spacing w:after="0" w:line="240" w:lineRule="auto"/>
      </w:pPr>
      <w:r>
        <w:t>Ta člen določa začetek in konec veljavnosti odloka.</w:t>
      </w:r>
    </w:p>
    <w:p>
      <w:pPr>
        <w:spacing w:after="0" w:line="260" w:lineRule="auto"/>
        <w:rPr>
          <w:rFonts w:ascii="Arial" w:hAnsi="Arial" w:cs="Arial"/>
        </w:rPr>
      </w:pPr>
    </w:p>
    <w:p>
      <w:r>
        <w:br w:type="page"/>
      </w:r>
    </w:p>
    <w:p>
      <w:pPr>
        <w:pStyle w:val="Odebeljeno"/>
        <w:spacing w:after="0" w:line="260" w:lineRule="auto"/>
      </w:pPr>
      <w:r>
        <w:t>IV.</w:t>
      </w:r>
      <w:r>
        <w:tab/>
      </w:r>
      <w:r>
        <w:t>PRILOGE</w:t>
      </w:r>
    </w:p>
    <w:p>
      <w:pPr>
        <w:spacing w:after="0" w:line="260" w:lineRule="auto"/>
        <w:rPr>
          <w:rFonts w:ascii="Arial" w:hAnsi="Arial" w:cs="Arial"/>
        </w:rPr>
      </w:pPr>
    </w:p>
    <w:p>
      <w:pPr>
        <w:spacing w:after="0" w:line="260" w:lineRule="auto"/>
      </w:pPr>
      <w:r>
        <w:t>Priloge niso priložene.</w:t>
      </w:r>
    </w:p>
    <w:sectPr>
      <w:footerReference w:type="default" r:id="rId4"/>
      <w:pgMar w:header="708" w:footer="708"/>
      <w:cols w:space="708"/>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i/>
        <w:sz w:val="16"/>
      </w:rPr>
      <w:t>Ustvarjeno v MOPED-DOCS, 12. 08. 2026 10:00:27</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Theme="minorHAnsi" w:cstheme="minorBidi"/>
        <w:lang w:val="sl-SI"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3E20"/>
    <w:pPr>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DefaultParagraphFont"/>
    <w:uiPriority w:val="99"/>
    <w:unhideWhenUsed/>
    <w:rsid w:val="005C3D8F"/>
    <w:rPr>
      <w:color w:val="0000FF" w:themeColor="hyperlink"/>
      <w:u w:val="single"/>
    </w:rPr>
  </w:style>
  <w:style w:type="paragraph" w:styleId="Header">
    <w:name w:val="header"/>
    <w:basedOn w:val="Normal"/>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DefaultParagraphFont"/>
    <w:link w:val="Header"/>
    <w:uiPriority w:val="99"/>
    <w:rsid w:val="00945425"/>
  </w:style>
  <w:style w:type="paragraph" w:styleId="Footer">
    <w:name w:val="footer"/>
    <w:basedOn w:val="Normal"/>
    <w:link w:val="NogaZnak"/>
    <w:uiPriority w:val="99"/>
    <w:unhideWhenUsed/>
    <w:rsid w:val="00945425"/>
    <w:pPr>
      <w:tabs>
        <w:tab w:val="center" w:pos="4536"/>
        <w:tab w:val="right" w:pos="9072"/>
      </w:tabs>
      <w:spacing w:after="0" w:line="240" w:lineRule="auto"/>
    </w:pPr>
  </w:style>
  <w:style w:type="character" w:customStyle="1" w:styleId="NogaZnak">
    <w:name w:val="Noga Znak"/>
    <w:basedOn w:val="DefaultParagraphFont"/>
    <w:link w:val="Footer"/>
    <w:uiPriority w:val="99"/>
    <w:rsid w:val="00945425"/>
  </w:style>
  <w:style w:type="table" w:styleId="TableGrid">
    <w:name w:val="Table Grid"/>
    <w:basedOn w:val="TableNormal"/>
    <w:uiPriority w:val="39"/>
    <w:rsid w:val="000E33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rajckaNaslovZamik">
    <w:name w:val="SrajckaNaslovZamik"/>
    <w:basedOn w:val="Normal"/>
    <w:qFormat/>
    <w:rsid w:val="000B0CD1"/>
    <w:pPr>
      <w:spacing w:after="0" w:line="240" w:lineRule="auto"/>
    </w:pPr>
    <w:rPr>
      <w:rFonts w:cs="Arial"/>
      <w:b/>
    </w:rPr>
  </w:style>
  <w:style w:type="paragraph" w:customStyle="1" w:styleId="Odebeljeno">
    <w:name w:val="Odebeljeno"/>
    <w:basedOn w:val="Normal"/>
    <w:qFormat/>
    <w:rsid w:val="0029037E"/>
    <w:pPr>
      <w:spacing w:after="0" w:line="240" w:lineRule="auto"/>
    </w:pPr>
    <w:rPr>
      <w:rFonts w:cs="Arial"/>
      <w:b/>
    </w:rPr>
  </w:style>
  <w:style w:type="paragraph" w:customStyle="1" w:styleId="DesnaPoravnava">
    <w:name w:val="DesnaPoravnava"/>
    <w:basedOn w:val="Normal"/>
    <w:qFormat/>
    <w:rsid w:val="007652EC"/>
    <w:pPr>
      <w:jc w:val="right"/>
    </w:pPr>
  </w:style>
  <w:style w:type="paragraph" w:customStyle="1" w:styleId="Podpisnik">
    <w:name w:val="Podpisnik"/>
    <w:basedOn w:val="Normal"/>
    <w:qFormat/>
    <w:rsid w:val="007651EC"/>
    <w:pPr>
      <w:widowControl w:val="0"/>
      <w:spacing w:before="0" w:after="0" w:line="260" w:lineRule="exact"/>
      <w:ind w:left="3969"/>
      <w:jc w:val="center"/>
    </w:pPr>
    <w:rPr>
      <w:b w:val="0"/>
    </w:rPr>
  </w:style>
  <w:style w:type="paragraph" w:customStyle="1" w:styleId="SredinskoOdebeljeno">
    <w:name w:val="SredinskoOdebeljeno"/>
    <w:basedOn w:val="Normal"/>
    <w:qFormat/>
    <w:rsid w:val="007652EC"/>
    <w:pPr>
      <w:spacing w:after="0" w:line="240" w:lineRule="auto"/>
      <w:jc w:val="center"/>
    </w:pPr>
    <w:rPr>
      <w:rFonts w:cs="Arial"/>
      <w:b/>
    </w:rPr>
  </w:style>
  <w:style w:type="paragraph" w:customStyle="1" w:styleId="Sredinsko">
    <w:name w:val="Sredinsko"/>
    <w:basedOn w:val="Normal"/>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TableNormal"/>
    <w:uiPriority w:val="41"/>
    <w:rsid w:val="00185854"/>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TableNormal"/>
    <w:uiPriority w:val="41"/>
    <w:rsid w:val="00185855"/>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14</Pages>
  <Words>4101</Words>
  <Characters>23382</Characters>
  <Application>Microsoft Office Word</Application>
  <DocSecurity>0</DocSecurity>
  <Lines>194</Lines>
  <Paragraphs>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zorc</cp:lastModifiedBy>
  <cp:revision>3</cp:revision>
  <dcterms:created xsi:type="dcterms:W3CDTF">2019-02-01T07:54:00Z</dcterms:created>
  <dcterms:modified xsi:type="dcterms:W3CDTF">2019-02-01T08:06:00Z</dcterms:modified>
</cp:coreProperties>
</file>