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B476" w14:textId="77777777" w:rsidR="000967F0" w:rsidRDefault="000967F0">
      <w:pPr>
        <w:spacing w:after="0" w:line="260" w:lineRule="auto"/>
        <w:rPr>
          <w:rFonts w:cs="Arial"/>
        </w:rPr>
      </w:pPr>
    </w:p>
    <w:p w14:paraId="0507D4E2" w14:textId="77777777" w:rsidR="000967F0" w:rsidRDefault="000967F0">
      <w:pPr>
        <w:spacing w:after="0" w:line="260" w:lineRule="auto"/>
        <w:rPr>
          <w:rFonts w:cs="Arial"/>
        </w:rPr>
      </w:pPr>
    </w:p>
    <w:p w14:paraId="187E968E" w14:textId="77777777" w:rsidR="000967F0" w:rsidRDefault="000967F0">
      <w:pPr>
        <w:spacing w:after="0" w:line="260" w:lineRule="auto"/>
        <w:rPr>
          <w:rFonts w:cs="Arial"/>
        </w:rPr>
      </w:pPr>
    </w:p>
    <w:p w14:paraId="4B627EC1" w14:textId="77777777" w:rsidR="000967F0" w:rsidRDefault="000967F0">
      <w:pPr>
        <w:spacing w:after="0" w:line="260" w:lineRule="auto"/>
        <w:rPr>
          <w:rFonts w:cs="Arial"/>
        </w:rPr>
      </w:pPr>
    </w:p>
    <w:p w14:paraId="1CA5A2A8" w14:textId="77777777" w:rsidR="000967F0" w:rsidRDefault="000967F0">
      <w:pPr>
        <w:spacing w:after="0" w:line="260" w:lineRule="auto"/>
        <w:rPr>
          <w:rFonts w:cs="Arial"/>
        </w:rPr>
      </w:pPr>
    </w:p>
    <w:p w14:paraId="195DDA21" w14:textId="77777777" w:rsidR="000967F0" w:rsidRDefault="000967F0">
      <w:pPr>
        <w:spacing w:after="0" w:line="260" w:lineRule="auto"/>
        <w:rPr>
          <w:rFonts w:cs="Arial"/>
        </w:rPr>
      </w:pPr>
    </w:p>
    <w:p w14:paraId="4085E853" w14:textId="77777777" w:rsidR="000967F0" w:rsidRDefault="000967F0">
      <w:pPr>
        <w:spacing w:after="0" w:line="260" w:lineRule="auto"/>
        <w:rPr>
          <w:rFonts w:cs="Arial"/>
        </w:rPr>
      </w:pPr>
    </w:p>
    <w:p w14:paraId="6C2E84CD" w14:textId="77777777" w:rsidR="000967F0" w:rsidRDefault="000967F0">
      <w:pPr>
        <w:spacing w:after="0" w:line="260" w:lineRule="auto"/>
        <w:rPr>
          <w:rFonts w:cs="Arial"/>
        </w:rPr>
      </w:pPr>
    </w:p>
    <w:p w14:paraId="4FA9A5B5" w14:textId="77777777" w:rsidR="000967F0" w:rsidRDefault="000967F0">
      <w:pPr>
        <w:spacing w:after="0" w:line="260" w:lineRule="auto"/>
        <w:rPr>
          <w:rFonts w:cs="Arial"/>
        </w:rPr>
      </w:pPr>
    </w:p>
    <w:p w14:paraId="3A46E6B3" w14:textId="77777777" w:rsidR="000967F0" w:rsidRDefault="000967F0">
      <w:pPr>
        <w:spacing w:after="0" w:line="260" w:lineRule="auto"/>
        <w:rPr>
          <w:rFonts w:cs="Arial"/>
        </w:rPr>
      </w:pPr>
    </w:p>
    <w:p w14:paraId="4D0D219D" w14:textId="77777777" w:rsidR="000967F0" w:rsidRDefault="000967F0">
      <w:pPr>
        <w:spacing w:after="0" w:line="260" w:lineRule="auto"/>
        <w:rPr>
          <w:rFonts w:cs="Arial"/>
        </w:rPr>
      </w:pPr>
    </w:p>
    <w:p w14:paraId="0BCF73E8" w14:textId="77777777" w:rsidR="000967F0" w:rsidRDefault="000967F0">
      <w:pPr>
        <w:spacing w:after="0" w:line="260" w:lineRule="auto"/>
        <w:rPr>
          <w:rFonts w:cs="Arial"/>
        </w:rPr>
      </w:pPr>
    </w:p>
    <w:p w14:paraId="309E4607" w14:textId="77777777" w:rsidR="000967F0" w:rsidRDefault="000967F0">
      <w:pPr>
        <w:spacing w:after="0" w:line="260" w:lineRule="auto"/>
        <w:rPr>
          <w:rFonts w:cs="Arial"/>
        </w:rPr>
      </w:pPr>
    </w:p>
    <w:p w14:paraId="42F13D9B" w14:textId="77777777" w:rsidR="000967F0" w:rsidRDefault="000967F0">
      <w:pPr>
        <w:spacing w:after="0" w:line="260" w:lineRule="auto"/>
        <w:rPr>
          <w:rFonts w:cs="Arial"/>
        </w:rPr>
      </w:pPr>
    </w:p>
    <w:p w14:paraId="3BD52C97" w14:textId="77777777" w:rsidR="000967F0" w:rsidRDefault="00C659E0">
      <w:pPr>
        <w:pStyle w:val="SredinskoOdebeljeno"/>
        <w:spacing w:line="260" w:lineRule="auto"/>
      </w:pPr>
      <w:r>
        <w:t>UREDBA O IZVAJANJU UREDBE (EU) O PREGLEDNOSTI IN CELOVITOSTI DEJAVNOSTI OCENJEVANJA OKOLJSKIH, SOCIALNIH IN UPRAVLJAVSKIH (ESG) DEJAVNIKOV</w:t>
      </w:r>
    </w:p>
    <w:p w14:paraId="7C1C690E" w14:textId="77777777" w:rsidR="000967F0" w:rsidRDefault="000967F0">
      <w:pPr>
        <w:spacing w:after="0" w:line="260" w:lineRule="auto"/>
        <w:rPr>
          <w:rFonts w:cs="Arial"/>
        </w:rPr>
      </w:pPr>
    </w:p>
    <w:p w14:paraId="68F733DF" w14:textId="77777777" w:rsidR="000967F0" w:rsidRDefault="00C659E0">
      <w:pPr>
        <w:pStyle w:val="Sredinsko"/>
        <w:spacing w:line="260" w:lineRule="auto"/>
      </w:pPr>
      <w:r>
        <w:t>PREDLOG</w:t>
      </w:r>
    </w:p>
    <w:p w14:paraId="6E8DE087" w14:textId="77777777" w:rsidR="000967F0" w:rsidRDefault="000967F0">
      <w:pPr>
        <w:spacing w:after="0" w:line="260" w:lineRule="auto"/>
        <w:rPr>
          <w:rFonts w:cs="Arial"/>
        </w:rPr>
      </w:pPr>
    </w:p>
    <w:p w14:paraId="53EB982C" w14:textId="77777777" w:rsidR="000967F0" w:rsidRDefault="000967F0">
      <w:pPr>
        <w:spacing w:after="0" w:line="260" w:lineRule="auto"/>
        <w:rPr>
          <w:rFonts w:cs="Arial"/>
        </w:rPr>
      </w:pPr>
    </w:p>
    <w:p w14:paraId="1039B704" w14:textId="77777777" w:rsidR="000967F0" w:rsidRDefault="00C659E0">
      <w:pPr>
        <w:pStyle w:val="Sredinsko"/>
        <w:spacing w:line="260" w:lineRule="auto"/>
      </w:pPr>
      <w:r>
        <w:t>EVA: 2026-1611-0024</w:t>
      </w:r>
    </w:p>
    <w:p w14:paraId="112EBE91" w14:textId="77777777" w:rsidR="000967F0" w:rsidRDefault="00C659E0">
      <w:r>
        <w:br w:type="page"/>
      </w:r>
    </w:p>
    <w:p w14:paraId="4951774C" w14:textId="77777777" w:rsidR="000967F0" w:rsidRDefault="00C659E0">
      <w:pPr>
        <w:pStyle w:val="Odebeljeno"/>
        <w:spacing w:line="260" w:lineRule="auto"/>
      </w:pPr>
      <w:r>
        <w:lastRenderedPageBreak/>
        <w:t>I.</w:t>
      </w:r>
      <w:r>
        <w:tab/>
        <w:t>UVOD</w:t>
      </w:r>
    </w:p>
    <w:p w14:paraId="555A8868" w14:textId="77777777" w:rsidR="000967F0" w:rsidRDefault="00C659E0">
      <w:pPr>
        <w:pStyle w:val="Odebeljeno"/>
        <w:spacing w:line="260" w:lineRule="auto"/>
      </w:pPr>
      <w:r>
        <w:t>1.</w:t>
      </w:r>
      <w:r>
        <w:tab/>
        <w:t>Razlogi in podlage za izdajo</w:t>
      </w:r>
    </w:p>
    <w:p w14:paraId="0D2FE9E8" w14:textId="77777777" w:rsidR="000967F0" w:rsidRDefault="000967F0">
      <w:pPr>
        <w:spacing w:after="0" w:line="260" w:lineRule="auto"/>
        <w:rPr>
          <w:rFonts w:cs="Arial"/>
        </w:rPr>
      </w:pPr>
    </w:p>
    <w:p w14:paraId="022D20E2" w14:textId="77777777" w:rsidR="000967F0" w:rsidRDefault="00C659E0">
      <w:pPr>
        <w:spacing w:after="0" w:line="260" w:lineRule="auto"/>
      </w:pPr>
      <w:r>
        <w:t>Pravna podlaga:</w:t>
      </w:r>
    </w:p>
    <w:p w14:paraId="1853290A" w14:textId="77777777" w:rsidR="000967F0" w:rsidRDefault="00C659E0">
      <w:pPr>
        <w:spacing w:after="0" w:line="240" w:lineRule="auto"/>
      </w:pPr>
      <w:r>
        <w:t xml:space="preserve"> </w:t>
      </w:r>
    </w:p>
    <w:p w14:paraId="495A1B2F" w14:textId="77777777" w:rsidR="000967F0" w:rsidRDefault="00C659E0">
      <w:pPr>
        <w:spacing w:after="0" w:line="240" w:lineRule="auto"/>
      </w:pPr>
      <w:r>
        <w:t>Pravna podlaga za izdajo uredbe je sedmi odstavek 21. člena Zakona o Vladi Republike Slovenije (Uradni list RS, št. 24/05 – uradno prečiščeno besedilo, 109/08, 38/10 – ZUKN, 8/12, 21/13, 47/13 – ZDU-1G, 65/14, 55/17, 163/22, 57/25 – ZF in 555/26), ki določa, da Vlada Republike Slovenije za izvrševanje predpisov Evropske unije izdaja uredbe in druge akte iz svoje pristojnosti.</w:t>
      </w:r>
    </w:p>
    <w:p w14:paraId="20D1AD8C" w14:textId="77777777" w:rsidR="000967F0" w:rsidRDefault="000967F0">
      <w:pPr>
        <w:spacing w:after="0" w:line="260" w:lineRule="auto"/>
        <w:rPr>
          <w:rFonts w:cs="Arial"/>
        </w:rPr>
      </w:pPr>
    </w:p>
    <w:p w14:paraId="26FB94AD" w14:textId="77777777" w:rsidR="000967F0" w:rsidRDefault="00C659E0">
      <w:pPr>
        <w:spacing w:after="0" w:line="260" w:lineRule="auto"/>
      </w:pPr>
      <w:r>
        <w:t>Rok za izdajo:</w:t>
      </w:r>
    </w:p>
    <w:p w14:paraId="1C8368E6" w14:textId="77777777" w:rsidR="000967F0" w:rsidRDefault="00C659E0">
      <w:pPr>
        <w:spacing w:after="0" w:line="240" w:lineRule="auto"/>
      </w:pPr>
      <w:r>
        <w:t xml:space="preserve"> </w:t>
      </w:r>
    </w:p>
    <w:p w14:paraId="785BEDEF" w14:textId="77777777" w:rsidR="000967F0" w:rsidRDefault="00C659E0">
      <w:pPr>
        <w:spacing w:after="0" w:line="240" w:lineRule="auto"/>
      </w:pPr>
      <w:r>
        <w:t xml:space="preserve">Prvi odstavek 30. člena Uredbe 2024/3005/EU Evropskega parlamenta in Sveta z dne 27. novembra 2024 o preglednosti in celovitosti dejavnosti ocenjevanja </w:t>
      </w:r>
      <w:proofErr w:type="spellStart"/>
      <w:r>
        <w:t>okoljskih</w:t>
      </w:r>
      <w:proofErr w:type="spellEnd"/>
      <w:r>
        <w:t>, socialnih in upravljavskih (ESG) dejavnikov ter spremembi uredb 2019/2088/EU in 2023/2859/EU (UL L št. 2024/3005 z dne 12. 12. 2024; v nadaljnjem besedilu: Uredba 2024/3005/EU) določa, da država članica do 2. aprila 2026 določi pristojni organ za namene te uredbe; Uredba 2024/3005/EU se uporablja od 2. julija 2026 (53. člen).</w:t>
      </w:r>
    </w:p>
    <w:p w14:paraId="79C3D45E" w14:textId="77777777" w:rsidR="000967F0" w:rsidRDefault="000967F0">
      <w:pPr>
        <w:spacing w:after="0" w:line="260" w:lineRule="auto"/>
        <w:rPr>
          <w:rFonts w:cs="Arial"/>
        </w:rPr>
      </w:pPr>
    </w:p>
    <w:p w14:paraId="68B725BD" w14:textId="77777777" w:rsidR="000967F0" w:rsidRDefault="00C659E0">
      <w:pPr>
        <w:spacing w:after="0" w:line="260" w:lineRule="auto"/>
      </w:pPr>
      <w:r>
        <w:t>Glavni razlogi za izdajo:</w:t>
      </w:r>
    </w:p>
    <w:p w14:paraId="552FACC9" w14:textId="77777777" w:rsidR="000967F0" w:rsidRDefault="00C659E0">
      <w:pPr>
        <w:spacing w:after="0" w:line="240" w:lineRule="auto"/>
      </w:pPr>
      <w:r>
        <w:t xml:space="preserve"> </w:t>
      </w:r>
    </w:p>
    <w:p w14:paraId="21046ECB" w14:textId="77777777" w:rsidR="000967F0" w:rsidRDefault="00C659E0">
      <w:pPr>
        <w:spacing w:after="0" w:line="240" w:lineRule="auto"/>
      </w:pPr>
      <w:r>
        <w:t>S to uredbo se določa pristojni organ za izvajanje Uredbe 2024/3005/EU.</w:t>
      </w:r>
    </w:p>
    <w:p w14:paraId="421B1812" w14:textId="77777777" w:rsidR="000967F0" w:rsidRDefault="000967F0">
      <w:pPr>
        <w:spacing w:after="0" w:line="260" w:lineRule="auto"/>
        <w:rPr>
          <w:rFonts w:cs="Arial"/>
        </w:rPr>
      </w:pPr>
    </w:p>
    <w:p w14:paraId="24773877" w14:textId="77777777" w:rsidR="000967F0" w:rsidRDefault="00C659E0">
      <w:pPr>
        <w:pStyle w:val="Odebeljeno"/>
        <w:spacing w:line="260" w:lineRule="auto"/>
      </w:pPr>
      <w:r>
        <w:t>2.</w:t>
      </w:r>
      <w:r>
        <w:tab/>
        <w:t>Ocena finančnih posledic predloga akta za državni proračun in druga javna finančna sredstva</w:t>
      </w:r>
    </w:p>
    <w:p w14:paraId="0CBE037A" w14:textId="77777777" w:rsidR="000967F0" w:rsidRDefault="000967F0">
      <w:pPr>
        <w:spacing w:after="0" w:line="260" w:lineRule="auto"/>
        <w:rPr>
          <w:rFonts w:cs="Arial"/>
        </w:rPr>
      </w:pPr>
    </w:p>
    <w:p w14:paraId="7098156A" w14:textId="77777777" w:rsidR="000967F0" w:rsidRDefault="00C659E0">
      <w:pPr>
        <w:spacing w:after="0" w:line="260" w:lineRule="auto"/>
      </w:pPr>
      <w:r>
        <w:t>Predpis nima posledic na tem področju.</w:t>
      </w:r>
    </w:p>
    <w:p w14:paraId="157A8942" w14:textId="77777777" w:rsidR="000967F0" w:rsidRDefault="000967F0">
      <w:pPr>
        <w:spacing w:after="0" w:line="260" w:lineRule="auto"/>
        <w:rPr>
          <w:rFonts w:cs="Arial"/>
        </w:rPr>
      </w:pPr>
    </w:p>
    <w:p w14:paraId="18F0654C" w14:textId="77777777" w:rsidR="000967F0" w:rsidRDefault="000967F0">
      <w:pPr>
        <w:spacing w:after="0" w:line="260" w:lineRule="auto"/>
        <w:rPr>
          <w:rFonts w:cs="Arial"/>
        </w:rPr>
      </w:pPr>
    </w:p>
    <w:p w14:paraId="596AD08D" w14:textId="77777777" w:rsidR="000967F0" w:rsidRDefault="00C659E0">
      <w:pPr>
        <w:pStyle w:val="Odebeljeno"/>
        <w:spacing w:line="260" w:lineRule="auto"/>
      </w:pPr>
      <w:r>
        <w:t>3.</w:t>
      </w:r>
      <w:r>
        <w:tab/>
        <w:t>Prikaz ureditve v drugih pravnih sistemih in prilagojenosti predlagane ureditve pravu Evropske unije</w:t>
      </w:r>
    </w:p>
    <w:p w14:paraId="71CF970C" w14:textId="77777777" w:rsidR="000967F0" w:rsidRDefault="000967F0">
      <w:pPr>
        <w:spacing w:after="0" w:line="260" w:lineRule="auto"/>
        <w:rPr>
          <w:rFonts w:cs="Arial"/>
        </w:rPr>
      </w:pPr>
    </w:p>
    <w:p w14:paraId="43E2A1CB" w14:textId="77777777" w:rsidR="000967F0" w:rsidRDefault="00C659E0">
      <w:pPr>
        <w:pStyle w:val="Odebeljeno"/>
        <w:spacing w:line="260" w:lineRule="auto"/>
      </w:pPr>
      <w:r>
        <w:t>3.1</w:t>
      </w:r>
      <w:r>
        <w:tab/>
        <w:t>Prikaz ureditve v drugih pravnih sistemih</w:t>
      </w:r>
    </w:p>
    <w:p w14:paraId="6865BB17" w14:textId="77777777" w:rsidR="000967F0" w:rsidRDefault="000967F0">
      <w:pPr>
        <w:spacing w:after="0" w:line="260" w:lineRule="auto"/>
        <w:rPr>
          <w:rFonts w:cs="Arial"/>
        </w:rPr>
      </w:pPr>
    </w:p>
    <w:p w14:paraId="21C75319" w14:textId="77777777" w:rsidR="000967F0" w:rsidRDefault="00C659E0">
      <w:pPr>
        <w:spacing w:after="0" w:line="260" w:lineRule="auto"/>
      </w:pPr>
      <w:r>
        <w:t>/</w:t>
      </w:r>
    </w:p>
    <w:p w14:paraId="76CBB594" w14:textId="77777777" w:rsidR="000967F0" w:rsidRDefault="000967F0">
      <w:pPr>
        <w:spacing w:after="0" w:line="260" w:lineRule="auto"/>
        <w:rPr>
          <w:rFonts w:cs="Arial"/>
        </w:rPr>
      </w:pPr>
    </w:p>
    <w:p w14:paraId="0001E442" w14:textId="77777777" w:rsidR="000967F0" w:rsidRDefault="00C659E0">
      <w:pPr>
        <w:pStyle w:val="Odebeljeno"/>
        <w:spacing w:line="260" w:lineRule="auto"/>
      </w:pPr>
      <w:r>
        <w:t>3.2</w:t>
      </w:r>
      <w:r>
        <w:tab/>
        <w:t>Prikaz ureditve v pravnem redu Evropske unije</w:t>
      </w:r>
    </w:p>
    <w:p w14:paraId="639E6442" w14:textId="77777777" w:rsidR="000967F0" w:rsidRDefault="000967F0">
      <w:pPr>
        <w:spacing w:after="0" w:line="260" w:lineRule="auto"/>
        <w:rPr>
          <w:rFonts w:cs="Arial"/>
        </w:rPr>
      </w:pPr>
    </w:p>
    <w:tbl>
      <w:tblPr>
        <w:tblStyle w:val="Tabelamrea"/>
        <w:tblW w:w="0" w:type="auto"/>
        <w:tblLook w:val="04A0" w:firstRow="1" w:lastRow="0" w:firstColumn="1" w:lastColumn="0" w:noHBand="0" w:noVBand="1"/>
      </w:tblPr>
      <w:tblGrid>
        <w:gridCol w:w="9062"/>
      </w:tblGrid>
      <w:tr w:rsidR="000967F0" w14:paraId="17AFE750" w14:textId="77777777" w:rsidTr="00E91806">
        <w:trPr>
          <w:trHeight w:val="416"/>
        </w:trPr>
        <w:tc>
          <w:tcPr>
            <w:tcW w:w="9062" w:type="dxa"/>
            <w:tcBorders>
              <w:bottom w:val="triple" w:sz="4" w:space="0" w:color="auto"/>
            </w:tcBorders>
            <w:vAlign w:val="center"/>
          </w:tcPr>
          <w:p w14:paraId="4E791F3B" w14:textId="77777777" w:rsidR="000967F0" w:rsidRDefault="00C659E0">
            <w:pPr>
              <w:jc w:val="center"/>
              <w:rPr>
                <w:b/>
              </w:rPr>
            </w:pPr>
            <w:r>
              <w:rPr>
                <w:b/>
              </w:rPr>
              <w:t>IZJAVA O SKLADNOSTI S PRAVNIM REDOM EU</w:t>
            </w:r>
          </w:p>
        </w:tc>
      </w:tr>
    </w:tbl>
    <w:p w14:paraId="5249A979" w14:textId="77777777" w:rsidR="000967F0" w:rsidRDefault="00C659E0">
      <w:pPr>
        <w:spacing w:after="0"/>
        <w:rPr>
          <w:b/>
          <w:u w:val="single"/>
        </w:rPr>
      </w:pPr>
      <w:r>
        <w:rPr>
          <w:b/>
          <w:u w:val="single"/>
        </w:rPr>
        <w:t>NASLOV PREDPISA RS</w:t>
      </w:r>
    </w:p>
    <w:p w14:paraId="6EF776BF" w14:textId="77777777" w:rsidR="000967F0" w:rsidRDefault="000967F0">
      <w:pPr>
        <w:spacing w:after="0"/>
      </w:pPr>
    </w:p>
    <w:p w14:paraId="26937DE4" w14:textId="77777777" w:rsidR="000967F0" w:rsidRDefault="00C659E0">
      <w:pPr>
        <w:spacing w:after="0" w:line="360" w:lineRule="auto"/>
      </w:pPr>
      <w:r>
        <w:t xml:space="preserve">Uredba o izvajanju Uredbe (EU) o preglednosti in celovitosti dejavnosti ocenjevanja </w:t>
      </w:r>
      <w:proofErr w:type="spellStart"/>
      <w:r>
        <w:t>okoljskih</w:t>
      </w:r>
      <w:proofErr w:type="spellEnd"/>
      <w:r>
        <w:t>, socialnih in upravljavskih (ESG) dejavnikov</w:t>
      </w:r>
    </w:p>
    <w:p w14:paraId="03515B17" w14:textId="77777777" w:rsidR="000967F0" w:rsidRDefault="000967F0">
      <w:pPr>
        <w:spacing w:after="0"/>
      </w:pPr>
    </w:p>
    <w:p w14:paraId="63202ADD" w14:textId="77777777" w:rsidR="000967F0" w:rsidRDefault="00C659E0">
      <w:pPr>
        <w:spacing w:after="0"/>
        <w:rPr>
          <w:b/>
        </w:rPr>
      </w:pPr>
      <w:r>
        <w:rPr>
          <w:b/>
          <w:u w:val="single"/>
        </w:rPr>
        <w:t>EVA</w:t>
      </w:r>
    </w:p>
    <w:p w14:paraId="64195240" w14:textId="77777777" w:rsidR="000967F0" w:rsidRDefault="00C659E0">
      <w:pPr>
        <w:spacing w:after="0"/>
      </w:pPr>
      <w:r>
        <w:t>2026-1611-0024</w:t>
      </w:r>
    </w:p>
    <w:p w14:paraId="3A755CA8" w14:textId="77777777" w:rsidR="000967F0" w:rsidRDefault="000967F0">
      <w:pPr>
        <w:spacing w:after="0"/>
      </w:pPr>
    </w:p>
    <w:p w14:paraId="43707917" w14:textId="77777777" w:rsidR="000967F0" w:rsidRDefault="00C659E0">
      <w:pPr>
        <w:spacing w:after="0"/>
        <w:rPr>
          <w:b/>
          <w:u w:val="single"/>
        </w:rPr>
      </w:pPr>
      <w:r>
        <w:rPr>
          <w:b/>
          <w:u w:val="single"/>
        </w:rPr>
        <w:t>AKTI EU, KATERIH PRENOS ALI IZVAJANJE SE ZAGOTAVLJA S PREDPISOM RS</w:t>
      </w:r>
    </w:p>
    <w:p w14:paraId="4CE23BF3" w14:textId="77777777" w:rsidR="000967F0" w:rsidRDefault="000967F0">
      <w:pPr>
        <w:spacing w:after="0"/>
      </w:pPr>
    </w:p>
    <w:tbl>
      <w:tblPr>
        <w:tblStyle w:val="Navadnatabela11"/>
        <w:tblW w:w="8628" w:type="dxa"/>
        <w:tblInd w:w="127" w:type="dxa"/>
        <w:tblLook w:val="04A0" w:firstRow="1" w:lastRow="0" w:firstColumn="1" w:lastColumn="0" w:noHBand="0" w:noVBand="1"/>
      </w:tblPr>
      <w:tblGrid>
        <w:gridCol w:w="673"/>
        <w:gridCol w:w="1540"/>
        <w:gridCol w:w="4748"/>
        <w:gridCol w:w="1667"/>
      </w:tblGrid>
      <w:tr w:rsidR="000967F0" w14:paraId="68B8BCD7" w14:textId="77777777" w:rsidTr="000967F0">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1E22B5E4" w14:textId="77777777" w:rsidR="000967F0" w:rsidRDefault="00C659E0">
            <w:pPr>
              <w:jc w:val="center"/>
            </w:pPr>
            <w:r>
              <w:t>Št.</w:t>
            </w:r>
          </w:p>
        </w:tc>
        <w:tc>
          <w:tcPr>
            <w:tcW w:w="1559" w:type="dxa"/>
            <w:shd w:val="clear" w:color="auto" w:fill="808080"/>
          </w:tcPr>
          <w:p w14:paraId="34A8B2C9" w14:textId="77777777" w:rsidR="000967F0" w:rsidRDefault="00C659E0">
            <w:pPr>
              <w:jc w:val="center"/>
            </w:pPr>
            <w:r>
              <w:t>CELEX</w:t>
            </w:r>
          </w:p>
        </w:tc>
        <w:tc>
          <w:tcPr>
            <w:tcW w:w="4816" w:type="dxa"/>
            <w:shd w:val="clear" w:color="auto" w:fill="808080"/>
          </w:tcPr>
          <w:p w14:paraId="46DFA362" w14:textId="77777777" w:rsidR="000967F0" w:rsidRDefault="00C659E0">
            <w:pPr>
              <w:jc w:val="center"/>
            </w:pPr>
            <w:r>
              <w:t>Naslov</w:t>
            </w:r>
          </w:p>
        </w:tc>
        <w:tc>
          <w:tcPr>
            <w:tcW w:w="1559" w:type="dxa"/>
            <w:shd w:val="clear" w:color="auto" w:fill="808080"/>
          </w:tcPr>
          <w:p w14:paraId="0C8BC2B1" w14:textId="77777777" w:rsidR="000967F0" w:rsidRDefault="00C659E0">
            <w:pPr>
              <w:jc w:val="center"/>
            </w:pPr>
            <w:r>
              <w:t>Zadnjič spremenjen z (CELEX)</w:t>
            </w:r>
          </w:p>
        </w:tc>
      </w:tr>
      <w:tr w:rsidR="000967F0" w14:paraId="64F827EA" w14:textId="77777777" w:rsidTr="000967F0">
        <w:trPr>
          <w:cnfStyle w:val="000000100000" w:firstRow="0" w:lastRow="0" w:firstColumn="0" w:lastColumn="0" w:oddVBand="0" w:evenVBand="0" w:oddHBand="1" w:evenHBand="0" w:firstRowFirstColumn="0" w:firstRowLastColumn="0" w:lastRowFirstColumn="0" w:lastRowLastColumn="0"/>
        </w:trPr>
        <w:tc>
          <w:tcPr>
            <w:tcW w:w="694" w:type="dxa"/>
          </w:tcPr>
          <w:p w14:paraId="12317B52" w14:textId="77777777" w:rsidR="000967F0" w:rsidRDefault="00C659E0">
            <w:r>
              <w:lastRenderedPageBreak/>
              <w:t>1</w:t>
            </w:r>
          </w:p>
        </w:tc>
        <w:tc>
          <w:tcPr>
            <w:tcW w:w="1559" w:type="dxa"/>
          </w:tcPr>
          <w:p w14:paraId="0F54ABE5" w14:textId="77777777" w:rsidR="000967F0" w:rsidRDefault="00C659E0">
            <w:r>
              <w:t>32024R3005</w:t>
            </w:r>
          </w:p>
        </w:tc>
        <w:tc>
          <w:tcPr>
            <w:tcW w:w="5099" w:type="dxa"/>
          </w:tcPr>
          <w:p w14:paraId="3E531F06" w14:textId="77777777" w:rsidR="000967F0" w:rsidRDefault="00C659E0">
            <w:r>
              <w:t xml:space="preserve">Uredba (EU) 2024/3005 Evropskega parlamenta in Sveta z dne 27. novembra 2024 o preglednosti in celovitosti dejavnosti ocenjevanja </w:t>
            </w:r>
            <w:proofErr w:type="spellStart"/>
            <w:r>
              <w:t>okoljskih</w:t>
            </w:r>
            <w:proofErr w:type="spellEnd"/>
            <w:r>
              <w:t>, socialnih in upravljavskih (ESG) dejavnikov ter spremembi uredb (EU) 2019/2088 in (EU) 2023/2859 (Besedilo velja za EGP)</w:t>
            </w:r>
          </w:p>
        </w:tc>
        <w:tc>
          <w:tcPr>
            <w:tcW w:w="1701" w:type="dxa"/>
          </w:tcPr>
          <w:p w14:paraId="15D9F0D0" w14:textId="77777777" w:rsidR="000967F0" w:rsidRDefault="000967F0"/>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0967F0" w14:paraId="4BBCEA5E" w14:textId="77777777">
        <w:trPr>
          <w:trHeight w:val="452"/>
          <w:tblHeader/>
        </w:trPr>
        <w:tc>
          <w:tcPr>
            <w:tcW w:w="3529" w:type="dxa"/>
            <w:gridSpan w:val="4"/>
            <w:shd w:val="clear" w:color="auto" w:fill="808080"/>
          </w:tcPr>
          <w:p w14:paraId="1F20195F" w14:textId="77777777" w:rsidR="000967F0" w:rsidRDefault="00C659E0">
            <w:pPr>
              <w:jc w:val="center"/>
              <w:rPr>
                <w:b/>
              </w:rPr>
            </w:pPr>
            <w:r>
              <w:rPr>
                <w:b/>
              </w:rPr>
              <w:t>Predpis RS</w:t>
            </w:r>
          </w:p>
        </w:tc>
        <w:tc>
          <w:tcPr>
            <w:tcW w:w="1559" w:type="dxa"/>
            <w:vMerge w:val="restart"/>
            <w:shd w:val="clear" w:color="auto" w:fill="808080"/>
          </w:tcPr>
          <w:p w14:paraId="2D7A116D" w14:textId="77777777" w:rsidR="000967F0" w:rsidRDefault="00C659E0">
            <w:pPr>
              <w:jc w:val="center"/>
              <w:rPr>
                <w:b/>
              </w:rPr>
            </w:pPr>
            <w:r>
              <w:rPr>
                <w:b/>
              </w:rPr>
              <w:t>Opomba ali CELEX akta EU predpisa</w:t>
            </w:r>
          </w:p>
        </w:tc>
        <w:tc>
          <w:tcPr>
            <w:tcW w:w="3528" w:type="dxa"/>
            <w:gridSpan w:val="4"/>
            <w:shd w:val="clear" w:color="auto" w:fill="808080"/>
          </w:tcPr>
          <w:p w14:paraId="3EFB5A1D" w14:textId="77777777" w:rsidR="000967F0" w:rsidRDefault="00C659E0">
            <w:pPr>
              <w:jc w:val="center"/>
              <w:rPr>
                <w:b/>
              </w:rPr>
            </w:pPr>
            <w:r>
              <w:rPr>
                <w:b/>
              </w:rPr>
              <w:t>Akt EU</w:t>
            </w:r>
          </w:p>
        </w:tc>
      </w:tr>
      <w:tr w:rsidR="000967F0" w14:paraId="363C36E8" w14:textId="77777777">
        <w:trPr>
          <w:trHeight w:val="250"/>
          <w:tblHeader/>
        </w:trPr>
        <w:tc>
          <w:tcPr>
            <w:tcW w:w="709" w:type="dxa"/>
            <w:tcBorders>
              <w:bottom w:val="double" w:sz="4" w:space="0" w:color="auto"/>
            </w:tcBorders>
            <w:shd w:val="clear" w:color="auto" w:fill="808080"/>
          </w:tcPr>
          <w:p w14:paraId="2977FE34" w14:textId="77777777" w:rsidR="000967F0" w:rsidRDefault="00C659E0">
            <w:r>
              <w:t>Člen</w:t>
            </w:r>
          </w:p>
        </w:tc>
        <w:tc>
          <w:tcPr>
            <w:tcW w:w="1134" w:type="dxa"/>
            <w:tcBorders>
              <w:bottom w:val="double" w:sz="4" w:space="0" w:color="auto"/>
            </w:tcBorders>
            <w:shd w:val="clear" w:color="auto" w:fill="808080"/>
          </w:tcPr>
          <w:p w14:paraId="7B5FD380" w14:textId="77777777" w:rsidR="000967F0" w:rsidRDefault="00C659E0">
            <w:r>
              <w:t>Odstavek</w:t>
            </w:r>
          </w:p>
        </w:tc>
        <w:tc>
          <w:tcPr>
            <w:tcW w:w="851" w:type="dxa"/>
            <w:tcBorders>
              <w:bottom w:val="double" w:sz="4" w:space="0" w:color="auto"/>
            </w:tcBorders>
            <w:shd w:val="clear" w:color="auto" w:fill="808080"/>
          </w:tcPr>
          <w:p w14:paraId="2641C1B3" w14:textId="77777777" w:rsidR="000967F0" w:rsidRDefault="00C659E0">
            <w:r>
              <w:t>Točka</w:t>
            </w:r>
          </w:p>
        </w:tc>
        <w:tc>
          <w:tcPr>
            <w:tcW w:w="850" w:type="dxa"/>
            <w:tcBorders>
              <w:bottom w:val="double" w:sz="4" w:space="0" w:color="auto"/>
            </w:tcBorders>
            <w:shd w:val="clear" w:color="auto" w:fill="808080"/>
          </w:tcPr>
          <w:p w14:paraId="43B0AE98" w14:textId="77777777" w:rsidR="000967F0" w:rsidRDefault="00C659E0">
            <w:r>
              <w:t>Alinea</w:t>
            </w:r>
          </w:p>
        </w:tc>
        <w:tc>
          <w:tcPr>
            <w:tcW w:w="1985" w:type="dxa"/>
            <w:vMerge/>
            <w:tcBorders>
              <w:bottom w:val="double" w:sz="4" w:space="0" w:color="auto"/>
            </w:tcBorders>
            <w:shd w:val="clear" w:color="auto" w:fill="808080"/>
          </w:tcPr>
          <w:p w14:paraId="6C26CA64" w14:textId="77777777" w:rsidR="000967F0" w:rsidRDefault="000967F0">
            <w:pPr>
              <w:rPr>
                <w:b/>
              </w:rPr>
            </w:pPr>
          </w:p>
        </w:tc>
        <w:tc>
          <w:tcPr>
            <w:tcW w:w="709" w:type="dxa"/>
            <w:tcBorders>
              <w:bottom w:val="double" w:sz="4" w:space="0" w:color="auto"/>
            </w:tcBorders>
            <w:shd w:val="clear" w:color="auto" w:fill="808080"/>
          </w:tcPr>
          <w:p w14:paraId="272F61FB" w14:textId="77777777" w:rsidR="000967F0" w:rsidRDefault="00C659E0">
            <w:r>
              <w:t>Člen</w:t>
            </w:r>
          </w:p>
        </w:tc>
        <w:tc>
          <w:tcPr>
            <w:tcW w:w="1134" w:type="dxa"/>
            <w:tcBorders>
              <w:bottom w:val="double" w:sz="4" w:space="0" w:color="auto"/>
            </w:tcBorders>
            <w:shd w:val="clear" w:color="auto" w:fill="808080"/>
          </w:tcPr>
          <w:p w14:paraId="5FCE9334" w14:textId="77777777" w:rsidR="000967F0" w:rsidRDefault="00C659E0">
            <w:r>
              <w:t>Odstavek</w:t>
            </w:r>
          </w:p>
        </w:tc>
        <w:tc>
          <w:tcPr>
            <w:tcW w:w="851" w:type="dxa"/>
            <w:tcBorders>
              <w:bottom w:val="double" w:sz="4" w:space="0" w:color="auto"/>
            </w:tcBorders>
            <w:shd w:val="clear" w:color="auto" w:fill="808080"/>
          </w:tcPr>
          <w:p w14:paraId="12F21480" w14:textId="77777777" w:rsidR="000967F0" w:rsidRDefault="00C659E0">
            <w:r>
              <w:t>Točka</w:t>
            </w:r>
          </w:p>
        </w:tc>
        <w:tc>
          <w:tcPr>
            <w:tcW w:w="850" w:type="dxa"/>
            <w:tcBorders>
              <w:bottom w:val="double" w:sz="4" w:space="0" w:color="auto"/>
            </w:tcBorders>
            <w:shd w:val="clear" w:color="auto" w:fill="808080"/>
          </w:tcPr>
          <w:p w14:paraId="6C092779" w14:textId="77777777" w:rsidR="000967F0" w:rsidRDefault="00C659E0">
            <w:r>
              <w:t>Alinea</w:t>
            </w:r>
          </w:p>
        </w:tc>
      </w:tr>
      <w:tr w:rsidR="000967F0" w14:paraId="33637B8B"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133620" w14:textId="77777777" w:rsidR="000967F0" w:rsidRDefault="00C659E0">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04D47"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18CF7"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98FFD" w14:textId="77777777" w:rsidR="000967F0" w:rsidRDefault="000967F0">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58F7D" w14:textId="77777777" w:rsidR="000967F0" w:rsidRDefault="00C659E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E792F" w14:textId="77777777" w:rsidR="000967F0" w:rsidRDefault="000967F0">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C0AEA"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ABA32E"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9FCC0A" w14:textId="77777777" w:rsidR="000967F0" w:rsidRDefault="000967F0">
            <w:pPr>
              <w:jc w:val="center"/>
            </w:pPr>
          </w:p>
        </w:tc>
      </w:tr>
      <w:tr w:rsidR="000967F0" w14:paraId="6237B92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874A28" w14:textId="77777777" w:rsidR="000967F0" w:rsidRDefault="00C659E0">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349F07"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C56F64"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4F0A5F" w14:textId="77777777" w:rsidR="000967F0" w:rsidRDefault="000967F0">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DD472" w14:textId="77777777" w:rsidR="000967F0" w:rsidRDefault="00C659E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C1605" w14:textId="77777777" w:rsidR="000967F0" w:rsidRDefault="000967F0">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59A5A"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3F550C"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AE8BD8" w14:textId="77777777" w:rsidR="000967F0" w:rsidRDefault="000967F0">
            <w:pPr>
              <w:jc w:val="center"/>
            </w:pPr>
          </w:p>
        </w:tc>
      </w:tr>
      <w:tr w:rsidR="000967F0" w14:paraId="3301C8CD"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C80024" w14:textId="77777777" w:rsidR="000967F0" w:rsidRDefault="00C659E0">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BA242B"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0A5D36"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A6C76B" w14:textId="77777777" w:rsidR="000967F0" w:rsidRDefault="000967F0">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3D35CD" w14:textId="77777777" w:rsidR="000967F0" w:rsidRDefault="00C659E0">
            <w:pPr>
              <w:jc w:val="center"/>
            </w:pPr>
            <w:r>
              <w:t>32024R3005</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5E2D3" w14:textId="77777777" w:rsidR="000967F0" w:rsidRDefault="00C659E0">
            <w:pPr>
              <w:jc w:val="center"/>
            </w:pPr>
            <w:r>
              <w:t>30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1B7B1D" w14:textId="77777777" w:rsidR="000967F0" w:rsidRDefault="00C659E0">
            <w:pPr>
              <w:jc w:val="center"/>
            </w:pPr>
            <w:r>
              <w:t>1</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4EE5CB"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289EC" w14:textId="77777777" w:rsidR="000967F0" w:rsidRDefault="000967F0">
            <w:pPr>
              <w:jc w:val="center"/>
            </w:pPr>
          </w:p>
        </w:tc>
      </w:tr>
      <w:tr w:rsidR="000967F0" w14:paraId="6EFB5009"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11E70" w14:textId="77777777" w:rsidR="000967F0" w:rsidRDefault="00C659E0">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7990D9"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B6865D"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4D53BC" w14:textId="77777777" w:rsidR="000967F0" w:rsidRDefault="000967F0">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23BBD" w14:textId="77777777" w:rsidR="000967F0" w:rsidRDefault="00C659E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0A9427" w14:textId="77777777" w:rsidR="000967F0" w:rsidRDefault="000967F0">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29BD9" w14:textId="77777777" w:rsidR="000967F0" w:rsidRDefault="000967F0">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19B18" w14:textId="77777777" w:rsidR="000967F0" w:rsidRDefault="000967F0">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7913B" w14:textId="77777777" w:rsidR="000967F0" w:rsidRDefault="000967F0">
            <w:pPr>
              <w:jc w:val="center"/>
            </w:pPr>
          </w:p>
        </w:tc>
      </w:tr>
    </w:tbl>
    <w:p w14:paraId="3A3A4DAD" w14:textId="77777777" w:rsidR="000967F0" w:rsidRDefault="000967F0">
      <w:pPr>
        <w:spacing w:after="0"/>
        <w:rPr>
          <w:b/>
        </w:rPr>
      </w:pPr>
    </w:p>
    <w:p w14:paraId="69C2A89B" w14:textId="77777777" w:rsidR="000967F0" w:rsidRDefault="000967F0">
      <w:pPr>
        <w:spacing w:after="0" w:line="260" w:lineRule="auto"/>
        <w:rPr>
          <w:rFonts w:cs="Arial"/>
        </w:rPr>
      </w:pPr>
    </w:p>
    <w:p w14:paraId="6BCB3C70" w14:textId="77777777" w:rsidR="000967F0" w:rsidRDefault="00C659E0">
      <w:pPr>
        <w:pStyle w:val="SrajckaNaslovZamik"/>
        <w:spacing w:line="260" w:lineRule="auto"/>
      </w:pPr>
      <w:r>
        <w:t>3.3</w:t>
      </w:r>
      <w:r>
        <w:tab/>
        <w:t>Prikaz ureditve v posameznih državah članicah Evropske unije</w:t>
      </w:r>
    </w:p>
    <w:p w14:paraId="6EDA97BC" w14:textId="77777777" w:rsidR="000967F0" w:rsidRDefault="000967F0">
      <w:pPr>
        <w:spacing w:after="0" w:line="260" w:lineRule="auto"/>
        <w:rPr>
          <w:rFonts w:cs="Arial"/>
        </w:rPr>
      </w:pPr>
    </w:p>
    <w:p w14:paraId="52FBFBA9" w14:textId="77777777" w:rsidR="000967F0" w:rsidRDefault="00C659E0">
      <w:pPr>
        <w:spacing w:after="0" w:line="260" w:lineRule="auto"/>
      </w:pPr>
      <w:r>
        <w:t>/</w:t>
      </w:r>
    </w:p>
    <w:p w14:paraId="27F25FAF" w14:textId="77777777" w:rsidR="000967F0" w:rsidRDefault="000967F0">
      <w:pPr>
        <w:spacing w:after="0" w:line="260" w:lineRule="auto"/>
        <w:rPr>
          <w:rFonts w:cs="Arial"/>
        </w:rPr>
      </w:pPr>
    </w:p>
    <w:p w14:paraId="184D7586" w14:textId="77777777" w:rsidR="000967F0" w:rsidRDefault="00C659E0">
      <w:pPr>
        <w:pStyle w:val="Odebeljeno"/>
        <w:spacing w:line="260" w:lineRule="auto"/>
      </w:pPr>
      <w:r>
        <w:t>4.</w:t>
      </w:r>
      <w:r>
        <w:tab/>
        <w:t>Presoja posledic</w:t>
      </w:r>
    </w:p>
    <w:p w14:paraId="6EA24AF4" w14:textId="77777777" w:rsidR="000967F0" w:rsidRDefault="00C659E0">
      <w:pPr>
        <w:pStyle w:val="Odebeljeno"/>
        <w:spacing w:line="260" w:lineRule="auto"/>
      </w:pPr>
      <w:r>
        <w:t>4.1</w:t>
      </w:r>
      <w:r>
        <w:tab/>
        <w:t>Presoja administrativnih posledic</w:t>
      </w:r>
    </w:p>
    <w:p w14:paraId="63225219" w14:textId="77777777" w:rsidR="000967F0" w:rsidRDefault="000967F0">
      <w:pPr>
        <w:spacing w:after="0" w:line="260" w:lineRule="auto"/>
        <w:rPr>
          <w:rFonts w:cs="Arial"/>
        </w:rPr>
      </w:pPr>
    </w:p>
    <w:p w14:paraId="36B472CF" w14:textId="77777777" w:rsidR="000967F0" w:rsidRDefault="00C659E0">
      <w:pPr>
        <w:spacing w:after="0" w:line="260" w:lineRule="auto"/>
      </w:pPr>
      <w:r>
        <w:t>Predpis nima posledic na tem področju.</w:t>
      </w:r>
    </w:p>
    <w:p w14:paraId="43A52DFD" w14:textId="77777777" w:rsidR="000967F0" w:rsidRDefault="000967F0">
      <w:pPr>
        <w:spacing w:after="0" w:line="260" w:lineRule="auto"/>
        <w:rPr>
          <w:rFonts w:cs="Arial"/>
        </w:rPr>
      </w:pPr>
    </w:p>
    <w:p w14:paraId="32E224FE" w14:textId="77777777" w:rsidR="000967F0" w:rsidRDefault="000967F0">
      <w:pPr>
        <w:spacing w:after="0" w:line="260" w:lineRule="auto"/>
        <w:rPr>
          <w:rFonts w:cs="Arial"/>
        </w:rPr>
      </w:pPr>
    </w:p>
    <w:p w14:paraId="28B1F533" w14:textId="77777777" w:rsidR="000967F0" w:rsidRDefault="00C659E0">
      <w:pPr>
        <w:pStyle w:val="Odebeljeno"/>
        <w:spacing w:line="260" w:lineRule="auto"/>
      </w:pPr>
      <w:r>
        <w:t>4.2</w:t>
      </w:r>
      <w:r>
        <w:tab/>
      </w:r>
      <w:r>
        <w:t>Presoja posledic za okolje, vključno s prostorskimi in varstvenimi vidiki</w:t>
      </w:r>
    </w:p>
    <w:p w14:paraId="4E185F99" w14:textId="77777777" w:rsidR="000967F0" w:rsidRDefault="000967F0">
      <w:pPr>
        <w:spacing w:after="0" w:line="260" w:lineRule="auto"/>
        <w:rPr>
          <w:rFonts w:cs="Arial"/>
        </w:rPr>
      </w:pPr>
    </w:p>
    <w:p w14:paraId="181841A8" w14:textId="77777777" w:rsidR="000967F0" w:rsidRDefault="00C659E0">
      <w:pPr>
        <w:spacing w:after="0" w:line="260" w:lineRule="auto"/>
      </w:pPr>
      <w:r>
        <w:t>Predpis nima posledic na tem področju.</w:t>
      </w:r>
    </w:p>
    <w:p w14:paraId="759B9209" w14:textId="77777777" w:rsidR="000967F0" w:rsidRDefault="000967F0">
      <w:pPr>
        <w:spacing w:after="0" w:line="260" w:lineRule="auto"/>
        <w:rPr>
          <w:rFonts w:cs="Arial"/>
        </w:rPr>
      </w:pPr>
    </w:p>
    <w:p w14:paraId="6C3E5276" w14:textId="77777777" w:rsidR="000967F0" w:rsidRDefault="000967F0">
      <w:pPr>
        <w:spacing w:after="0" w:line="260" w:lineRule="auto"/>
        <w:rPr>
          <w:rFonts w:cs="Arial"/>
        </w:rPr>
      </w:pPr>
    </w:p>
    <w:p w14:paraId="2DEE67FD" w14:textId="77777777" w:rsidR="000967F0" w:rsidRDefault="00C659E0">
      <w:pPr>
        <w:pStyle w:val="Odebeljeno"/>
        <w:spacing w:line="260" w:lineRule="auto"/>
      </w:pPr>
      <w:r>
        <w:t>4.3</w:t>
      </w:r>
      <w:r>
        <w:tab/>
        <w:t>Presoja posledic za gospodarstvo</w:t>
      </w:r>
    </w:p>
    <w:p w14:paraId="2E1816C6" w14:textId="77777777" w:rsidR="000967F0" w:rsidRDefault="000967F0">
      <w:pPr>
        <w:spacing w:after="0" w:line="260" w:lineRule="auto"/>
        <w:rPr>
          <w:rFonts w:cs="Arial"/>
        </w:rPr>
      </w:pPr>
    </w:p>
    <w:p w14:paraId="6D2E76CE" w14:textId="77777777" w:rsidR="000967F0" w:rsidRDefault="00C659E0">
      <w:pPr>
        <w:spacing w:after="0" w:line="260" w:lineRule="auto"/>
      </w:pPr>
      <w:r>
        <w:t>Predpis nima posledic na tem področju.</w:t>
      </w:r>
    </w:p>
    <w:p w14:paraId="2A90A49D" w14:textId="77777777" w:rsidR="000967F0" w:rsidRDefault="000967F0">
      <w:pPr>
        <w:spacing w:after="0" w:line="260" w:lineRule="auto"/>
        <w:rPr>
          <w:rFonts w:cs="Arial"/>
        </w:rPr>
      </w:pPr>
    </w:p>
    <w:p w14:paraId="0A07E48B" w14:textId="77777777" w:rsidR="000967F0" w:rsidRDefault="000967F0">
      <w:pPr>
        <w:spacing w:after="0" w:line="260" w:lineRule="auto"/>
        <w:rPr>
          <w:rFonts w:cs="Arial"/>
        </w:rPr>
      </w:pPr>
    </w:p>
    <w:p w14:paraId="6BD7633D" w14:textId="77777777" w:rsidR="000967F0" w:rsidRDefault="00C659E0">
      <w:pPr>
        <w:pStyle w:val="Odebeljeno"/>
        <w:spacing w:line="260" w:lineRule="auto"/>
      </w:pPr>
      <w:r>
        <w:t>4.4</w:t>
      </w:r>
      <w:r>
        <w:tab/>
        <w:t>Presoja posledic za socialno področje</w:t>
      </w:r>
    </w:p>
    <w:p w14:paraId="41070496" w14:textId="77777777" w:rsidR="000967F0" w:rsidRDefault="000967F0">
      <w:pPr>
        <w:spacing w:after="0" w:line="260" w:lineRule="auto"/>
        <w:rPr>
          <w:rFonts w:cs="Arial"/>
        </w:rPr>
      </w:pPr>
    </w:p>
    <w:p w14:paraId="4547B7D9" w14:textId="77777777" w:rsidR="000967F0" w:rsidRDefault="00C659E0">
      <w:pPr>
        <w:spacing w:after="0" w:line="260" w:lineRule="auto"/>
      </w:pPr>
      <w:r>
        <w:t>Predpis nima posledic na tem področju.</w:t>
      </w:r>
    </w:p>
    <w:p w14:paraId="6B64D300" w14:textId="77777777" w:rsidR="000967F0" w:rsidRDefault="000967F0">
      <w:pPr>
        <w:spacing w:after="0" w:line="260" w:lineRule="auto"/>
        <w:rPr>
          <w:rFonts w:cs="Arial"/>
        </w:rPr>
      </w:pPr>
    </w:p>
    <w:p w14:paraId="15FF98AB" w14:textId="77777777" w:rsidR="000967F0" w:rsidRDefault="000967F0">
      <w:pPr>
        <w:spacing w:after="0" w:line="260" w:lineRule="auto"/>
        <w:rPr>
          <w:rFonts w:cs="Arial"/>
        </w:rPr>
      </w:pPr>
    </w:p>
    <w:p w14:paraId="0990A0BB" w14:textId="77777777" w:rsidR="000967F0" w:rsidRDefault="00C659E0">
      <w:pPr>
        <w:pStyle w:val="Odebeljeno"/>
        <w:spacing w:line="260" w:lineRule="auto"/>
      </w:pPr>
      <w:r>
        <w:lastRenderedPageBreak/>
        <w:t>4.5</w:t>
      </w:r>
      <w:r>
        <w:tab/>
        <w:t>Presoja posledic za dokumente razvojnega načrtovanja</w:t>
      </w:r>
    </w:p>
    <w:p w14:paraId="0C72D9CA" w14:textId="77777777" w:rsidR="000967F0" w:rsidRDefault="000967F0">
      <w:pPr>
        <w:spacing w:after="0" w:line="260" w:lineRule="auto"/>
        <w:rPr>
          <w:rFonts w:cs="Arial"/>
        </w:rPr>
      </w:pPr>
    </w:p>
    <w:p w14:paraId="2D19C22C" w14:textId="77777777" w:rsidR="000967F0" w:rsidRDefault="00C659E0">
      <w:pPr>
        <w:spacing w:after="0" w:line="260" w:lineRule="auto"/>
      </w:pPr>
      <w:r>
        <w:t>Predpis nima posledic na tem področju.</w:t>
      </w:r>
    </w:p>
    <w:p w14:paraId="503AD6C5" w14:textId="77777777" w:rsidR="000967F0" w:rsidRDefault="000967F0">
      <w:pPr>
        <w:spacing w:after="0" w:line="260" w:lineRule="auto"/>
        <w:rPr>
          <w:rFonts w:cs="Arial"/>
        </w:rPr>
      </w:pPr>
    </w:p>
    <w:p w14:paraId="7C4E13A9" w14:textId="77777777" w:rsidR="000967F0" w:rsidRDefault="000967F0">
      <w:pPr>
        <w:spacing w:after="0" w:line="260" w:lineRule="auto"/>
        <w:rPr>
          <w:rFonts w:cs="Arial"/>
        </w:rPr>
      </w:pPr>
    </w:p>
    <w:p w14:paraId="5A554144" w14:textId="77777777" w:rsidR="000967F0" w:rsidRDefault="00C659E0">
      <w:pPr>
        <w:pStyle w:val="Odebeljeno"/>
        <w:spacing w:line="260" w:lineRule="auto"/>
      </w:pPr>
      <w:r>
        <w:t>4.6</w:t>
      </w:r>
      <w:r>
        <w:tab/>
        <w:t>Presoja posledic za druga področja</w:t>
      </w:r>
    </w:p>
    <w:p w14:paraId="13B5A5BF" w14:textId="77777777" w:rsidR="000967F0" w:rsidRDefault="000967F0">
      <w:pPr>
        <w:spacing w:after="0" w:line="260" w:lineRule="auto"/>
        <w:rPr>
          <w:rFonts w:cs="Arial"/>
        </w:rPr>
      </w:pPr>
    </w:p>
    <w:p w14:paraId="3AA45446" w14:textId="77777777" w:rsidR="000967F0" w:rsidRDefault="00C659E0">
      <w:pPr>
        <w:spacing w:after="0" w:line="260" w:lineRule="auto"/>
      </w:pPr>
      <w:r>
        <w:t>Predpis nima posledic na tem področju.</w:t>
      </w:r>
    </w:p>
    <w:p w14:paraId="4D41CAA2" w14:textId="77777777" w:rsidR="000967F0" w:rsidRDefault="000967F0">
      <w:pPr>
        <w:spacing w:after="0" w:line="260" w:lineRule="auto"/>
        <w:rPr>
          <w:rFonts w:cs="Arial"/>
        </w:rPr>
      </w:pPr>
    </w:p>
    <w:p w14:paraId="70079472" w14:textId="77777777" w:rsidR="000967F0" w:rsidRDefault="000967F0">
      <w:pPr>
        <w:spacing w:after="0" w:line="260" w:lineRule="auto"/>
        <w:rPr>
          <w:rFonts w:cs="Arial"/>
        </w:rPr>
      </w:pPr>
    </w:p>
    <w:p w14:paraId="6DD6D352" w14:textId="77777777" w:rsidR="000967F0" w:rsidRDefault="00C659E0">
      <w:pPr>
        <w:pStyle w:val="Odebeljeno"/>
        <w:spacing w:line="260" w:lineRule="auto"/>
      </w:pPr>
      <w:r>
        <w:t>4.7</w:t>
      </w:r>
      <w:r>
        <w:tab/>
      </w:r>
      <w:r>
        <w:t>Izvajanje sprejetega predpisa</w:t>
      </w:r>
    </w:p>
    <w:p w14:paraId="6575DF02" w14:textId="77777777" w:rsidR="000967F0" w:rsidRDefault="000967F0">
      <w:pPr>
        <w:spacing w:after="0" w:line="260" w:lineRule="auto"/>
        <w:rPr>
          <w:rFonts w:cs="Arial"/>
        </w:rPr>
      </w:pPr>
    </w:p>
    <w:p w14:paraId="75F9310E" w14:textId="77777777" w:rsidR="000967F0" w:rsidRDefault="00C659E0">
      <w:pPr>
        <w:spacing w:after="0" w:line="240" w:lineRule="auto"/>
      </w:pPr>
      <w:r>
        <w:rPr>
          <w:i/>
        </w:rPr>
        <w:t xml:space="preserve">Ciljnim skupinam (seminarji, delavnice). </w:t>
      </w:r>
      <w:r>
        <w:t>Ciljne skupine so ozke: pristojni organ (Agencija za trg vrednostnih papirjev; v nadaljnjem besedilu: agencija), ponudniki ocen ESG, ki poslujejo v Uniji, ter regulirana finančna podjetja, ki ocene ESG uporabljajo (5. točka 3. člena Uredbe 2024/3005/EU). Ker se ponudniki ocen ESG nadzirajo centralizirano na ravni ESMA, obsežnejše nacionalno seznanjanje ni potrebno. Predvidena je interna seznanitev pristojnih služb agencije z obsegom prenesenih nalog (pridobivanje informacij, preiskave in inšpekcijski pregle</w:t>
      </w:r>
      <w:r>
        <w:t>di na kraju samem) ter po potrebi informiranje nadzorovanih finančnih podjetij prek ustaljenih komunikacijskih poti agencije. Posebni seminarji ali delavnice glede na naravo predpisa niso predvideni; agencija jih lahko izvede ciljno, kadar to izhaja iz smernic ESMA.</w:t>
      </w:r>
    </w:p>
    <w:p w14:paraId="73DBE46A" w14:textId="77777777" w:rsidR="000967F0" w:rsidRDefault="00C659E0">
      <w:pPr>
        <w:spacing w:after="0" w:line="240" w:lineRule="auto"/>
      </w:pPr>
      <w:r>
        <w:t xml:space="preserve"> </w:t>
      </w:r>
    </w:p>
    <w:p w14:paraId="55D699F0" w14:textId="77777777" w:rsidR="000967F0" w:rsidRDefault="00C659E0">
      <w:pPr>
        <w:spacing w:after="0" w:line="240" w:lineRule="auto"/>
      </w:pPr>
      <w:r>
        <w:rPr>
          <w:i/>
        </w:rPr>
        <w:t xml:space="preserve">Širši javnosti (mediji, javne predstavitve, spletne predstavitve). </w:t>
      </w:r>
      <w:r>
        <w:t>Uredba se objavi v Uradnem listu Republike Slovenije, s čimer je zagotovljena splošna dostopnost. Informacije o pristojnem organu se objavijo na spletišču Ministrstva za finance (gov.si) in agencije; besedilo Uredbe 2024/3005/EU je javno dostopno na portalu EUR-</w:t>
      </w:r>
      <w:proofErr w:type="spellStart"/>
      <w:r>
        <w:t>Lex</w:t>
      </w:r>
      <w:proofErr w:type="spellEnd"/>
      <w:r>
        <w:t xml:space="preserve">. Predlog uredbe je bil v postopku priprave objavljen na portalu </w:t>
      </w:r>
      <w:proofErr w:type="spellStart"/>
      <w:r>
        <w:t>eDemokracija</w:t>
      </w:r>
      <w:proofErr w:type="spellEnd"/>
      <w:r>
        <w:t xml:space="preserve"> (8. 4. 2026). Ker gre za tehničen izvedbeni predpis brez neposrednih posledic za gospodarstvo, okolje ali socialno področje, posebna medijska predstavitev ni predvidena;</w:t>
      </w:r>
      <w:r>
        <w:t xml:space="preserve"> zadostuje spletna objava.</w:t>
      </w:r>
    </w:p>
    <w:p w14:paraId="24DC6787" w14:textId="77777777" w:rsidR="000967F0" w:rsidRDefault="00C659E0">
      <w:pPr>
        <w:spacing w:after="0" w:line="240" w:lineRule="auto"/>
      </w:pPr>
      <w:r>
        <w:t xml:space="preserve"> </w:t>
      </w:r>
    </w:p>
    <w:p w14:paraId="367C69A1" w14:textId="77777777" w:rsidR="000967F0" w:rsidRDefault="00C659E0">
      <w:pPr>
        <w:spacing w:after="0" w:line="240" w:lineRule="auto"/>
      </w:pPr>
      <w:r>
        <w:t>Spremljanje izvajanja sprejetega predpisa</w:t>
      </w:r>
    </w:p>
    <w:p w14:paraId="5DED192F" w14:textId="77777777" w:rsidR="000967F0" w:rsidRDefault="00C659E0">
      <w:pPr>
        <w:spacing w:after="0" w:line="240" w:lineRule="auto"/>
      </w:pPr>
      <w:r>
        <w:t xml:space="preserve"> </w:t>
      </w:r>
    </w:p>
    <w:p w14:paraId="6BEBF5CA" w14:textId="77777777" w:rsidR="000967F0" w:rsidRDefault="00C659E0">
      <w:pPr>
        <w:spacing w:after="0" w:line="240" w:lineRule="auto"/>
      </w:pPr>
      <w:r>
        <w:rPr>
          <w:i/>
        </w:rPr>
        <w:t xml:space="preserve">Zagotovitev spremljanja izvajanja predpisa. </w:t>
      </w:r>
      <w:r>
        <w:t>Spremljanje je porazdeljeno na tri ravni: Ministrstvo za finance kot predlagatelj spremlja ustreznost nacionalne ureditve (ali določitev pristojnega organa v praksi zadošča); agencija spremlja izvajanje prenesenih nalog; ESMA kot primarni nadzorni organ spremlja splošno uporabo Uredbe 2024/3005/EU.</w:t>
      </w:r>
    </w:p>
    <w:p w14:paraId="56413ECB" w14:textId="77777777" w:rsidR="000967F0" w:rsidRDefault="00C659E0">
      <w:pPr>
        <w:spacing w:after="0" w:line="240" w:lineRule="auto"/>
      </w:pPr>
      <w:r>
        <w:t xml:space="preserve"> </w:t>
      </w:r>
    </w:p>
    <w:p w14:paraId="2012C7B1" w14:textId="77777777" w:rsidR="000967F0" w:rsidRDefault="00C659E0">
      <w:pPr>
        <w:spacing w:after="0" w:line="240" w:lineRule="auto"/>
      </w:pPr>
      <w:r>
        <w:rPr>
          <w:i/>
        </w:rPr>
        <w:t xml:space="preserve">Organi, civilna družba. </w:t>
      </w:r>
      <w:r>
        <w:t>Nosilci spremljanja so agencija (pristojni organ), ESMA (nadzornik ponudnikov ocen ESG) in Ministrstvo za finance. Na ravni EU k spremljanju prispevajo tudi organizacije civilne družbe, ponudniki ocen ESG, poslovna združenja in javni organi, ki objavljajo poročila o razvoju na področju ocen ESG in tako dopolnjujejo spremljanje Komisije.</w:t>
      </w:r>
    </w:p>
    <w:p w14:paraId="0B8391E4" w14:textId="77777777" w:rsidR="000967F0" w:rsidRDefault="00C659E0">
      <w:pPr>
        <w:spacing w:after="0" w:line="240" w:lineRule="auto"/>
      </w:pPr>
      <w:r>
        <w:t xml:space="preserve"> </w:t>
      </w:r>
    </w:p>
    <w:p w14:paraId="5180A155" w14:textId="77777777" w:rsidR="000967F0" w:rsidRDefault="00C659E0">
      <w:pPr>
        <w:spacing w:after="0" w:line="240" w:lineRule="auto"/>
      </w:pPr>
      <w:r>
        <w:rPr>
          <w:i/>
        </w:rPr>
        <w:t xml:space="preserve">Metode za spremljanje doseganja ciljev. </w:t>
      </w:r>
      <w:r>
        <w:t>Spremljanje temelji na sodelovanju in izmenjavi informacij med agencijo in ESMA, ki se izvajata ob smiselni uporabi določb ZTFI-1 in neposredno na podlagi Uredbe 2024/3005/EU, na evidentiranju obsega in izida posamičnih nadzornih postopkov, ki jih agencija izvede na podlagi pooblastila ESMA (32., 33. in 34. člen uredbe), ter na spremljanju delovanja mehanizma povračila stroškov iz tretjega odstavka 43. člena uredbe. Na ravni EU se cilji spremljajo prek nadzornih poročil ESMA in vrednotenja Komisije.</w:t>
      </w:r>
    </w:p>
    <w:p w14:paraId="4EBA1AFC" w14:textId="77777777" w:rsidR="000967F0" w:rsidRDefault="00C659E0">
      <w:pPr>
        <w:spacing w:after="0" w:line="240" w:lineRule="auto"/>
      </w:pPr>
      <w:r>
        <w:t xml:space="preserve"> </w:t>
      </w:r>
    </w:p>
    <w:p w14:paraId="54AA1EF8" w14:textId="77777777" w:rsidR="000967F0" w:rsidRDefault="00C659E0">
      <w:pPr>
        <w:spacing w:after="0" w:line="240" w:lineRule="auto"/>
      </w:pPr>
      <w:r>
        <w:rPr>
          <w:i/>
        </w:rPr>
        <w:t xml:space="preserve">Merila za ugotavljanje doseganja ciljev. </w:t>
      </w:r>
      <w:r>
        <w:t>Temeljni cilj predpisa je zagotoviti delujoč, jasno določen pristojni organ. Merila so zato: ali je pristojni organ učinkovito določen in operativen; ali agencija prenesene naloge izvaja pravočasno in zakonito, ali sodelovanje z ESMA in izmenjava informacij potekata nemoteno; ter ali se v praksi ne pojavijo pravne praznine, ki bi terjale spremembo uredbe.</w:t>
      </w:r>
    </w:p>
    <w:p w14:paraId="1D72FFBD" w14:textId="77777777" w:rsidR="000967F0" w:rsidRDefault="00C659E0">
      <w:pPr>
        <w:spacing w:after="0" w:line="240" w:lineRule="auto"/>
      </w:pPr>
      <w:r>
        <w:t xml:space="preserve"> </w:t>
      </w:r>
    </w:p>
    <w:p w14:paraId="5FC9C1DC" w14:textId="77777777" w:rsidR="000967F0" w:rsidRDefault="00C659E0">
      <w:pPr>
        <w:spacing w:after="0" w:line="240" w:lineRule="auto"/>
      </w:pPr>
      <w:r>
        <w:rPr>
          <w:i/>
        </w:rPr>
        <w:lastRenderedPageBreak/>
        <w:t xml:space="preserve">Časovni okvir spremljanja za pripravo poročil. </w:t>
      </w:r>
      <w:r>
        <w:t>Agencija in ESMA izvajata spremljanje sproti, ob vsakem prenosu nalog. Ključni mejnik na ravni EU je vrednotenje Uredbe 2024/3005/EU, ki ga Komisija opravi najpozneje pet let po začetku njene uporabe; nacionalno spremljanje se smiselno prilagaja temu ciklu ter poročevalskim obveznostim agencije do ESMA.</w:t>
      </w:r>
    </w:p>
    <w:p w14:paraId="5A1F0AB5" w14:textId="77777777" w:rsidR="000967F0" w:rsidRDefault="00C659E0">
      <w:pPr>
        <w:spacing w:after="0" w:line="240" w:lineRule="auto"/>
      </w:pPr>
      <w:r>
        <w:t xml:space="preserve"> </w:t>
      </w:r>
    </w:p>
    <w:p w14:paraId="73EAB045" w14:textId="77777777" w:rsidR="000967F0" w:rsidRDefault="00C659E0">
      <w:pPr>
        <w:spacing w:after="0" w:line="240" w:lineRule="auto"/>
      </w:pPr>
      <w:r>
        <w:rPr>
          <w:i/>
        </w:rPr>
        <w:t xml:space="preserve">Roki za pripravo poročil o izvajanju predpisa, doseženih ciljih in nadaljnjih ukrepih. </w:t>
      </w:r>
      <w:r>
        <w:t>Uredba kot ozek izvedbeni predpis ne določa samostojnega roka za posebno poročilo. Agencija poroča v okviru rednega poročanja in v rokih, ki izhajajo iz sodelovanja z ESMA. Ministrstvo za finance sproti spremlja izvajanje in po potrebi predlaga spremembe uredbe; nadaljnji ukrepi se vežejo na ugotovitve nacionalnega spremljanja in na vrednotenje Komisije po petih letih.</w:t>
      </w:r>
    </w:p>
    <w:p w14:paraId="0D794433" w14:textId="77777777" w:rsidR="000967F0" w:rsidRDefault="000967F0">
      <w:pPr>
        <w:spacing w:after="0" w:line="260" w:lineRule="auto"/>
        <w:rPr>
          <w:rFonts w:cs="Arial"/>
        </w:rPr>
      </w:pPr>
    </w:p>
    <w:p w14:paraId="003A1932" w14:textId="77777777" w:rsidR="000967F0" w:rsidRDefault="00C659E0">
      <w:pPr>
        <w:pStyle w:val="Odebeljeno"/>
        <w:spacing w:line="260" w:lineRule="auto"/>
      </w:pPr>
      <w:r>
        <w:t>5.</w:t>
      </w:r>
      <w:r>
        <w:tab/>
        <w:t>Prikaz sodelovanja javnosti</w:t>
      </w:r>
    </w:p>
    <w:p w14:paraId="4FE53D46" w14:textId="77777777" w:rsidR="000967F0" w:rsidRDefault="000967F0">
      <w:pPr>
        <w:spacing w:after="0" w:line="260" w:lineRule="auto"/>
        <w:rPr>
          <w:rFonts w:cs="Arial"/>
        </w:rPr>
      </w:pPr>
    </w:p>
    <w:p w14:paraId="286C836B" w14:textId="77777777" w:rsidR="000967F0" w:rsidRDefault="00C659E0">
      <w:pPr>
        <w:spacing w:after="0" w:line="260" w:lineRule="auto"/>
      </w:pPr>
      <w:r>
        <w:t>Gradivo je bilo predmet sodelovanja z javnostjo.</w:t>
      </w:r>
    </w:p>
    <w:p w14:paraId="65FA71B1" w14:textId="77777777" w:rsidR="000967F0" w:rsidRDefault="000967F0">
      <w:pPr>
        <w:spacing w:after="0" w:line="260" w:lineRule="auto"/>
        <w:rPr>
          <w:rFonts w:cs="Arial"/>
        </w:rPr>
      </w:pPr>
    </w:p>
    <w:p w14:paraId="53E87AA0" w14:textId="77777777" w:rsidR="000967F0" w:rsidRDefault="00C659E0">
      <w:pPr>
        <w:spacing w:after="0" w:line="260" w:lineRule="auto"/>
      </w:pPr>
      <w:r>
        <w:t xml:space="preserve">Datum objave na portalu </w:t>
      </w:r>
      <w:proofErr w:type="spellStart"/>
      <w:r>
        <w:t>eDemokracija</w:t>
      </w:r>
      <w:proofErr w:type="spellEnd"/>
      <w:r>
        <w:t>:</w:t>
      </w:r>
    </w:p>
    <w:p w14:paraId="18B53879" w14:textId="77777777" w:rsidR="000967F0" w:rsidRDefault="00C659E0">
      <w:pPr>
        <w:spacing w:after="0" w:line="260" w:lineRule="auto"/>
      </w:pPr>
      <w:r>
        <w:t>8. 4. 2026</w:t>
      </w:r>
    </w:p>
    <w:p w14:paraId="7B444675" w14:textId="77777777" w:rsidR="000967F0" w:rsidRDefault="000967F0">
      <w:pPr>
        <w:spacing w:after="0" w:line="260" w:lineRule="auto"/>
        <w:rPr>
          <w:rFonts w:cs="Arial"/>
        </w:rPr>
      </w:pPr>
    </w:p>
    <w:p w14:paraId="054FE1CE" w14:textId="77777777" w:rsidR="000967F0" w:rsidRDefault="00C659E0">
      <w:pPr>
        <w:spacing w:after="0" w:line="260" w:lineRule="auto"/>
      </w:pPr>
      <w:r>
        <w:t>Na gradivo niso bila podana mnenja, predlogi in pripombe.</w:t>
      </w:r>
    </w:p>
    <w:p w14:paraId="64965381" w14:textId="77777777" w:rsidR="000967F0" w:rsidRDefault="000967F0">
      <w:pPr>
        <w:spacing w:after="0" w:line="260" w:lineRule="auto"/>
        <w:rPr>
          <w:rFonts w:cs="Arial"/>
        </w:rPr>
      </w:pPr>
    </w:p>
    <w:p w14:paraId="760E7A7D" w14:textId="77777777" w:rsidR="000967F0" w:rsidRDefault="00C659E0">
      <w:r>
        <w:br w:type="page"/>
      </w:r>
    </w:p>
    <w:p w14:paraId="247E0C91" w14:textId="77777777" w:rsidR="000967F0" w:rsidRDefault="00C659E0">
      <w:pPr>
        <w:pStyle w:val="Odebeljeno"/>
        <w:spacing w:line="260" w:lineRule="auto"/>
      </w:pPr>
      <w:r>
        <w:lastRenderedPageBreak/>
        <w:t>II.</w:t>
      </w:r>
      <w:r>
        <w:tab/>
        <w:t>BESEDILO ČLENOV</w:t>
      </w:r>
    </w:p>
    <w:p w14:paraId="12B4D398" w14:textId="77777777" w:rsidR="000967F0" w:rsidRDefault="00C659E0">
      <w:pPr>
        <w:pStyle w:val="Odstavek"/>
        <w:spacing w:line="260" w:lineRule="auto"/>
      </w:pPr>
      <w:r>
        <w:t>Na podlagi sedmega odstavka 21. člena Zakona o Vladi Republike Slovenije (Uradni list RS, št. 24/05 – uradno prečiščeno besedilo, 109/08, 38/10 – ZUKN, 8/12, 21/13, 47/13 – ZDU-1G, 65/14, 55/17, 163/22, 57/25 – ZF in 555/26) je Vlada Republike Slovenije na .. seji dne …sprejela naslednjo</w:t>
      </w:r>
    </w:p>
    <w:p w14:paraId="3E263B8C" w14:textId="77777777" w:rsidR="000967F0" w:rsidRDefault="000967F0">
      <w:pPr>
        <w:spacing w:after="0" w:line="260" w:lineRule="auto"/>
        <w:rPr>
          <w:rFonts w:cs="Arial"/>
        </w:rPr>
      </w:pPr>
    </w:p>
    <w:p w14:paraId="5BC72EB8" w14:textId="77777777" w:rsidR="000967F0" w:rsidRDefault="00C659E0">
      <w:pPr>
        <w:pStyle w:val="Naslov1"/>
        <w:spacing w:line="260" w:lineRule="auto"/>
      </w:pPr>
      <w:r>
        <w:t xml:space="preserve">Uredbo o izvajanju Uredbe (EU) o preglednosti in celovitosti dejavnosti ocenjevanja </w:t>
      </w:r>
      <w:proofErr w:type="spellStart"/>
      <w:r>
        <w:t>okoljskih</w:t>
      </w:r>
      <w:proofErr w:type="spellEnd"/>
      <w:r>
        <w:t>, socialnih in upravljavskih (ESG) dejavnikov</w:t>
      </w:r>
    </w:p>
    <w:p w14:paraId="03581FEA" w14:textId="77777777" w:rsidR="000967F0" w:rsidRDefault="00C659E0">
      <w:pPr>
        <w:pStyle w:val="len"/>
        <w:spacing w:line="260" w:lineRule="auto"/>
      </w:pPr>
      <w:r>
        <w:t>1. člen</w:t>
      </w:r>
    </w:p>
    <w:p w14:paraId="66CD0A07" w14:textId="77777777" w:rsidR="000967F0" w:rsidRDefault="00C659E0">
      <w:pPr>
        <w:pStyle w:val="lennaslov"/>
        <w:spacing w:line="260" w:lineRule="auto"/>
      </w:pPr>
      <w:r>
        <w:t>(vsebina)</w:t>
      </w:r>
    </w:p>
    <w:p w14:paraId="6306AD52" w14:textId="77777777" w:rsidR="000967F0" w:rsidRDefault="000967F0">
      <w:pPr>
        <w:spacing w:after="0" w:line="260" w:lineRule="auto"/>
        <w:rPr>
          <w:rFonts w:cs="Arial"/>
        </w:rPr>
      </w:pPr>
    </w:p>
    <w:p w14:paraId="12340985" w14:textId="77777777" w:rsidR="000967F0" w:rsidRDefault="00C659E0">
      <w:pPr>
        <w:spacing w:after="0" w:line="240" w:lineRule="auto"/>
        <w:jc w:val="left"/>
      </w:pPr>
      <w:r>
        <w:tab/>
        <w:t xml:space="preserve">S to uredbo se določa pristojni organ v zvezi z izvajanjem Uredbe 2024/3005/EU Evropskega parlamenta in Sveta z dne 27. novembra 2024 o preglednosti in celovitosti dejavnosti ocenjevanja </w:t>
      </w:r>
      <w:proofErr w:type="spellStart"/>
      <w:r>
        <w:t>okoljskih</w:t>
      </w:r>
      <w:proofErr w:type="spellEnd"/>
      <w:r>
        <w:t>, socialnih in upravljavskih (ESG) dejavnikov ter spremembi uredb 2019/2088/EU in 2023/2859/EU (UL L št. 2024/3005 z dne 12.12. 2024; v nadaljnjem besedilu Uredba 2024/3005/EU).</w:t>
      </w:r>
    </w:p>
    <w:p w14:paraId="715DE7EA" w14:textId="77777777" w:rsidR="000967F0" w:rsidRDefault="000967F0">
      <w:pPr>
        <w:spacing w:after="0" w:line="260" w:lineRule="auto"/>
      </w:pPr>
    </w:p>
    <w:p w14:paraId="3A96E97B" w14:textId="77777777" w:rsidR="000967F0" w:rsidRDefault="00C659E0">
      <w:pPr>
        <w:pStyle w:val="len"/>
        <w:spacing w:line="260" w:lineRule="auto"/>
      </w:pPr>
      <w:r>
        <w:t>2. člen</w:t>
      </w:r>
    </w:p>
    <w:p w14:paraId="4A87D5B2" w14:textId="77777777" w:rsidR="000967F0" w:rsidRDefault="00C659E0">
      <w:pPr>
        <w:pStyle w:val="lennaslov"/>
        <w:spacing w:line="260" w:lineRule="auto"/>
      </w:pPr>
      <w:r>
        <w:t>(pomen izrazov)</w:t>
      </w:r>
    </w:p>
    <w:p w14:paraId="581DE87A" w14:textId="77777777" w:rsidR="000967F0" w:rsidRDefault="000967F0">
      <w:pPr>
        <w:spacing w:after="0" w:line="260" w:lineRule="auto"/>
        <w:rPr>
          <w:rFonts w:cs="Arial"/>
        </w:rPr>
      </w:pPr>
    </w:p>
    <w:p w14:paraId="0E6C6FDB" w14:textId="77777777" w:rsidR="000967F0" w:rsidRDefault="00C659E0">
      <w:pPr>
        <w:spacing w:after="0" w:line="260" w:lineRule="auto"/>
      </w:pPr>
      <w:r>
        <w:tab/>
        <w:t>Izrazi, uporabljeni v tej uredbi, pomenijo enako kakor izrazi, uporabljeni v Uredbi 2024/3005/EU.</w:t>
      </w:r>
      <w:r>
        <w:br/>
      </w:r>
      <w:r>
        <w:br/>
      </w:r>
    </w:p>
    <w:p w14:paraId="710BEEBC" w14:textId="77777777" w:rsidR="000967F0" w:rsidRDefault="00C659E0">
      <w:pPr>
        <w:pStyle w:val="len"/>
        <w:spacing w:line="260" w:lineRule="auto"/>
      </w:pPr>
      <w:r>
        <w:t>3. člen</w:t>
      </w:r>
    </w:p>
    <w:p w14:paraId="71D29BC1" w14:textId="77777777" w:rsidR="000967F0" w:rsidRDefault="00C659E0">
      <w:pPr>
        <w:pStyle w:val="lennaslov"/>
        <w:spacing w:line="260" w:lineRule="auto"/>
      </w:pPr>
      <w:r>
        <w:t>(pristojni organ)</w:t>
      </w:r>
    </w:p>
    <w:p w14:paraId="37AE25E3" w14:textId="77777777" w:rsidR="000967F0" w:rsidRDefault="000967F0">
      <w:pPr>
        <w:spacing w:after="0" w:line="260" w:lineRule="auto"/>
        <w:rPr>
          <w:rFonts w:cs="Arial"/>
        </w:rPr>
      </w:pPr>
    </w:p>
    <w:p w14:paraId="2EF04929" w14:textId="77777777" w:rsidR="000967F0" w:rsidRDefault="00C659E0">
      <w:pPr>
        <w:spacing w:after="0" w:line="240" w:lineRule="auto"/>
        <w:jc w:val="left"/>
      </w:pPr>
      <w:r>
        <w:tab/>
        <w:t>(1) Organ, pristojen za izvajanje Uredbe 2024/3005/EU in te uredbe, je Agencija za trg vrednostnih papirjev (v nadaljnjem besedilu: agencija).</w:t>
      </w:r>
    </w:p>
    <w:p w14:paraId="53337F9D" w14:textId="77777777" w:rsidR="000967F0" w:rsidRDefault="000967F0">
      <w:pPr>
        <w:spacing w:after="0" w:line="260" w:lineRule="auto"/>
      </w:pPr>
    </w:p>
    <w:p w14:paraId="79B37C14" w14:textId="77777777" w:rsidR="000967F0" w:rsidRDefault="000967F0">
      <w:pPr>
        <w:spacing w:after="0" w:line="260" w:lineRule="auto"/>
        <w:rPr>
          <w:rFonts w:cs="Arial"/>
        </w:rPr>
      </w:pPr>
    </w:p>
    <w:p w14:paraId="75AC077E" w14:textId="77777777" w:rsidR="000967F0" w:rsidRDefault="00C659E0">
      <w:pPr>
        <w:spacing w:after="0" w:line="240" w:lineRule="auto"/>
        <w:jc w:val="left"/>
      </w:pPr>
      <w:r>
        <w:tab/>
        <w:t>(2) Pristojnost agencije za izvajanje nadzora je omejena na posamične nadzorne postopke in se izvaja le v obsegu nalog, ki jih Evropski organ za vrednostne papirje in trge s pooblastilom prenese na agencijo v zvezi s pridobivanjem informacij, izvajanjem preiskav in inšpekcijskim pregledom na kraju samem, kakor je določeno v 32., 33. in 34. členu Uredbe 2024/3005/EU.</w:t>
      </w:r>
    </w:p>
    <w:p w14:paraId="63A87345" w14:textId="77777777" w:rsidR="000967F0" w:rsidRDefault="000967F0">
      <w:pPr>
        <w:spacing w:after="0" w:line="260" w:lineRule="auto"/>
      </w:pPr>
    </w:p>
    <w:p w14:paraId="505AF9B4" w14:textId="77777777" w:rsidR="000967F0" w:rsidRDefault="00C659E0">
      <w:pPr>
        <w:pStyle w:val="Poglavje"/>
        <w:spacing w:line="260" w:lineRule="auto"/>
      </w:pPr>
      <w:r>
        <w:t>KONČNA DOLOČBA</w:t>
      </w:r>
    </w:p>
    <w:p w14:paraId="4D2A4DD9" w14:textId="77777777" w:rsidR="000967F0" w:rsidRDefault="00C659E0">
      <w:pPr>
        <w:pStyle w:val="len"/>
        <w:spacing w:line="260" w:lineRule="auto"/>
      </w:pPr>
      <w:r>
        <w:t>4. člen</w:t>
      </w:r>
    </w:p>
    <w:p w14:paraId="6AF96767" w14:textId="77777777" w:rsidR="000967F0" w:rsidRDefault="00C659E0">
      <w:pPr>
        <w:pStyle w:val="lennaslov"/>
        <w:spacing w:line="260" w:lineRule="auto"/>
      </w:pPr>
      <w:r>
        <w:t>(začetek veljavnosti)</w:t>
      </w:r>
    </w:p>
    <w:p w14:paraId="7D00D7FF" w14:textId="77777777" w:rsidR="000967F0" w:rsidRDefault="000967F0">
      <w:pPr>
        <w:spacing w:after="0" w:line="260" w:lineRule="auto"/>
        <w:rPr>
          <w:rFonts w:cs="Arial"/>
        </w:rPr>
      </w:pPr>
    </w:p>
    <w:p w14:paraId="246B3BF6" w14:textId="77777777" w:rsidR="000967F0" w:rsidRDefault="00C659E0">
      <w:pPr>
        <w:spacing w:after="0" w:line="260" w:lineRule="auto"/>
      </w:pPr>
      <w:r>
        <w:tab/>
        <w:t>Ta uredba začne veljati petnajsti dan po objavi v Uradnem listu Republike Slovenije.</w:t>
      </w:r>
    </w:p>
    <w:p w14:paraId="40E81C9E" w14:textId="77777777" w:rsidR="000967F0" w:rsidRDefault="000967F0">
      <w:pPr>
        <w:spacing w:after="0" w:line="260" w:lineRule="auto"/>
        <w:rPr>
          <w:rFonts w:cs="Arial"/>
        </w:rPr>
      </w:pPr>
    </w:p>
    <w:p w14:paraId="239EA17B" w14:textId="77777777" w:rsidR="000967F0" w:rsidRDefault="00C659E0">
      <w:pPr>
        <w:spacing w:after="0" w:line="260" w:lineRule="auto"/>
      </w:pPr>
      <w:r>
        <w:t>Št. [/2026]</w:t>
      </w:r>
    </w:p>
    <w:p w14:paraId="17A5BB7C" w14:textId="77777777" w:rsidR="000967F0" w:rsidRDefault="000967F0">
      <w:pPr>
        <w:spacing w:after="0" w:line="260" w:lineRule="auto"/>
        <w:rPr>
          <w:rFonts w:cs="Arial"/>
        </w:rPr>
      </w:pPr>
    </w:p>
    <w:p w14:paraId="4C1648AE" w14:textId="77777777" w:rsidR="000967F0" w:rsidRDefault="00C659E0">
      <w:pPr>
        <w:spacing w:after="0" w:line="260" w:lineRule="auto"/>
      </w:pPr>
      <w:r>
        <w:lastRenderedPageBreak/>
        <w:t>Ljubljana, dne  2026</w:t>
      </w:r>
    </w:p>
    <w:p w14:paraId="0DEF23BD" w14:textId="77777777" w:rsidR="000967F0" w:rsidRDefault="000967F0">
      <w:pPr>
        <w:spacing w:after="0" w:line="260" w:lineRule="auto"/>
        <w:rPr>
          <w:rFonts w:cs="Arial"/>
        </w:rPr>
      </w:pPr>
    </w:p>
    <w:p w14:paraId="2A3ACC0C" w14:textId="77777777" w:rsidR="000967F0" w:rsidRDefault="00C659E0">
      <w:pPr>
        <w:spacing w:after="0" w:line="260" w:lineRule="auto"/>
      </w:pPr>
      <w:r>
        <w:t>EVA 2026-1611-0024</w:t>
      </w:r>
    </w:p>
    <w:p w14:paraId="2CB2BFA7" w14:textId="77777777" w:rsidR="000967F0" w:rsidRDefault="000967F0">
      <w:pPr>
        <w:spacing w:after="0" w:line="260" w:lineRule="auto"/>
        <w:rPr>
          <w:rFonts w:cs="Arial"/>
        </w:rPr>
      </w:pPr>
    </w:p>
    <w:p w14:paraId="606F3498" w14:textId="77777777" w:rsidR="000967F0" w:rsidRDefault="00C659E0">
      <w:pPr>
        <w:pStyle w:val="Podpisnik"/>
        <w:spacing w:line="260" w:lineRule="auto"/>
      </w:pPr>
      <w:r>
        <w:t>Vlada Republike Slovenije</w:t>
      </w:r>
      <w:r>
        <w:br/>
        <w:t>Janez Janša</w:t>
      </w:r>
      <w:r>
        <w:br/>
        <w:t>predsednik</w:t>
      </w:r>
    </w:p>
    <w:p w14:paraId="25419DA3" w14:textId="77777777" w:rsidR="000967F0" w:rsidRDefault="00C659E0">
      <w:r>
        <w:br w:type="page"/>
      </w:r>
    </w:p>
    <w:p w14:paraId="614937B3" w14:textId="77777777" w:rsidR="000967F0" w:rsidRDefault="00C659E0">
      <w:pPr>
        <w:pStyle w:val="Odebeljeno"/>
        <w:spacing w:line="260" w:lineRule="auto"/>
      </w:pPr>
      <w:r>
        <w:lastRenderedPageBreak/>
        <w:t>III.</w:t>
      </w:r>
      <w:r>
        <w:tab/>
        <w:t>OBRAZLOŽITEV</w:t>
      </w:r>
    </w:p>
    <w:p w14:paraId="50EAC4CA" w14:textId="77777777" w:rsidR="000967F0" w:rsidRDefault="000967F0">
      <w:pPr>
        <w:spacing w:after="0" w:line="260" w:lineRule="auto"/>
        <w:rPr>
          <w:rFonts w:cs="Arial"/>
        </w:rPr>
      </w:pPr>
    </w:p>
    <w:p w14:paraId="598C4F66" w14:textId="77777777" w:rsidR="000967F0" w:rsidRDefault="00C659E0">
      <w:pPr>
        <w:pStyle w:val="Odebeljeno"/>
        <w:spacing w:line="260" w:lineRule="auto"/>
      </w:pPr>
      <w:r>
        <w:t>K 1. členu:</w:t>
      </w:r>
    </w:p>
    <w:p w14:paraId="76CEE9F9" w14:textId="77777777" w:rsidR="000967F0" w:rsidRDefault="00C659E0">
      <w:pPr>
        <w:spacing w:after="0" w:line="240" w:lineRule="auto"/>
      </w:pPr>
      <w:r>
        <w:t>S tem členom se določa vsebina uredbe, in sicer določitev pristojnega organa za izvajanje Uredbe 2024/3005/EU.</w:t>
      </w:r>
    </w:p>
    <w:p w14:paraId="7AF2E133" w14:textId="77777777" w:rsidR="000967F0" w:rsidRDefault="00C659E0">
      <w:pPr>
        <w:spacing w:after="0" w:line="240" w:lineRule="auto"/>
      </w:pPr>
      <w:r>
        <w:t xml:space="preserve"> </w:t>
      </w:r>
    </w:p>
    <w:p w14:paraId="52B66985" w14:textId="77777777" w:rsidR="000967F0" w:rsidRDefault="000967F0">
      <w:pPr>
        <w:spacing w:after="0" w:line="260" w:lineRule="auto"/>
        <w:rPr>
          <w:rFonts w:cs="Arial"/>
        </w:rPr>
      </w:pPr>
    </w:p>
    <w:p w14:paraId="3AFB073B" w14:textId="77777777" w:rsidR="000967F0" w:rsidRDefault="00C659E0">
      <w:pPr>
        <w:pStyle w:val="Odebeljeno"/>
        <w:spacing w:line="260" w:lineRule="auto"/>
      </w:pPr>
      <w:r>
        <w:t>K 2. členu:</w:t>
      </w:r>
    </w:p>
    <w:p w14:paraId="4B513C33" w14:textId="77777777" w:rsidR="000967F0" w:rsidRDefault="00C659E0">
      <w:pPr>
        <w:spacing w:after="0" w:line="240" w:lineRule="auto"/>
      </w:pPr>
      <w:r>
        <w:t>S tem členom se določa, da izrazi, uporabljeni v tej uredbi, pomenijo enako kakor izrazi, uporabljeni v Uredbi 2024/3005/EU.</w:t>
      </w:r>
    </w:p>
    <w:p w14:paraId="067F3B3C" w14:textId="77777777" w:rsidR="000967F0" w:rsidRDefault="000967F0">
      <w:pPr>
        <w:spacing w:after="0" w:line="260" w:lineRule="auto"/>
        <w:rPr>
          <w:rFonts w:cs="Arial"/>
        </w:rPr>
      </w:pPr>
    </w:p>
    <w:p w14:paraId="5A1023F1" w14:textId="77777777" w:rsidR="000967F0" w:rsidRDefault="00C659E0">
      <w:pPr>
        <w:pStyle w:val="Odebeljeno"/>
        <w:spacing w:line="260" w:lineRule="auto"/>
      </w:pPr>
      <w:r>
        <w:t>K 3. členu:</w:t>
      </w:r>
    </w:p>
    <w:p w14:paraId="383FC8C4" w14:textId="77777777" w:rsidR="000967F0" w:rsidRDefault="00C659E0">
      <w:pPr>
        <w:spacing w:after="0" w:line="240" w:lineRule="auto"/>
      </w:pPr>
      <w:r>
        <w:t xml:space="preserve"> V prvem odstavku 30. člena Uredbe 2024/3005/EU je določeno, da vsaka država članica do 2. aprila 2026 določi pristojni organ za namene te uredbe. S prvim odstavkom tega člena se kot pristojni organ za izvajanje Uredbe 2024/3005/EU določa Agencija za trg vrednostnih papirjev (v nadaljnjem besedilu: agencija).</w:t>
      </w:r>
    </w:p>
    <w:p w14:paraId="0205D67B" w14:textId="77777777" w:rsidR="000967F0" w:rsidRDefault="00C659E0">
      <w:pPr>
        <w:spacing w:after="0" w:line="240" w:lineRule="auto"/>
      </w:pPr>
      <w:r>
        <w:t xml:space="preserve"> </w:t>
      </w:r>
    </w:p>
    <w:p w14:paraId="3501E6E7" w14:textId="77777777" w:rsidR="000967F0" w:rsidRDefault="00C659E0">
      <w:pPr>
        <w:spacing w:after="0" w:line="240" w:lineRule="auto"/>
      </w:pPr>
      <w:r>
        <w:t xml:space="preserve">Nadzor nad ponudniki ocen </w:t>
      </w:r>
      <w:proofErr w:type="spellStart"/>
      <w:r>
        <w:t>okoljskih</w:t>
      </w:r>
      <w:proofErr w:type="spellEnd"/>
      <w:r>
        <w:t xml:space="preserve">, socialnih in upravljavskih dejavnikov (v nadaljnjem besedilu: ocene ESG) je z Uredbo 2024/3005/EU zaupan Evropskemu organu za vrednostne papirje in trge (v </w:t>
      </w:r>
      <w:proofErr w:type="spellStart"/>
      <w:r>
        <w:t>nadaljnem</w:t>
      </w:r>
      <w:proofErr w:type="spellEnd"/>
      <w:r>
        <w:t xml:space="preserve"> besedilu: ESMA). Poglavje 4 naslova III Uredbe 2024/3005/EU (»Nadzor s strani ESMA«) ureja splošna načela, nadzorne ukrepe in kazni, pristojbine ter prenos nalog, pri čemer je nadzorni organ v postopkih zoper ponudnika ocen ESG ESMA. V skladu s prvim odstavkom 43. člena Uredbe 2024/3005/EU lahko ESMA, kadar je to potrebno za ustrezno</w:t>
      </w:r>
      <w:r>
        <w:t xml:space="preserve"> opravljanje nadzorne naloge, posamezne naloge – to je pooblastilo za zahtevo po informacijah iz 32. člena ter pooblastilo za izvajanje preiskav in inšpekcijskih pregledov na kraju samem iz 33. in 34. člena Uredbe 2024/3005/EU – s pooblastilom prenese na pristojni organ. Zato se v drugem odstavku tega člena pristojnost agencije omejuje na posamične nadzorne postopke v obsegu prenesenih nalog. Za izvajanje nadzora se smiselno uporabljajo določbe ZTFI-1.</w:t>
      </w:r>
    </w:p>
    <w:p w14:paraId="25040AEE" w14:textId="77777777" w:rsidR="000967F0" w:rsidRDefault="00C659E0">
      <w:pPr>
        <w:spacing w:after="0" w:line="240" w:lineRule="auto"/>
      </w:pPr>
      <w:r>
        <w:t xml:space="preserve"> </w:t>
      </w:r>
    </w:p>
    <w:p w14:paraId="2724233B" w14:textId="77777777" w:rsidR="000967F0" w:rsidRDefault="00C659E0">
      <w:pPr>
        <w:spacing w:after="0" w:line="240" w:lineRule="auto"/>
      </w:pPr>
      <w:r>
        <w:t>ESMA pristojnemu organu v skladu s tretjim odstavkom 43. člena Uredbe 2024/3005/EU povrne vse stroške (fiksne in spremenljive), ki nastanejo zaradi izvajanja prenesenih nalog ali zagotavljanja pomoči ESMA.</w:t>
      </w:r>
    </w:p>
    <w:p w14:paraId="30684EF3" w14:textId="77777777" w:rsidR="000967F0" w:rsidRDefault="00C659E0">
      <w:pPr>
        <w:spacing w:after="0" w:line="240" w:lineRule="auto"/>
      </w:pPr>
      <w:r>
        <w:t xml:space="preserve"> </w:t>
      </w:r>
    </w:p>
    <w:p w14:paraId="2CA982D1" w14:textId="77777777" w:rsidR="000967F0" w:rsidRDefault="00C659E0">
      <w:pPr>
        <w:spacing w:after="0" w:line="240" w:lineRule="auto"/>
      </w:pPr>
      <w:r>
        <w:t>V skladu s petim odstavkom 43. člena Uredbe 2024/3005/EU ESMA na pristojni organ ne more prenesti nadzornih pristojnosti v zvezi z odločitvami o izdaji dovoljenj, s končnimi ocenami in nadaljnjimi odločitvami v zvezi s kršitvami. Zato posebne kazenske določbe v uredbi niso potrebne.</w:t>
      </w:r>
    </w:p>
    <w:p w14:paraId="7E0C4ACA" w14:textId="77777777" w:rsidR="000967F0" w:rsidRDefault="00C659E0">
      <w:pPr>
        <w:spacing w:after="0" w:line="240" w:lineRule="auto"/>
      </w:pPr>
      <w:r>
        <w:t xml:space="preserve"> </w:t>
      </w:r>
    </w:p>
    <w:p w14:paraId="389E106F" w14:textId="77777777" w:rsidR="000967F0" w:rsidRDefault="00C659E0">
      <w:pPr>
        <w:spacing w:after="0" w:line="240" w:lineRule="auto"/>
      </w:pPr>
      <w:r>
        <w:t>Ker se Uredba 2024/3005/EU v slovenskem pravnem redu uporablja neposredno in že celovito ureja nadzorne postopke, ki jih ESMA lahko prenese na pristojni organ, podrobnejše normiranje teh postopkov v uredbi ni potrebno; pristojni organ se z uredbo le določi. Za opredelitev reguliranih finančnih podjetij se uporablja 5. točka 3. člena Uredbe 2024/3005/EU.</w:t>
      </w:r>
    </w:p>
    <w:p w14:paraId="22E93F47" w14:textId="77777777" w:rsidR="000967F0" w:rsidRDefault="00C659E0">
      <w:pPr>
        <w:spacing w:after="0" w:line="240" w:lineRule="auto"/>
      </w:pPr>
      <w:r>
        <w:t xml:space="preserve"> </w:t>
      </w:r>
    </w:p>
    <w:p w14:paraId="692D4F2C" w14:textId="77777777" w:rsidR="000967F0" w:rsidRDefault="00C659E0">
      <w:pPr>
        <w:spacing w:after="0" w:line="240" w:lineRule="auto"/>
      </w:pPr>
      <w:r>
        <w:t xml:space="preserve">Pooblastila za izvajanje prenesenih nalog (zahteva za informacije ter izvajanje preiskav in inšpekcijskih pregledov na kraju samem) so določena neposredno v 32., 33. in 34. členu Uredbe 2024/3005/EU, ki se v Republiki Sloveniji uporablja neposredno. Kadar nacionalna pravila za posamezno preiskovalno dejanje, kot je opredeljeno v petem odstavku 33. člena in osmem odstavku 34. člena Uredbe 2024/3005/EU </w:t>
      </w:r>
    </w:p>
    <w:p w14:paraId="0A4336A9" w14:textId="77777777" w:rsidR="000967F0" w:rsidRDefault="00C659E0">
      <w:pPr>
        <w:spacing w:after="0" w:line="240" w:lineRule="auto"/>
      </w:pPr>
      <w:r>
        <w:t>zahtevajo odobritev pravosodnega organa, se ta pridobi.</w:t>
      </w:r>
    </w:p>
    <w:p w14:paraId="4F94A58B" w14:textId="77777777" w:rsidR="000967F0" w:rsidRDefault="000967F0">
      <w:pPr>
        <w:spacing w:after="0" w:line="260" w:lineRule="auto"/>
        <w:rPr>
          <w:rFonts w:cs="Arial"/>
        </w:rPr>
      </w:pPr>
    </w:p>
    <w:p w14:paraId="149FAF86" w14:textId="77777777" w:rsidR="000967F0" w:rsidRDefault="00C659E0">
      <w:pPr>
        <w:pStyle w:val="Odebeljeno"/>
        <w:spacing w:line="260" w:lineRule="auto"/>
      </w:pPr>
      <w:r>
        <w:t>K 4. členu:</w:t>
      </w:r>
    </w:p>
    <w:p w14:paraId="4D1D5BFB" w14:textId="77777777" w:rsidR="000967F0" w:rsidRDefault="00C659E0">
      <w:pPr>
        <w:spacing w:after="0" w:line="240" w:lineRule="auto"/>
      </w:pPr>
      <w:r>
        <w:t xml:space="preserve">Določen je splošni štirinajstdnevni  rok za začetek veljavnosti uredbe. </w:t>
      </w:r>
    </w:p>
    <w:p w14:paraId="7A5E7DC7" w14:textId="77777777" w:rsidR="000967F0" w:rsidRDefault="00C659E0">
      <w:pPr>
        <w:spacing w:after="0" w:line="240" w:lineRule="auto"/>
      </w:pPr>
      <w:r>
        <w:t xml:space="preserve"> </w:t>
      </w:r>
    </w:p>
    <w:p w14:paraId="160C3415" w14:textId="77777777" w:rsidR="000967F0" w:rsidRDefault="000967F0">
      <w:pPr>
        <w:spacing w:after="0" w:line="260" w:lineRule="auto"/>
        <w:rPr>
          <w:rFonts w:cs="Arial"/>
        </w:rPr>
      </w:pPr>
    </w:p>
    <w:p w14:paraId="6D36B59C" w14:textId="77777777" w:rsidR="000967F0" w:rsidRDefault="00C659E0">
      <w:r>
        <w:br w:type="page"/>
      </w:r>
    </w:p>
    <w:p w14:paraId="66E21369" w14:textId="77777777" w:rsidR="000967F0" w:rsidRDefault="00C659E0">
      <w:pPr>
        <w:pStyle w:val="Odebeljeno"/>
        <w:spacing w:line="260" w:lineRule="auto"/>
      </w:pPr>
      <w:r>
        <w:lastRenderedPageBreak/>
        <w:t>IV.</w:t>
      </w:r>
      <w:r>
        <w:tab/>
        <w:t>PRILOGE</w:t>
      </w:r>
    </w:p>
    <w:p w14:paraId="0A0F9929" w14:textId="77777777" w:rsidR="000967F0" w:rsidRDefault="000967F0">
      <w:pPr>
        <w:spacing w:after="0" w:line="260" w:lineRule="auto"/>
        <w:rPr>
          <w:rFonts w:cs="Arial"/>
        </w:rPr>
      </w:pPr>
    </w:p>
    <w:p w14:paraId="13737098" w14:textId="77777777" w:rsidR="000967F0" w:rsidRDefault="00C659E0">
      <w:pPr>
        <w:spacing w:after="0" w:line="260" w:lineRule="auto"/>
      </w:pPr>
      <w:r>
        <w:t>Priloge niso priložene.</w:t>
      </w:r>
    </w:p>
    <w:sectPr w:rsidR="000967F0">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086A" w14:textId="77777777" w:rsidR="00C659E0" w:rsidRDefault="00C659E0">
      <w:pPr>
        <w:spacing w:after="0" w:line="240" w:lineRule="auto"/>
      </w:pPr>
      <w:r>
        <w:separator/>
      </w:r>
    </w:p>
  </w:endnote>
  <w:endnote w:type="continuationSeparator" w:id="0">
    <w:p w14:paraId="09838924" w14:textId="77777777" w:rsidR="00C659E0" w:rsidRDefault="00C6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4710" w14:textId="77777777" w:rsidR="000967F0" w:rsidRDefault="00C659E0">
    <w:r>
      <w:rPr>
        <w:i/>
        <w:sz w:val="16"/>
      </w:rPr>
      <w:t>Ustvarjeno v MOPED-DOCS, 03. 07. 2026 08:58:36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6306" w14:textId="77777777" w:rsidR="00C659E0" w:rsidRDefault="00C659E0">
      <w:pPr>
        <w:spacing w:after="0" w:line="240" w:lineRule="auto"/>
      </w:pPr>
      <w:r>
        <w:separator/>
      </w:r>
    </w:p>
  </w:footnote>
  <w:footnote w:type="continuationSeparator" w:id="0">
    <w:p w14:paraId="72B1689F" w14:textId="77777777" w:rsidR="00C659E0" w:rsidRDefault="00C65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F0"/>
    <w:rsid w:val="000967F0"/>
    <w:rsid w:val="0057549D"/>
    <w:rsid w:val="009F7F0B"/>
    <w:rsid w:val="00C659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7789"/>
  <w15:docId w15:val="{E981FE8C-9694-4EEB-9827-D66D824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1801</Words>
  <Characters>10268</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Popović</dc:creator>
  <cp:lastModifiedBy>Tanja Popović</cp:lastModifiedBy>
  <cp:revision>2</cp:revision>
  <dcterms:created xsi:type="dcterms:W3CDTF">2026-07-03T07:07:00Z</dcterms:created>
  <dcterms:modified xsi:type="dcterms:W3CDTF">2026-07-03T07:07:00Z</dcterms:modified>
</cp:coreProperties>
</file>